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南京市栖霞区人力资源和社会保障局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1、贯彻执行人力资源和社会保障事业发展政策法规和规划，编制全区人力资源和社会保障事业发展规划和年度工作计划并组织实施。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2、拟定并组织实施全区人力资源市场发展规划，贯彻执行人力资源服务业发展、人力资源流动政策，负责人力资源服务机构管理工作，负责人力资源市场监管工作。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3、负责促进就业工作，拟定全区就业创业发展规划和政策，完善公共就业创业服务体系；统筹建立面向城乡劳动者的职业技能培训制度，拟订就业援助制度，牵头落实高校毕业生就业政策。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统筹建立和完善覆盖全区的多层次社会保障体系，贯彻实施养老保险全国和省市统筹办法以及全国统一的养老、失业、工伤等社会保险关系转续办法，执行养老、失业、工伤等社会保险及其补充保险政策和标准。会同有关部门实施全民参保计划并建立全区统一的社会保险公共服务平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5、负责全区就业、失业的预测预警和信息引导，拟定应对预案，实施监管调控，保持就业形势稳定。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按照职责分工负责相关人才工作，组织实施重点人才工程和项目计划。推进深化职称制度改革，贯彻执行专业技术人员管理、继续教育等政策，负责高层次专业技术人才及专家选拔、培养、服务工作，落实吸引留学人员来本区工作或定居的政策。组织实施技能人才培养、评价、使用和激励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7、会同有关部门指导全区事业单位人事制度改革，按照管理权限负责规范事业单位岗位设置、公开招聘、聘用合同等人事综合管理工作，贯彻执行国家、省、市事业单位工作人员和机关工勤人员管理政策。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8、贯彻执行劳动关系政策，完善劳动关系协商协调机制，对劳动标准执行实施监管。会同有关部门推动落实农民工工作相关政策，协调解决重点难点问题，维护农民工合法权益。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9、落实事业单位人员工资收入分配政策，负责全区事业单位工资福利管理工作；贯彻执行企业工资指导线、最低工资标准及国家有关行业工资收入调节政策。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10、贯彻执行劳动人事争议调解仲裁办法并组织实施，受理处理劳动人事争议案件。组织实施劳动保障监察，协调劳动者维权工作，依法查处违法案件。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11、组织实施国家表彰奖励制度，会同有关部门拟订全区表彰奖励制度，综合管理全区表彰奖励工作，承担全区创建评比达标表彰有关工作，根据授权承办以区委、区政府名义开展的区级表彰奖励活动。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12、负责对街道人力资源和社会保障机构的工作业务指导。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办公室、劳动关系科、财务审计科、就业促进科（人才工作科）、职业能力培训科、事业单位人事管理科（专业技术人员管理科）、工资福利科（区表彰奖励办公室）、社会保险科、仲裁科、劳动监察科。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本部门下属单位包括:南京市栖霞区人才交流服务中心，南京市栖霞区社会保险管理中心，南京市栖霞区劳动就业管理中心，南京市栖霞区劳动保障监察大队，南京市栖霞区劳动人事争议仲裁院。</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6</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人力资源和社会保障局（本级），南京市栖霞区人才交流服务中心，南京市栖霞区社会保险管理中心，南京市栖霞区劳动就业管理中心，南京市栖霞区劳动保障监察大队，南京市栖霞区劳动人事争议仲裁院。</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突出政策落实，全力稳住就业创业“基本盘”。稳保就业仍是当前和今后一段时期人社工作的重中之重，全年要实现城镇新增就业2万人以上。要坚决强化就业优先政策。精准落实援企稳岗、就业见习等政策，充分释放政策红利，助推稳岗扩岗。实施紫金山英才宁聚计划，加强就业困难人员分类帮扶，紧扣产业需求多方筹集就业岗位，开展各类招聘活动30场以上，统筹重点群体就业。要大力推动创业带动就业。落实创业担保贷款、创业孵化基地奖补等扶持政策，加大对重点群体创业支持力度。更高水平建设创业孵化基地等载体，办好青年大学生创业大赛，做好优秀创业项目遴选，吸引更多优质项目落地。要扎实推进职业技能提升。与南京工业职业技术大学、技师学院等职业教育院校共建产业技能人才培养实训基地，探索推进产业发展与人才培养的有效融合。帮助企业进一步完善职工培训制度，充分发挥企业在职业培训工作中的重要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突出全面覆盖，全力守牢民生兜底“保障线”。要深入推进全面参保计划。充分发挥区、街道、社区合力，组织开展社保政策宣传活动，提高参保覆盖面。联合交通、水利等行业主管部门，重点推进工伤保险“同舟计划”，加强社保扩面稽核，切实保障民工的合法权益。要全面落实社会保障制度。推进机关事业单位养老保险制度改革全面到位，确保城乡居民养老保险有序实施。精准落实社保待遇支付，确保按时、足额、准确发放。聚焦困难群体参保续保，强化社保兜底保障功能。要持续打造便捷服务体系。在全区社保业务经办点推广运用自助终端设备，构建窗口服务、线上服务、自助终端服务的全方位、一体化的服务体系，实现社会保险服务的信息化、便捷化、多元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突出引育并重，全力打造人才集聚“新高地”。要提高人才集聚能力。落细落实人才安居、租房补贴、面试补贴等举措，持续优化人才公共服务。围绕“海智湾”建设，吸引海外人才来宁创新创业。大力推进企业专家工作室、博站等载体建设，加强高层次人才引进开发力度。要加强事业单位管理。规范有序实施公开招聘，不断优化事业单位岗位结构比例和聘用管理。继续完善各系列职称初定和职称评审工作，进一步规范申报流程、严格审核申报材料。要做好表彰奖励工作。加强业务学习，提升政策把握力，切实发挥表彰奖励正向导向和激励作用。严把表彰推荐、严控表彰活动、严格表彰程序，做严做实表彰奖励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突出劳动维权，全力防控社会和谐“风险点”。要强化劳动关系协商协调。促进集体协商扩面提质，推动行业性、区域性集体协商。加大对特殊时期企业劳动关系处理的指导服务，规范企业用工。要加强劳动监察执法维权。有序开展根治欠薪专项行动，加强问题排查，动态治理欠薪。推进“双随机一公开”监管机制，提升执法水平。及时公布重大劳动保障违法行为，加强联合惩戒。要增强劳动争议调处效能。强化部门联动与协同配合，加快推进栖霞区劳动人事争议调处中心建设，提升劳动领域矛盾纠纷多元化解能力。依法及时有效处理争议仲裁案件，确保结案率100%。</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突出便民高效，全力打造人社服务“新标杆”。要深化“放管服”改革。大力实施人社服务快办行动，进一步减证便民、限时提效。对老年人等特殊群体，通过人工专窗、他人代办、上门服务等方式解决其实际困难。要强化信息化支撑。广泛宣传江苏政务服务平台、“我的南京”、栖霞区不见面审批系统等线上办理平台，大力推行电子社保卡，提升群众办事的体验感和便捷度。要深入一线主动服务。通过数据赋能、流程再造、政策敲门，让惠企利民政策精准对接，实现“政策找人、政策找企”，提升政策的到达率和兑现率。建立调研走访活动常态化机制，积极主动对接服务企业，着力解决企业反映强烈的突出问题。</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南京市栖霞区人力资源和社会保障局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南京市栖霞区人力资源和社会保障局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15,952.08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15,340.10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611.98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15,952.08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15,952.08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15,952.08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15,952.08</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15,952.08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15,952.08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15,952.08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南京市栖霞区人力资源和社会保障局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15,952.08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15,952.08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15,952.08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316001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南京市栖霞区人力资源和社会保障局（机关）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2,416.16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2,416.16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2,416.16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316002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南京市栖霞区人才交流服务中心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316003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南京市栖霞区社会保险管理中心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5,030.71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5,030.71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5,030.71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316004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南京市栖霞区劳动就业管理中心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8,078.00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8,078.00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8,078.00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316005</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南京市栖霞区劳动保障监察大队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134.84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134.84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134.84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316006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南京市栖霞区劳动人事争议仲裁院</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172.24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172.24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172.24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15,952.08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3,298.23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12,653.85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2,686.25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12,653.85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2,686.25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846.55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综合业务管理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劳动保障监察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社会保险业务管理事务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851.96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劳动关系和维权</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劳动人事争议调解仲裁</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其他生活救助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其他城市生活救助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南京市栖霞区人力资源和社会保障局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15,952.08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15,952.08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15,952.08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15,340.10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611.98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15,952.08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15,952.08</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15,952.08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3,298.23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3,181.87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116.36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12,653.85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15,340.10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2,686.25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2,569.89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12,653.85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3,532.80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2,686.25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2,569.89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846.55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2,005.22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1,925.22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综合业务管理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劳动保障监察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社会保险业务管理事务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851.96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劳动关系和维权</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劳动人事争议调解仲裁</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其他生活救助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其他城市生活救助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11,726.30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11,726.30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南京市栖霞区人力资源和社会保障局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3,298.23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3,181.87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15,952.08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3,298.23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3,181.87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12,653.85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15,340.10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2,686.25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2,569.89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12,653.85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3,532.80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2,686.25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2,569.89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846.55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2,005.22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综合业务管理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劳动保障监察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社会保险业务管理事务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851.96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劳动关系和维权</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劳动人事争议调解仲裁</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其他生活救助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其他城市生活救助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3,298.23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3,181.87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南京市栖霞区人力资源和社会保障局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南京市栖霞区人力资源和社会保障局（机关）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扫描仪</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0.17</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南京市栖霞区人才交流服务中心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金属质柜类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南京市栖霞区社会保险管理中心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南京市栖霞区劳动就业管理中心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南京市栖霞区劳动保障监察大队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1.77</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摄录一体机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0.17</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制服</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南京市栖霞区劳动人事争议仲裁院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南京市栖霞区人力资源和社会保障局2022年度收入、支出预算总计15,952.08万元，与上年相比收、支预算总计各增加6,028.31万元，增长60.75%。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（一）收入预算总计15,952.08万元。包括：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1．本年收入合计15,952.08万元。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（1）一般公共预算拨款收入15,952.08万元，与上年相比增加6,028.31万元，增长60.75%。主要原因是2022年市级下放三项补贴发放，涉及金额5520万元、新增老农保经费。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（二）支出预算总计15,952.08万元。包括：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1．本年支出合计15,952.08万元。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15,340.1万元，主要用于区人社局及下属单位运转经费和项目支出。与上年相比增加6,019.23万元，增长64.58%。主要原因是2022年市级下放三项补贴发放，涉及金额5520万元、新增老农保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（2）住房保障支出（类）支出611.98万元，主要用于住房公积金、住房补贴等支出。与上年相比增加9.08万元，增长1.51%。主要原因是政策性调整住房公积金、住房补贴。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南京市栖霞区人力资源和社会保障局2022年收入预算合计15,952.08万元，包括本年收入15,952.08万元，上年结转结余0万元。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本年一般公共预算收入15,952.08万元，占100%；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南京市栖霞区人力资源和社会保障局2022年支出预算合计15,952.08万元，其中：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基本支出3,298.23万元，占20.68%；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项目支出12,653.85万元，占79.32%；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度财政拨款收、支总预算15,952.08万元。与上年相比，财政拨款收、支总计各增加6,028.31万元，增长60.75%。主要原因是2022年市级下放三项补贴发放，涉及金额5520万元、新增老农保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财政拨款预算支出15,952.08万元，占本年支出合计的100%。与上年相比，财政拨款支出增加6,028.31万元，增长60.75%。主要原因是2022年市级下放三项补贴发放，涉及金额5520万元、新增老农保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1.人力资源和社会保障管理事务（款）行政运行（项）支出2,005.22万元，与上年相比增加197.26万元，增长10.91%。主要原因是政策性调整人员工资、公用经费。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2.人力资源和社会保障管理事务（款）机关服务（项）支出11.65万元，与上年相比增加11.65万元（去年预算数为0万元，无法计算增减比率）。主要原因是功能科目调整。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3.人力资源和社会保障管理事务（款）综合业务管理（项）支出5万元，与上年相比增加5万元（去年预算数为0万元，无法计算增减比率）。主要原因是功能科目调整。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4.人力资源和社会保障管理事务（款）劳动保障监察（项）支出89.88万元，与上年相比增加17.51万元，增长24.2%。主要原因是政策性调整工资、住房公积金、住房补贴。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5.人力资源和社会保障管理事务（款）就业管理事务（项）支出223.01万元，与上年相比减少137.53万元，减少38.15%。主要原因是人员经费减少。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6.人力资源和社会保障管理事务（款）社会保险业务管理事务（项）支出851.96万元，与上年相比增加591.54万元，增长227.15%。主要原因是2022年新增老农保经费、各项民生补助标准提高。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7.人力资源和社会保障管理事务（款）社会保险经办机构（项）支出17万元，与上年相比减少4,022.3万元，减少99.58%。主要原因是功能科目调整。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8.人力资源和社会保障管理事务（款）劳动关系和维权（项）支出105.76万元，与上年相比增加17.42万元，增长19.72%。主要原因是政策性调整工资、住房公积金、住房补贴。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9.人力资源和社会保障管理事务（款）劳动人事争议调解仲裁（项）支出0.4万元，与上年相比减少5.9万元，减少93.65%。主要原因是厉行节约。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10.人力资源和社会保障管理事务（款）事业运行（项）支出87.42万元，与上年相比增加17.08万元，增长24.28%。主要原因是人员增加。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11.人力资源和社会保障管理事务（款）其他人力资源和社会保障管理事务支出（项）支出135.5万元，与上年相比减少93.1万元，减少40.73%。主要原因是功能科目调整。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12.其他生活救助（款）其他城市生活救助（项）支出81万元，与上年相比增加3万元，增长3.85%。主要原因是原支边等人员老年生活补助标准提高。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13.其他社会保障和就业支出（款）其他社会保障和就业支出（项）支出11,726.3万元，与上年相比增加11,217.6万元，增长2,205.15%。主要原因是功能科目调整。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1.住房改革支出（款）住房公积金（项）支出193.25万元，与上年相比增加2.92万元，增长1.53%。主要原因是政策性调整住房公积金。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2.住房改革支出（款）购房补贴（项）支出418.73万元，与上年相比增加6.16万元，增长1.49%。主要原因是政策性调整购房补贴。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南京市栖霞区人力资源和社会保障局2022年度财政拨款基本支出预算3,298.23万元，其中：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3,181.87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（二）公用经费116.36万元。主要包括：办公费、邮电费、差旅费、会议费、培训费、公务接待费、工会经费、公务用车运行维护费、其他交通费用、其他商品和服务支出。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南京市栖霞区人力资源和社会保障局2022年一般公共预算财政拨款支出预算15,952.08万元，与上年相比增加6,028.31万元，增长60.75%。主要原因是2022年市级下放三项补贴发放，涉及金额5520万元、新增老农保经费。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南京市栖霞区人力资源和社会保障局2022年度一般公共预算财政拨款基本支出预算3,298.23万元，其中：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3,181.87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（二）公用经费116.36万元。主要包括：办公费、邮电费、差旅费、会议费、培训费、公务接待费、工会经费、公务用车运行维护费、其他交通费用、其他商品和服务支出。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度一般公共预算拨款安排的“三公”经费预算支出中，因公出国（境）费支出0万元，占“三公”经费的0%；公务用车购置及运行维护费支出3.4万元，占“三公”经费的77.27%；公务接待费支出1万元，占“三公”经费的22.73%。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（2）公务用车运行维护费预算支出3.4万元，比上年预算增加0.5万元，主要原因是公务用车运行维护成本提高。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南京市栖霞区人力资源和社会保障局2022年度一般公共预算拨款安排的会议费预算支出1.7万元，比上年预算增加0.3万元，主要原因是工作开展需要。</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南京市栖霞区人力资源和社会保障局2022年度一般公共预算拨款安排的培训费预算支出6.7万元，比上年预算减少504万元，主要原因是功能科目调整。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南京市栖霞区人力资源和社会保障局2022年国有资本经营预算支出0万元。与上年预算数相同。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2022年本部门一般公共预算机关运行经费预算支出96.04万元。与上年相比减少4.84万元，减少4.8%。主要原因是厉行节约。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2022年度政府采购支出预算总额14.05万元，其中：拟采购货物支出14.05万元、拟采购工程支出0万元、拟购买服务支出0万元。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辆，其中，一般公务用车0辆、执法执勤用车1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2022年度，本部门整体支出纳入绩效目标管理，涉及四本预算资金15,952.08万元；本部门共19个项目纳入绩效目标管理，涉及四本预算资金合计12,653.85万元，占四本预算资金(基本支出除外)总额的比例为100%。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八、社会保障和就业支出(类)人力资源和社会保障管理事务(款)行政运行(项)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九、社会保障和就业支出(类)人力资源和社会保障管理事务(款)机关服务(项)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十、社会保障和就业支出(类)人力资源和社会保障管理事务(款)综合业务管理(项)</w:t>
      </w:r>
      <w:r>
        <w:rPr>
          <w:rFonts w:ascii="仿宋" w:hAnsi="仿宋" w:cs="仿宋" w:eastAsia="仿宋"/>
          <w:b w:val="true"/>
        </w:rPr>
        <w:t>：</w:t>
      </w:r>
      <w:r>
        <w:rPr>
          <w:rFonts w:hint="eastAsia" w:ascii="仿宋" w:hAnsi="仿宋" w:eastAsia="仿宋" w:cs="仿宋"/>
        </w:rPr>
        <w:t>反映人力资源和社会保障管理方面综合性管理事务支出。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十一、社会保障和就业支出(类)人力资源和社会保障管理事务(款)劳动保障监察(项)</w:t>
      </w:r>
      <w:r>
        <w:rPr>
          <w:rFonts w:ascii="仿宋" w:hAnsi="仿宋" w:cs="仿宋" w:eastAsia="仿宋"/>
          <w:b w:val="true"/>
        </w:rPr>
        <w:t>：</w:t>
      </w:r>
      <w:r>
        <w:rPr>
          <w:rFonts w:hint="eastAsia" w:ascii="仿宋" w:hAnsi="仿宋" w:eastAsia="仿宋" w:cs="仿宋"/>
        </w:rPr>
        <w:t>反映劳动保障监察事务支出。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十二、社会保障和就业支出(类)人力资源和社会保障管理事务(款)就业管理事务(项)</w:t>
      </w:r>
      <w:r>
        <w:rPr>
          <w:rFonts w:ascii="仿宋" w:hAnsi="仿宋" w:cs="仿宋" w:eastAsia="仿宋"/>
          <w:b w:val="true"/>
        </w:rPr>
        <w:t>：</w:t>
      </w:r>
      <w:r>
        <w:rPr>
          <w:rFonts w:hint="eastAsia" w:ascii="仿宋" w:hAnsi="仿宋" w:eastAsia="仿宋" w:cs="仿宋"/>
        </w:rPr>
        <w:t>反映就业和职业技能鉴定管理方面的支出。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十三、社会保障和就业支出(类)人力资源和社会保障管理事务(款)社会保险业务管理事务(项)</w:t>
      </w:r>
      <w:r>
        <w:rPr>
          <w:rFonts w:ascii="仿宋" w:hAnsi="仿宋" w:cs="仿宋" w:eastAsia="仿宋"/>
          <w:b w:val="true"/>
        </w:rPr>
        <w:t>：</w:t>
      </w:r>
      <w:r>
        <w:rPr>
          <w:rFonts w:hint="eastAsia" w:ascii="仿宋" w:hAnsi="仿宋" w:eastAsia="仿宋" w:cs="仿宋"/>
        </w:rPr>
        <w:t>反映社会保险业务管理和基金监督方面的支出。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十四、社会保障和就业支出(类)人力资源和社会保障管理事务(款)社会保险经办机构(项)</w:t>
      </w:r>
      <w:r>
        <w:rPr>
          <w:rFonts w:ascii="仿宋" w:hAnsi="仿宋" w:cs="仿宋" w:eastAsia="仿宋"/>
          <w:b w:val="true"/>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十五、社会保障和就业支出(类)人力资源和社会保障管理事务(款)劳动关系和维权(项)</w:t>
      </w:r>
      <w:r>
        <w:rPr>
          <w:rFonts w:ascii="仿宋" w:hAnsi="仿宋" w:cs="仿宋" w:eastAsia="仿宋"/>
          <w:b w:val="true"/>
        </w:rPr>
        <w:t>：</w:t>
      </w:r>
      <w:r>
        <w:rPr>
          <w:rFonts w:hint="eastAsia" w:ascii="仿宋" w:hAnsi="仿宋" w:eastAsia="仿宋" w:cs="仿宋"/>
        </w:rPr>
        <w:t>反映劳动关系和维权事务支出。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十六、社会保障和就业支出(类)人力资源和社会保障管理事务(款)劳动人事争议调解仲裁(项)</w:t>
      </w:r>
      <w:r>
        <w:rPr>
          <w:rFonts w:ascii="仿宋" w:hAnsi="仿宋" w:cs="仿宋" w:eastAsia="仿宋"/>
          <w:b w:val="true"/>
        </w:rPr>
        <w:t>：</w:t>
      </w:r>
      <w:r>
        <w:rPr>
          <w:rFonts w:hint="eastAsia" w:ascii="仿宋" w:hAnsi="仿宋" w:eastAsia="仿宋" w:cs="仿宋"/>
        </w:rPr>
        <w:t>反映仲裁机构实体化建设、办案经费、调解仲裁能力建设等支出。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十七、社会保障和就业支出(类)人力资源和社会保障管理事务(款)事业运行(项)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十八、社会保障和就业支出(类)人力资源和社会保障管理事务(款)其他人力资源和社会保障管理事务支出(项)</w:t>
      </w:r>
      <w:r>
        <w:rPr>
          <w:rFonts w:ascii="仿宋" w:hAnsi="仿宋" w:cs="仿宋" w:eastAsia="仿宋"/>
          <w:b w:val="true"/>
        </w:rPr>
        <w:t>：</w:t>
      </w:r>
      <w:r>
        <w:rPr>
          <w:rFonts w:hint="eastAsia" w:ascii="仿宋" w:hAnsi="仿宋" w:eastAsia="仿宋" w:cs="仿宋"/>
        </w:rPr>
        <w:t>反映除上述项目以外其他用于人力资源和社会保障管理事务方面的支出。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十九、社会保障和就业支出(类)其他生活救助(款)其他城市生活救助(项)</w:t>
      </w:r>
      <w:r>
        <w:rPr>
          <w:rFonts w:ascii="仿宋" w:hAnsi="仿宋" w:cs="仿宋" w:eastAsia="仿宋"/>
          <w:b w:val="true"/>
        </w:rPr>
        <w:t>：</w:t>
      </w:r>
      <w:r>
        <w:rPr>
          <w:rFonts w:hint="eastAsia" w:ascii="仿宋" w:hAnsi="仿宋" w:eastAsia="仿宋" w:cs="仿宋"/>
        </w:rPr>
        <w:t>反映除最低生活保障、临时救助、特困人员救助供养外，用于城市生活困难居民生活救助的其他支出，包括用于除优抚对象、失业人员之外城市生活困难居民的价格临时补贴支出。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南京市栖霞区人力资源和社会保障局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