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9388C">
      <w:pPr>
        <w:tabs>
          <w:tab w:val="left" w:pos="390"/>
          <w:tab w:val="center" w:pos="4404"/>
        </w:tabs>
        <w:spacing w:line="720" w:lineRule="auto"/>
        <w:jc w:val="center"/>
        <w:rPr>
          <w:rFonts w:ascii="宋体" w:hAnsi="宋体" w:eastAsia="宋体" w:cs="宋体"/>
          <w:b/>
          <w:color w:val="auto"/>
          <w:sz w:val="84"/>
          <w:szCs w:val="84"/>
          <w:highlight w:val="none"/>
        </w:rPr>
      </w:pPr>
      <w:bookmarkStart w:id="40" w:name="_GoBack"/>
      <w:bookmarkEnd w:id="40"/>
    </w:p>
    <w:p w14:paraId="5B089B62">
      <w:pPr>
        <w:tabs>
          <w:tab w:val="left" w:pos="390"/>
          <w:tab w:val="center" w:pos="4404"/>
        </w:tabs>
        <w:spacing w:line="720" w:lineRule="auto"/>
        <w:jc w:val="center"/>
        <w:rPr>
          <w:rFonts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208171FB">
      <w:pPr>
        <w:spacing w:line="720" w:lineRule="auto"/>
        <w:jc w:val="center"/>
        <w:rPr>
          <w:rFonts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（服务类）</w:t>
      </w:r>
    </w:p>
    <w:p w14:paraId="04803FA3">
      <w:pPr>
        <w:widowControl/>
        <w:spacing w:line="720" w:lineRule="auto"/>
        <w:rPr>
          <w:rFonts w:ascii="宋体" w:hAnsi="宋体" w:eastAsia="宋体" w:cs="宋体"/>
          <w:b/>
          <w:bCs/>
          <w:color w:val="auto"/>
          <w:kern w:val="0"/>
          <w:sz w:val="32"/>
          <w:szCs w:val="32"/>
          <w:highlight w:val="none"/>
          <w:lang w:bidi="ar"/>
        </w:rPr>
      </w:pPr>
      <w:bookmarkStart w:id="0" w:name="_Toc178587623"/>
    </w:p>
    <w:p w14:paraId="7C8C23CD">
      <w:pPr>
        <w:widowControl/>
        <w:spacing w:line="720" w:lineRule="auto"/>
        <w:ind w:firstLine="1606" w:firstLineChars="500"/>
        <w:rPr>
          <w:rFonts w:hint="default" w:ascii="宋体" w:hAnsi="宋体" w:eastAsia="宋体" w:cs="宋体"/>
          <w:b/>
          <w:bCs/>
          <w:color w:val="auto"/>
          <w:kern w:val="0"/>
          <w:sz w:val="32"/>
          <w:szCs w:val="32"/>
          <w:highlight w:val="none"/>
          <w:lang w:val="en-US" w:eastAsia="zh-CN" w:bidi="ar"/>
        </w:rPr>
      </w:pPr>
      <w:r>
        <w:rPr>
          <w:rFonts w:hint="eastAsia" w:ascii="宋体" w:hAnsi="宋体" w:eastAsia="宋体" w:cs="宋体"/>
          <w:b/>
          <w:bCs/>
          <w:color w:val="auto"/>
          <w:kern w:val="0"/>
          <w:sz w:val="32"/>
          <w:szCs w:val="32"/>
          <w:highlight w:val="none"/>
          <w:lang w:bidi="ar"/>
        </w:rPr>
        <w:t>项目编号：</w:t>
      </w:r>
      <w:bookmarkEnd w:id="0"/>
      <w:r>
        <w:rPr>
          <w:rFonts w:hint="eastAsia" w:ascii="宋体" w:hAnsi="宋体" w:eastAsia="宋体" w:cs="宋体"/>
          <w:b/>
          <w:bCs/>
          <w:color w:val="auto"/>
          <w:kern w:val="0"/>
          <w:sz w:val="32"/>
          <w:szCs w:val="32"/>
          <w:highlight w:val="none"/>
          <w:lang w:bidi="ar"/>
        </w:rPr>
        <w:t>JSBY-FW-2026057</w:t>
      </w:r>
      <w:r>
        <w:rPr>
          <w:rFonts w:hint="eastAsia" w:ascii="宋体" w:hAnsi="宋体" w:eastAsia="宋体" w:cs="宋体"/>
          <w:b/>
          <w:bCs/>
          <w:color w:val="auto"/>
          <w:kern w:val="0"/>
          <w:sz w:val="32"/>
          <w:szCs w:val="32"/>
          <w:highlight w:val="none"/>
          <w:lang w:val="en-US" w:eastAsia="zh-CN" w:bidi="ar"/>
        </w:rPr>
        <w:t xml:space="preserve"> </w:t>
      </w:r>
    </w:p>
    <w:p w14:paraId="46B2C5EC">
      <w:pPr>
        <w:tabs>
          <w:tab w:val="left" w:pos="390"/>
          <w:tab w:val="center" w:pos="4404"/>
        </w:tabs>
        <w:spacing w:line="720" w:lineRule="auto"/>
        <w:ind w:firstLine="1606" w:firstLineChars="500"/>
        <w:rPr>
          <w:rFonts w:hint="eastAsia" w:ascii="宋体" w:hAnsi="宋体" w:eastAsia="宋体" w:cs="宋体"/>
          <w:b/>
          <w:bCs/>
          <w:color w:val="auto"/>
          <w:kern w:val="0"/>
          <w:sz w:val="32"/>
          <w:szCs w:val="32"/>
          <w:highlight w:val="none"/>
          <w:lang w:val="en-US" w:eastAsia="zh-CN" w:bidi="ar"/>
        </w:rPr>
      </w:pPr>
      <w:bookmarkStart w:id="1" w:name="_Toc178587624"/>
      <w:r>
        <w:rPr>
          <w:rFonts w:hint="eastAsia" w:ascii="宋体" w:hAnsi="宋体" w:eastAsia="宋体" w:cs="宋体"/>
          <w:b/>
          <w:bCs/>
          <w:color w:val="auto"/>
          <w:kern w:val="0"/>
          <w:sz w:val="32"/>
          <w:szCs w:val="32"/>
          <w:highlight w:val="none"/>
          <w:lang w:bidi="ar"/>
        </w:rPr>
        <w:t>项目名称：</w:t>
      </w:r>
      <w:bookmarkEnd w:id="1"/>
      <w:r>
        <w:rPr>
          <w:rFonts w:hint="eastAsia" w:ascii="宋体" w:hAnsi="宋体" w:eastAsia="宋体" w:cs="宋体"/>
          <w:b/>
          <w:bCs/>
          <w:color w:val="auto"/>
          <w:kern w:val="0"/>
          <w:sz w:val="32"/>
          <w:szCs w:val="32"/>
          <w:highlight w:val="none"/>
          <w:lang w:val="en-US" w:eastAsia="zh-CN" w:bidi="ar"/>
        </w:rPr>
        <w:t>残疾人社区康复服务项目（二次）</w:t>
      </w:r>
    </w:p>
    <w:p w14:paraId="5C0DA660">
      <w:pPr>
        <w:pStyle w:val="17"/>
        <w:spacing w:line="720" w:lineRule="auto"/>
        <w:ind w:firstLine="0" w:firstLineChars="0"/>
        <w:rPr>
          <w:rFonts w:ascii="宋体" w:hAnsi="宋体" w:eastAsia="宋体" w:cs="宋体"/>
          <w:b/>
          <w:bCs/>
          <w:color w:val="auto"/>
          <w:sz w:val="84"/>
          <w:szCs w:val="84"/>
          <w:highlight w:val="none"/>
        </w:rPr>
      </w:pPr>
    </w:p>
    <w:p w14:paraId="2A8A72D7">
      <w:pPr>
        <w:pStyle w:val="17"/>
        <w:spacing w:line="720" w:lineRule="auto"/>
        <w:ind w:firstLine="0" w:firstLineChars="0"/>
        <w:rPr>
          <w:rFonts w:ascii="宋体" w:hAnsi="宋体" w:eastAsia="宋体" w:cs="宋体"/>
          <w:b/>
          <w:bCs/>
          <w:color w:val="auto"/>
          <w:sz w:val="84"/>
          <w:szCs w:val="84"/>
          <w:highlight w:val="none"/>
        </w:rPr>
      </w:pPr>
    </w:p>
    <w:p w14:paraId="2951DA53">
      <w:pPr>
        <w:spacing w:line="72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drawing>
          <wp:inline distT="0" distB="0" distL="114300" distR="114300">
            <wp:extent cx="2446020" cy="1196340"/>
            <wp:effectExtent l="0" t="0" r="7620" b="7620"/>
            <wp:docPr id="4" name="图片 1" descr="本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本誉"/>
                    <pic:cNvPicPr>
                      <a:picLocks noChangeAspect="1"/>
                    </pic:cNvPicPr>
                  </pic:nvPicPr>
                  <pic:blipFill>
                    <a:blip r:embed="rId8"/>
                    <a:stretch>
                      <a:fillRect/>
                    </a:stretch>
                  </pic:blipFill>
                  <pic:spPr>
                    <a:xfrm>
                      <a:off x="0" y="0"/>
                      <a:ext cx="2446020" cy="1196340"/>
                    </a:xfrm>
                    <a:prstGeom prst="rect">
                      <a:avLst/>
                    </a:prstGeom>
                    <a:noFill/>
                    <a:ln>
                      <a:noFill/>
                    </a:ln>
                  </pic:spPr>
                </pic:pic>
              </a:graphicData>
            </a:graphic>
          </wp:inline>
        </w:drawing>
      </w:r>
    </w:p>
    <w:p w14:paraId="16AB1C4D">
      <w:pPr>
        <w:spacing w:line="72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二〇二六年</w:t>
      </w:r>
      <w:r>
        <w:rPr>
          <w:rFonts w:hint="eastAsia" w:ascii="宋体" w:hAnsi="宋体" w:eastAsia="宋体" w:cs="宋体"/>
          <w:b/>
          <w:bCs/>
          <w:color w:val="auto"/>
          <w:sz w:val="32"/>
          <w:szCs w:val="32"/>
          <w:highlight w:val="none"/>
          <w:lang w:val="en-US" w:eastAsia="zh-CN"/>
        </w:rPr>
        <w:t>十</w:t>
      </w:r>
      <w:r>
        <w:rPr>
          <w:rFonts w:hint="eastAsia" w:ascii="宋体" w:hAnsi="宋体" w:eastAsia="宋体" w:cs="宋体"/>
          <w:b/>
          <w:bCs/>
          <w:color w:val="auto"/>
          <w:sz w:val="32"/>
          <w:szCs w:val="32"/>
          <w:highlight w:val="none"/>
        </w:rPr>
        <w:t>月</w:t>
      </w:r>
    </w:p>
    <w:p w14:paraId="6F62B5F3">
      <w:pPr>
        <w:spacing w:line="720" w:lineRule="auto"/>
        <w:jc w:val="center"/>
        <w:rPr>
          <w:rFonts w:ascii="宋体" w:hAnsi="宋体" w:cs="宋体"/>
          <w:b/>
          <w:bCs/>
          <w:color w:val="auto"/>
          <w:sz w:val="32"/>
          <w:szCs w:val="32"/>
          <w:highlight w:val="none"/>
        </w:rPr>
      </w:pPr>
    </w:p>
    <w:p w14:paraId="127EEA7B">
      <w:pPr>
        <w:spacing w:line="720" w:lineRule="auto"/>
        <w:jc w:val="center"/>
        <w:rPr>
          <w:rFonts w:ascii="宋体" w:hAnsi="宋体" w:cs="宋体"/>
          <w:b/>
          <w:bCs/>
          <w:color w:val="auto"/>
          <w:sz w:val="32"/>
          <w:szCs w:val="32"/>
          <w:highlight w:val="none"/>
        </w:rPr>
        <w:sectPr>
          <w:headerReference r:id="rId3" w:type="default"/>
          <w:footerReference r:id="rId4" w:type="default"/>
          <w:pgSz w:w="11906" w:h="16838"/>
          <w:pgMar w:top="1440" w:right="1083" w:bottom="1440" w:left="1083" w:header="851" w:footer="992" w:gutter="0"/>
          <w:pgNumType w:start="1"/>
          <w:cols w:space="0" w:num="1"/>
          <w:docGrid w:type="lines" w:linePitch="312" w:charSpace="0"/>
        </w:sectPr>
      </w:pPr>
    </w:p>
    <w:p w14:paraId="751A5E0B">
      <w:pPr>
        <w:pStyle w:val="6"/>
        <w:rPr>
          <w:color w:val="auto"/>
          <w:highlight w:val="none"/>
        </w:rPr>
      </w:pPr>
    </w:p>
    <w:sdt>
      <w:sdtPr>
        <w:rPr>
          <w:rFonts w:ascii="宋体" w:hAnsi="宋体" w:eastAsia="宋体"/>
          <w:color w:val="auto"/>
          <w:highlight w:val="none"/>
        </w:rPr>
        <w:id w:val="147483485"/>
        <w15:color w:val="DBDBDB"/>
        <w:docPartObj>
          <w:docPartGallery w:val="Table of Contents"/>
          <w:docPartUnique/>
        </w:docPartObj>
      </w:sdtPr>
      <w:sdtEndPr>
        <w:rPr>
          <w:rFonts w:hint="eastAsia" w:ascii="宋体" w:hAnsi="宋体" w:eastAsia="宋体" w:cs="宋体"/>
          <w:color w:val="auto"/>
          <w:sz w:val="28"/>
          <w:szCs w:val="28"/>
          <w:highlight w:val="none"/>
        </w:rPr>
      </w:sdtEndPr>
      <w:sdtContent>
        <w:p w14:paraId="252AEF2E">
          <w:pPr>
            <w:spacing w:line="560" w:lineRule="exact"/>
            <w:jc w:val="center"/>
            <w:rPr>
              <w:b/>
              <w:bCs/>
              <w:color w:val="auto"/>
              <w:sz w:val="40"/>
              <w:szCs w:val="40"/>
              <w:highlight w:val="none"/>
            </w:rPr>
          </w:pPr>
          <w:r>
            <w:rPr>
              <w:rFonts w:ascii="宋体" w:hAnsi="宋体" w:eastAsia="宋体"/>
              <w:b/>
              <w:bCs/>
              <w:color w:val="auto"/>
              <w:sz w:val="40"/>
              <w:szCs w:val="40"/>
              <w:highlight w:val="none"/>
            </w:rPr>
            <w:t>目</w:t>
          </w:r>
          <w:r>
            <w:rPr>
              <w:rFonts w:hint="eastAsia" w:ascii="宋体" w:hAnsi="宋体" w:eastAsia="宋体"/>
              <w:b/>
              <w:bCs/>
              <w:color w:val="auto"/>
              <w:sz w:val="40"/>
              <w:szCs w:val="40"/>
              <w:highlight w:val="none"/>
            </w:rPr>
            <w:t xml:space="preserve">  </w:t>
          </w:r>
          <w:r>
            <w:rPr>
              <w:rFonts w:ascii="宋体" w:hAnsi="宋体" w:eastAsia="宋体"/>
              <w:b/>
              <w:bCs/>
              <w:color w:val="auto"/>
              <w:sz w:val="40"/>
              <w:szCs w:val="40"/>
              <w:highlight w:val="none"/>
            </w:rPr>
            <w:t>录</w:t>
          </w:r>
        </w:p>
        <w:p w14:paraId="26688036">
          <w:pPr>
            <w:pStyle w:val="13"/>
            <w:tabs>
              <w:tab w:val="right" w:leader="dot" w:pos="9740"/>
            </w:tabs>
            <w:spacing w:line="560" w:lineRule="exac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"1-1" \h \u </w:instrText>
          </w:r>
          <w:r>
            <w:rPr>
              <w:rFonts w:hint="eastAsia" w:ascii="宋体" w:hAnsi="宋体" w:eastAsia="宋体" w:cs="宋体"/>
              <w:color w:val="auto"/>
              <w:sz w:val="28"/>
              <w:szCs w:val="28"/>
              <w:highlight w:val="none"/>
            </w:rPr>
            <w:fldChar w:fldCharType="separate"/>
          </w:r>
          <w:r>
            <w:rPr>
              <w:color w:val="auto"/>
              <w:highlight w:val="none"/>
            </w:rPr>
            <w:fldChar w:fldCharType="begin"/>
          </w:r>
          <w:r>
            <w:rPr>
              <w:color w:val="auto"/>
              <w:highlight w:val="none"/>
            </w:rPr>
            <w:instrText xml:space="preserve"> HYPERLINK \l "_Toc29416" </w:instrText>
          </w:r>
          <w:r>
            <w:rPr>
              <w:color w:val="auto"/>
              <w:highlight w:val="none"/>
            </w:rPr>
            <w:fldChar w:fldCharType="separate"/>
          </w:r>
          <w:r>
            <w:rPr>
              <w:rFonts w:hint="eastAsia" w:ascii="宋体" w:hAnsi="宋体" w:eastAsia="宋体" w:cs="宋体"/>
              <w:color w:val="auto"/>
              <w:sz w:val="28"/>
              <w:szCs w:val="28"/>
              <w:highlight w:val="none"/>
            </w:rPr>
            <w:t>第一章 竞争性磋商邀请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_Toc29416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47623A4">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"_Toc32749" </w:instrText>
          </w:r>
          <w:r>
            <w:rPr>
              <w:color w:val="auto"/>
              <w:highlight w:val="none"/>
            </w:rPr>
            <w:fldChar w:fldCharType="separate"/>
          </w:r>
          <w:r>
            <w:rPr>
              <w:rFonts w:hint="eastAsia" w:ascii="宋体" w:hAnsi="宋体" w:eastAsia="宋体" w:cs="宋体"/>
              <w:color w:val="auto"/>
              <w:sz w:val="28"/>
              <w:szCs w:val="28"/>
              <w:highlight w:val="none"/>
            </w:rPr>
            <w:t>第二章 竞争性磋商须知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_Toc32749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1B7F2BF">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"_Toc19491" </w:instrText>
          </w:r>
          <w:r>
            <w:rPr>
              <w:color w:val="auto"/>
              <w:highlight w:val="none"/>
            </w:rPr>
            <w:fldChar w:fldCharType="separate"/>
          </w:r>
          <w:r>
            <w:rPr>
              <w:rFonts w:hint="eastAsia" w:ascii="宋体" w:hAnsi="宋体" w:eastAsia="宋体" w:cs="宋体"/>
              <w:color w:val="auto"/>
              <w:kern w:val="44"/>
              <w:sz w:val="28"/>
              <w:szCs w:val="28"/>
              <w:highlight w:val="none"/>
            </w:rPr>
            <w:t>第三章</w:t>
          </w:r>
          <w:r>
            <w:rPr>
              <w:rFonts w:hint="eastAsia" w:ascii="宋体" w:hAnsi="宋体" w:eastAsia="宋体" w:cs="宋体"/>
              <w:color w:val="auto"/>
              <w:sz w:val="28"/>
              <w:szCs w:val="28"/>
              <w:highlight w:val="none"/>
            </w:rPr>
            <w:t xml:space="preserve"> 成交标准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_Toc19491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F899C4E">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"_Toc23709" </w:instrText>
          </w:r>
          <w:r>
            <w:rPr>
              <w:color w:val="auto"/>
              <w:highlight w:val="none"/>
            </w:rPr>
            <w:fldChar w:fldCharType="separate"/>
          </w:r>
          <w:r>
            <w:rPr>
              <w:rFonts w:hint="eastAsia" w:ascii="宋体" w:hAnsi="宋体" w:eastAsia="宋体" w:cs="宋体"/>
              <w:color w:val="auto"/>
              <w:kern w:val="44"/>
              <w:sz w:val="28"/>
              <w:szCs w:val="28"/>
              <w:highlight w:val="none"/>
            </w:rPr>
            <w:t>第四章</w:t>
          </w:r>
          <w:r>
            <w:rPr>
              <w:rFonts w:hint="eastAsia" w:ascii="宋体" w:hAnsi="宋体" w:eastAsia="宋体" w:cs="宋体"/>
              <w:color w:val="auto"/>
              <w:sz w:val="28"/>
              <w:szCs w:val="28"/>
              <w:highlight w:val="none"/>
            </w:rPr>
            <w:t xml:space="preserve"> 采购项目的服务要求和数量等</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_Toc23709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5FCE6C0">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"_Toc7949" </w:instrText>
          </w:r>
          <w:r>
            <w:rPr>
              <w:color w:val="auto"/>
              <w:highlight w:val="none"/>
            </w:rPr>
            <w:fldChar w:fldCharType="separate"/>
          </w:r>
          <w:r>
            <w:rPr>
              <w:rFonts w:hint="eastAsia" w:ascii="宋体" w:hAnsi="宋体" w:eastAsia="宋体" w:cs="宋体"/>
              <w:color w:val="auto"/>
              <w:sz w:val="28"/>
              <w:szCs w:val="28"/>
              <w:highlight w:val="none"/>
              <w:lang w:val="zh-CN"/>
            </w:rPr>
            <w:t>第五章 合同草案条款</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_Toc7949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28</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12480D4">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"_Toc17041" </w:instrText>
          </w:r>
          <w:r>
            <w:rPr>
              <w:color w:val="auto"/>
              <w:highlight w:val="none"/>
            </w:rPr>
            <w:fldChar w:fldCharType="separate"/>
          </w:r>
          <w:r>
            <w:rPr>
              <w:rFonts w:hint="eastAsia" w:ascii="宋体" w:hAnsi="宋体" w:eastAsia="宋体" w:cs="宋体"/>
              <w:color w:val="auto"/>
              <w:sz w:val="28"/>
              <w:szCs w:val="28"/>
              <w:highlight w:val="none"/>
            </w:rPr>
            <w:t>第六章 响应文件格式及附件</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_Toc17041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E808F13">
          <w:pPr>
            <w:spacing w:line="560" w:lineRule="exac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end"/>
          </w:r>
        </w:p>
      </w:sdtContent>
    </w:sdt>
    <w:p w14:paraId="3321FBA5">
      <w:pPr>
        <w:spacing w:line="560" w:lineRule="exact"/>
        <w:rPr>
          <w:rFonts w:asciiTheme="minorEastAsia" w:hAnsiTheme="minorEastAsia" w:cstheme="minorEastAsia"/>
          <w:color w:val="auto"/>
          <w:kern w:val="0"/>
          <w:sz w:val="37"/>
          <w:szCs w:val="37"/>
          <w:highlight w:val="none"/>
          <w:lang w:bidi="ar"/>
        </w:rPr>
      </w:pPr>
      <w:r>
        <w:rPr>
          <w:rFonts w:hint="eastAsia" w:asciiTheme="minorEastAsia" w:hAnsiTheme="minorEastAsia" w:cstheme="minorEastAsia"/>
          <w:color w:val="auto"/>
          <w:kern w:val="0"/>
          <w:sz w:val="37"/>
          <w:szCs w:val="37"/>
          <w:highlight w:val="none"/>
          <w:lang w:bidi="ar"/>
        </w:rPr>
        <w:br w:type="page"/>
      </w:r>
    </w:p>
    <w:p w14:paraId="15C9B995">
      <w:pPr>
        <w:pStyle w:val="2"/>
        <w:spacing w:line="560" w:lineRule="exact"/>
        <w:jc w:val="center"/>
        <w:rPr>
          <w:color w:val="auto"/>
          <w:highlight w:val="none"/>
        </w:rPr>
      </w:pPr>
      <w:bookmarkStart w:id="2" w:name="_Toc29416"/>
      <w:r>
        <w:rPr>
          <w:rFonts w:hint="eastAsia"/>
          <w:color w:val="auto"/>
          <w:highlight w:val="none"/>
        </w:rPr>
        <w:t>第一章 竞争性磋商邀请</w:t>
      </w:r>
      <w:bookmarkEnd w:id="2"/>
    </w:p>
    <w:p w14:paraId="43F2BDF1">
      <w:pPr>
        <w:autoSpaceDE w:val="0"/>
        <w:autoSpaceDN w:val="0"/>
        <w:adjustRightInd w:val="0"/>
        <w:spacing w:line="560" w:lineRule="exact"/>
        <w:ind w:firstLine="480" w:firstLineChars="200"/>
        <w:rPr>
          <w:rFonts w:ascii="宋体" w:hAnsi="宋体" w:eastAsia="宋体" w:cs="宋体"/>
          <w:b/>
          <w:color w:val="auto"/>
          <w:sz w:val="24"/>
          <w:highlight w:val="none"/>
          <w:lang w:val="zh-CN"/>
        </w:rPr>
      </w:pPr>
      <w:r>
        <w:rPr>
          <w:rFonts w:hint="eastAsia" w:ascii="宋体" w:hAnsi="宋体" w:eastAsia="宋体" w:cs="宋体"/>
          <w:color w:val="auto"/>
          <w:sz w:val="24"/>
          <w:highlight w:val="none"/>
        </w:rPr>
        <w:t>受</w:t>
      </w:r>
      <w:r>
        <w:rPr>
          <w:rFonts w:hint="eastAsia" w:ascii="宋体" w:hAnsi="宋体" w:eastAsia="宋体" w:cs="宋体"/>
          <w:b/>
          <w:bCs/>
          <w:color w:val="auto"/>
          <w:sz w:val="24"/>
          <w:highlight w:val="none"/>
          <w:u w:val="single"/>
          <w:lang w:eastAsia="zh-CN"/>
        </w:rPr>
        <w:t>南京市栖霞区人民政府八卦洲街道办事处</w:t>
      </w:r>
      <w:r>
        <w:rPr>
          <w:rFonts w:hint="eastAsia" w:ascii="宋体" w:hAnsi="宋体" w:eastAsia="宋体" w:cs="宋体"/>
          <w:bCs/>
          <w:color w:val="auto"/>
          <w:sz w:val="24"/>
          <w:highlight w:val="none"/>
        </w:rPr>
        <w:t>（</w:t>
      </w:r>
      <w:r>
        <w:rPr>
          <w:rFonts w:hint="eastAsia" w:ascii="宋体" w:hAnsi="宋体" w:eastAsia="宋体" w:cs="宋体"/>
          <w:color w:val="auto"/>
          <w:sz w:val="24"/>
          <w:highlight w:val="none"/>
        </w:rPr>
        <w:t>单位名称，以下简称“采购人”）委托，</w:t>
      </w:r>
      <w:r>
        <w:rPr>
          <w:rFonts w:hint="eastAsia" w:ascii="宋体" w:hAnsi="宋体" w:eastAsia="宋体" w:cs="宋体"/>
          <w:b/>
          <w:bCs/>
          <w:color w:val="auto"/>
          <w:sz w:val="24"/>
          <w:highlight w:val="none"/>
          <w:u w:val="single"/>
        </w:rPr>
        <w:t>江苏本誉项目管理有限公司</w:t>
      </w:r>
      <w:r>
        <w:rPr>
          <w:rFonts w:hint="eastAsia" w:ascii="宋体" w:hAnsi="宋体" w:eastAsia="宋体" w:cs="宋体"/>
          <w:color w:val="auto"/>
          <w:sz w:val="24"/>
          <w:highlight w:val="none"/>
        </w:rPr>
        <w:t>（以下简称“代理机构”）就</w:t>
      </w:r>
      <w:r>
        <w:rPr>
          <w:rFonts w:hint="eastAsia" w:ascii="宋体" w:hAnsi="宋体" w:eastAsia="宋体" w:cs="宋体"/>
          <w:b/>
          <w:color w:val="auto"/>
          <w:sz w:val="24"/>
          <w:highlight w:val="none"/>
          <w:u w:val="single"/>
          <w:lang w:val="en-US" w:eastAsia="zh-CN"/>
        </w:rPr>
        <w:t xml:space="preserve"> 残疾人社区康复服务项目（二次） </w:t>
      </w:r>
      <w:r>
        <w:rPr>
          <w:rFonts w:hint="eastAsia" w:ascii="宋体" w:hAnsi="宋体" w:eastAsia="宋体" w:cs="宋体"/>
          <w:color w:val="auto"/>
          <w:sz w:val="24"/>
          <w:highlight w:val="none"/>
          <w:lang w:val="zh-CN"/>
        </w:rPr>
        <w:t>（项目名称）</w:t>
      </w:r>
      <w:r>
        <w:rPr>
          <w:rFonts w:hint="eastAsia" w:ascii="宋体" w:hAnsi="宋体" w:eastAsia="宋体" w:cs="宋体"/>
          <w:color w:val="auto"/>
          <w:sz w:val="24"/>
          <w:highlight w:val="none"/>
          <w:lang w:val="en-US" w:eastAsia="zh-CN"/>
        </w:rPr>
        <w:t>进行</w:t>
      </w:r>
      <w:r>
        <w:rPr>
          <w:rFonts w:hint="eastAsia" w:ascii="宋体" w:hAnsi="宋体" w:eastAsia="宋体" w:cs="宋体"/>
          <w:color w:val="auto"/>
          <w:sz w:val="24"/>
          <w:highlight w:val="none"/>
        </w:rPr>
        <w:t>竞争性磋商采购</w:t>
      </w:r>
      <w:r>
        <w:rPr>
          <w:rFonts w:hint="eastAsia" w:ascii="宋体" w:hAnsi="宋体" w:eastAsia="宋体" w:cs="宋体"/>
          <w:color w:val="auto"/>
          <w:sz w:val="24"/>
          <w:highlight w:val="none"/>
          <w:lang w:val="zh-CN"/>
        </w:rPr>
        <w:t>，兹邀请符合资格条件的</w:t>
      </w:r>
      <w:r>
        <w:rPr>
          <w:rFonts w:hint="eastAsia" w:ascii="宋体" w:hAnsi="宋体" w:eastAsia="宋体" w:cs="宋体"/>
          <w:color w:val="auto"/>
          <w:sz w:val="24"/>
          <w:highlight w:val="none"/>
        </w:rPr>
        <w:t>供应商参加报价和磋商</w:t>
      </w:r>
      <w:r>
        <w:rPr>
          <w:rFonts w:hint="eastAsia" w:ascii="宋体" w:hAnsi="宋体" w:eastAsia="宋体" w:cs="宋体"/>
          <w:color w:val="auto"/>
          <w:sz w:val="24"/>
          <w:highlight w:val="none"/>
          <w:lang w:val="zh-CN"/>
        </w:rPr>
        <w:t>。</w:t>
      </w:r>
    </w:p>
    <w:p w14:paraId="2D36FAE7">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一、项目基本情况</w:t>
      </w:r>
    </w:p>
    <w:p w14:paraId="6748AF67">
      <w:pPr>
        <w:tabs>
          <w:tab w:val="left" w:pos="7005"/>
        </w:tabs>
        <w:autoSpaceDE w:val="0"/>
        <w:autoSpaceDN w:val="0"/>
        <w:adjustRightInd w:val="0"/>
        <w:snapToGrid w:val="0"/>
        <w:spacing w:line="56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lang w:val="zh-CN"/>
        </w:rPr>
        <w:t>1.项目编号：JSBY-FW-2026057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05B083D6">
      <w:pPr>
        <w:autoSpaceDE w:val="0"/>
        <w:autoSpaceDN w:val="0"/>
        <w:adjustRightInd w:val="0"/>
        <w:snapToGrid w:val="0"/>
        <w:spacing w:line="560" w:lineRule="exact"/>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zh-CN"/>
        </w:rPr>
        <w:t>2.项目</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w:t>
      </w:r>
      <w:r>
        <w:rPr>
          <w:rFonts w:hint="eastAsia" w:ascii="宋体" w:hAnsi="宋体" w:eastAsia="宋体" w:cs="宋体"/>
          <w:b w:val="0"/>
          <w:bCs/>
          <w:color w:val="auto"/>
          <w:sz w:val="24"/>
          <w:highlight w:val="none"/>
          <w:u w:val="none"/>
          <w:lang w:val="en-US" w:eastAsia="zh-CN"/>
        </w:rPr>
        <w:t xml:space="preserve">残疾人社区康复服务项目（二次）  </w:t>
      </w:r>
      <w:r>
        <w:rPr>
          <w:rFonts w:hint="eastAsia" w:ascii="宋体" w:hAnsi="宋体" w:eastAsia="宋体" w:cs="宋体"/>
          <w:color w:val="auto"/>
          <w:sz w:val="24"/>
          <w:highlight w:val="none"/>
          <w:lang w:val="en-US" w:eastAsia="zh-CN"/>
        </w:rPr>
        <w:t xml:space="preserve"> </w:t>
      </w:r>
    </w:p>
    <w:p w14:paraId="05B57FC1">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3.采购需求：南京市栖霞区八卦洲街道</w:t>
      </w:r>
      <w:r>
        <w:rPr>
          <w:rFonts w:hint="eastAsia" w:ascii="宋体" w:hAnsi="宋体" w:eastAsia="宋体" w:cs="宋体"/>
          <w:b w:val="0"/>
          <w:bCs/>
          <w:color w:val="auto"/>
          <w:sz w:val="24"/>
          <w:highlight w:val="none"/>
          <w:u w:val="none"/>
          <w:lang w:val="en-US" w:eastAsia="zh-CN"/>
        </w:rPr>
        <w:t>残疾人社区康复服务</w:t>
      </w:r>
      <w:r>
        <w:rPr>
          <w:rFonts w:hint="eastAsia" w:ascii="宋体" w:hAnsi="宋体" w:eastAsia="宋体" w:cs="宋体"/>
          <w:color w:val="auto"/>
          <w:sz w:val="24"/>
          <w:highlight w:val="none"/>
        </w:rPr>
        <w:t>（详细内容见本磋商文件第四章）</w:t>
      </w:r>
    </w:p>
    <w:p w14:paraId="0C75727F">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4.预算金额：</w:t>
      </w:r>
      <w:r>
        <w:rPr>
          <w:rFonts w:hint="eastAsia" w:ascii="宋体" w:hAnsi="宋体" w:eastAsia="宋体" w:cs="宋体"/>
          <w:color w:val="auto"/>
          <w:kern w:val="0"/>
          <w:sz w:val="24"/>
          <w:highlight w:val="none"/>
          <w:lang w:val="en-US" w:eastAsia="zh-CN"/>
        </w:rPr>
        <w:t>15万元/年，三年共计45</w:t>
      </w:r>
      <w:r>
        <w:rPr>
          <w:rFonts w:hint="eastAsia" w:ascii="宋体" w:hAnsi="宋体" w:eastAsia="宋体" w:cs="宋体"/>
          <w:color w:val="auto"/>
          <w:kern w:val="0"/>
          <w:sz w:val="24"/>
          <w:highlight w:val="none"/>
        </w:rPr>
        <w:t>万元</w:t>
      </w:r>
    </w:p>
    <w:p w14:paraId="38B028D8">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5.最高限价：本项目设定最高限价为</w:t>
      </w:r>
      <w:r>
        <w:rPr>
          <w:rFonts w:hint="eastAsia" w:ascii="宋体" w:hAnsi="宋体" w:eastAsia="宋体" w:cs="宋体"/>
          <w:color w:val="auto"/>
          <w:kern w:val="0"/>
          <w:sz w:val="24"/>
          <w:highlight w:val="none"/>
          <w:lang w:val="en-US" w:eastAsia="zh-CN"/>
        </w:rPr>
        <w:t>45</w:t>
      </w:r>
      <w:r>
        <w:rPr>
          <w:rFonts w:hint="eastAsia" w:ascii="宋体" w:hAnsi="宋体" w:eastAsia="宋体" w:cs="宋体"/>
          <w:color w:val="auto"/>
          <w:kern w:val="0"/>
          <w:sz w:val="24"/>
          <w:highlight w:val="none"/>
        </w:rPr>
        <w:t>万元。（报价超过最高限价作无效投标处理）</w:t>
      </w:r>
    </w:p>
    <w:p w14:paraId="780B45A5">
      <w:pPr>
        <w:adjustRightInd w:val="0"/>
        <w:snapToGrid w:val="0"/>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6.合同履行期限：自合同签订之日起</w:t>
      </w:r>
      <w:r>
        <w:rPr>
          <w:rFonts w:hint="eastAsia" w:ascii="宋体" w:hAnsi="宋体" w:eastAsia="宋体" w:cs="宋体"/>
          <w:color w:val="auto"/>
          <w:kern w:val="0"/>
          <w:sz w:val="24"/>
          <w:highlight w:val="none"/>
          <w:lang w:val="en-US" w:eastAsia="zh-CN"/>
        </w:rPr>
        <w:t>三年</w:t>
      </w:r>
      <w:r>
        <w:rPr>
          <w:rFonts w:hint="eastAsia" w:ascii="宋体" w:hAnsi="宋体" w:eastAsia="宋体" w:cs="宋体"/>
          <w:color w:val="auto"/>
          <w:sz w:val="24"/>
          <w:highlight w:val="none"/>
        </w:rPr>
        <w:t>（具体时间进度安排可由采购人根据项目实际情况修改，双方在过程中可根据需要进行讨论确定。）</w:t>
      </w:r>
    </w:p>
    <w:p w14:paraId="7AE74BAE">
      <w:pPr>
        <w:autoSpaceDE w:val="0"/>
        <w:autoSpaceDN w:val="0"/>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7.本项目</w:t>
      </w:r>
      <w:r>
        <w:rPr>
          <w:rFonts w:hint="eastAsia" w:ascii="宋体" w:hAnsi="宋体" w:eastAsia="宋体" w:cs="宋体"/>
          <w:color w:val="auto"/>
          <w:kern w:val="0"/>
          <w:sz w:val="24"/>
          <w:highlight w:val="none"/>
        </w:rPr>
        <w:t>不接受</w:t>
      </w:r>
      <w:r>
        <w:rPr>
          <w:rFonts w:hint="eastAsia" w:ascii="宋体" w:hAnsi="宋体" w:eastAsia="宋体" w:cs="宋体"/>
          <w:color w:val="auto"/>
          <w:sz w:val="24"/>
          <w:highlight w:val="none"/>
        </w:rPr>
        <w:t>联合体投标。</w:t>
      </w:r>
    </w:p>
    <w:p w14:paraId="4ED2ECF2">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二、</w:t>
      </w:r>
      <w:r>
        <w:rPr>
          <w:rFonts w:hint="eastAsia" w:ascii="宋体" w:hAnsi="宋体" w:eastAsia="宋体" w:cs="宋体"/>
          <w:b/>
          <w:color w:val="auto"/>
          <w:sz w:val="28"/>
          <w:szCs w:val="28"/>
          <w:highlight w:val="none"/>
        </w:rPr>
        <w:t>申请人</w:t>
      </w:r>
      <w:r>
        <w:rPr>
          <w:rFonts w:hint="eastAsia" w:ascii="宋体" w:hAnsi="宋体" w:eastAsia="宋体" w:cs="宋体"/>
          <w:b/>
          <w:color w:val="auto"/>
          <w:sz w:val="28"/>
          <w:szCs w:val="28"/>
          <w:highlight w:val="none"/>
          <w:lang w:val="zh-CN"/>
        </w:rPr>
        <w:t>的资格要求</w:t>
      </w:r>
    </w:p>
    <w:p w14:paraId="56FB02D5">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（一）通用资格要求</w:t>
      </w:r>
    </w:p>
    <w:p w14:paraId="6B45F589">
      <w:pPr>
        <w:adjustRightInd w:val="0"/>
        <w:snapToGrid w:val="0"/>
        <w:spacing w:line="5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1.满足《中华人民共和国政府采购法》第二十二条规定，</w:t>
      </w:r>
      <w:r>
        <w:rPr>
          <w:rFonts w:hint="eastAsia" w:ascii="宋体" w:hAnsi="宋体" w:eastAsia="宋体" w:cs="宋体"/>
          <w:color w:val="auto"/>
          <w:kern w:val="0"/>
          <w:sz w:val="24"/>
          <w:highlight w:val="none"/>
        </w:rPr>
        <w:t>提供《</w:t>
      </w:r>
      <w:r>
        <w:rPr>
          <w:rFonts w:hint="eastAsia" w:ascii="宋体" w:hAnsi="宋体" w:eastAsia="宋体" w:cs="宋体"/>
          <w:color w:val="auto"/>
          <w:sz w:val="24"/>
          <w:highlight w:val="none"/>
          <w:lang w:val="zh-CN"/>
        </w:rPr>
        <w:t>南京市政府采购供应商信用承诺书</w:t>
      </w:r>
      <w:r>
        <w:rPr>
          <w:rFonts w:hint="eastAsia" w:ascii="宋体" w:hAnsi="宋体" w:eastAsia="宋体" w:cs="宋体"/>
          <w:color w:val="auto"/>
          <w:kern w:val="0"/>
          <w:sz w:val="24"/>
          <w:highlight w:val="none"/>
          <w:lang w:val="zh-CN"/>
        </w:rPr>
        <w:t>》（格式见第六章）。</w:t>
      </w:r>
    </w:p>
    <w:p w14:paraId="250FBC39">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2.供应商未被“信用中国”网站（www.creditchina.gov.cn）、“中国政府采购网”（www.ccgp.gov.cn）列入失信被执行人、重大税收违法案件当事人名单、政府采购严重违法失信行为记录名单。</w:t>
      </w:r>
    </w:p>
    <w:p w14:paraId="265DBD50">
      <w:pPr>
        <w:adjustRightInd w:val="0"/>
        <w:snapToGrid w:val="0"/>
        <w:spacing w:line="5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（二）落实政府采购政策需满足的资格要求：无。</w:t>
      </w:r>
    </w:p>
    <w:p w14:paraId="653886AF">
      <w:pPr>
        <w:adjustRightInd w:val="0"/>
        <w:snapToGrid w:val="0"/>
        <w:spacing w:line="5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rPr>
        <w:t>三</w:t>
      </w:r>
      <w:r>
        <w:rPr>
          <w:rFonts w:hint="eastAsia" w:ascii="宋体" w:hAnsi="宋体" w:eastAsia="宋体" w:cs="宋体"/>
          <w:color w:val="auto"/>
          <w:kern w:val="0"/>
          <w:sz w:val="24"/>
          <w:highlight w:val="none"/>
          <w:lang w:val="zh-CN"/>
        </w:rPr>
        <w:t>）本项目的特定资格要求：</w:t>
      </w:r>
      <w:r>
        <w:rPr>
          <w:rFonts w:hint="eastAsia" w:ascii="宋体" w:hAnsi="宋体" w:eastAsia="宋体" w:cs="宋体"/>
          <w:color w:val="auto"/>
          <w:kern w:val="0"/>
          <w:sz w:val="24"/>
          <w:highlight w:val="none"/>
        </w:rPr>
        <w:t>落实政府采购政策需满足的资格要求：本项目不专门面向中小微企业采购，执行价格扣除优惠政策，具体详见磋商文件第二章政策功能。</w:t>
      </w:r>
    </w:p>
    <w:p w14:paraId="51AC1557">
      <w:pPr>
        <w:shd w:val="clea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三、获取竞争性磋商文件</w:t>
      </w:r>
    </w:p>
    <w:p w14:paraId="57E36D33">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时间：自</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公告发布之日起至2026年</w:t>
      </w:r>
      <w:r>
        <w:rPr>
          <w:rFonts w:hint="eastAsia" w:ascii="宋体" w:hAnsi="宋体" w:eastAsia="宋体" w:cs="宋体"/>
          <w:color w:val="auto"/>
          <w:kern w:val="0"/>
          <w:sz w:val="24"/>
          <w:highlight w:val="none"/>
          <w:lang w:val="en-US" w:eastAsia="zh-CN"/>
        </w:rPr>
        <w:t>10</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lang w:val="en-US" w:eastAsia="zh-CN"/>
        </w:rPr>
        <w:t>15</w:t>
      </w:r>
      <w:r>
        <w:rPr>
          <w:rFonts w:hint="eastAsia" w:ascii="宋体" w:hAnsi="宋体" w:eastAsia="宋体" w:cs="宋体"/>
          <w:color w:val="auto"/>
          <w:kern w:val="0"/>
          <w:sz w:val="24"/>
          <w:highlight w:val="none"/>
        </w:rPr>
        <w:t>日17:00止（北京时间，法定节假日除外）</w:t>
      </w:r>
    </w:p>
    <w:p w14:paraId="15A1AB49">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方式：有意参与投标的供应商须在上述时限内，将下述资料加盖公章后扫描发送至代理邮箱 jsbenyu2024@163.com 完成报名登记：</w:t>
      </w:r>
    </w:p>
    <w:p w14:paraId="758C2E63">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（1）有效期内的营业执照副本；</w:t>
      </w:r>
    </w:p>
    <w:p w14:paraId="201E064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（2）法定代表人授权委托书（格式自行拟定）；</w:t>
      </w:r>
    </w:p>
    <w:p w14:paraId="6E3542C6">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（3）被授权人身份证；</w:t>
      </w:r>
    </w:p>
    <w:p w14:paraId="564D4AD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文件获取登记表（见附件）。</w:t>
      </w:r>
    </w:p>
    <w:p w14:paraId="00102C08">
      <w:pPr>
        <w:widowControl/>
        <w:shd w:val="clear"/>
        <w:spacing w:line="560" w:lineRule="exact"/>
        <w:ind w:firstLine="482" w:firstLineChars="200"/>
        <w:rPr>
          <w:rFonts w:ascii="宋体" w:hAnsi="宋体" w:eastAsia="宋体" w:cs="宋体"/>
          <w:b/>
          <w:bCs/>
          <w:i/>
          <w:iCs/>
          <w:color w:val="auto"/>
          <w:sz w:val="24"/>
          <w:highlight w:val="none"/>
        </w:rPr>
      </w:pPr>
      <w:r>
        <w:rPr>
          <w:rFonts w:hint="eastAsia" w:ascii="宋体" w:hAnsi="宋体" w:eastAsia="宋体" w:cs="宋体"/>
          <w:b/>
          <w:bCs/>
          <w:i/>
          <w:iCs/>
          <w:color w:val="auto"/>
          <w:kern w:val="0"/>
          <w:sz w:val="24"/>
          <w:highlight w:val="none"/>
        </w:rPr>
        <w:t>备注：资料报送完成后可致电代理机构（025-86662388）确认，未按要求完成报名登记的投标人，其投标文件不予受理。</w:t>
      </w:r>
    </w:p>
    <w:p w14:paraId="14AB6758">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zh-CN"/>
        </w:rPr>
        <w:t>四、</w:t>
      </w:r>
      <w:r>
        <w:rPr>
          <w:rFonts w:hint="eastAsia" w:ascii="宋体" w:hAnsi="宋体" w:eastAsia="宋体" w:cs="宋体"/>
          <w:b/>
          <w:color w:val="auto"/>
          <w:sz w:val="28"/>
          <w:szCs w:val="28"/>
          <w:highlight w:val="none"/>
        </w:rPr>
        <w:t>响应</w:t>
      </w:r>
      <w:r>
        <w:rPr>
          <w:rFonts w:hint="eastAsia" w:ascii="宋体" w:hAnsi="宋体" w:eastAsia="宋体" w:cs="宋体"/>
          <w:b/>
          <w:color w:val="auto"/>
          <w:sz w:val="28"/>
          <w:szCs w:val="28"/>
          <w:highlight w:val="none"/>
          <w:lang w:val="zh-CN"/>
        </w:rPr>
        <w:t>文件递交</w:t>
      </w:r>
      <w:r>
        <w:rPr>
          <w:rFonts w:hint="eastAsia" w:ascii="宋体" w:hAnsi="宋体" w:eastAsia="宋体" w:cs="宋体"/>
          <w:b/>
          <w:color w:val="auto"/>
          <w:sz w:val="28"/>
          <w:szCs w:val="28"/>
          <w:highlight w:val="none"/>
        </w:rPr>
        <w:t>和开启</w:t>
      </w:r>
    </w:p>
    <w:p w14:paraId="213F56F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1.响应</w:t>
      </w:r>
      <w:r>
        <w:rPr>
          <w:rFonts w:hint="eastAsia" w:ascii="宋体" w:hAnsi="宋体" w:eastAsia="宋体" w:cs="宋体"/>
          <w:color w:val="auto"/>
          <w:sz w:val="24"/>
          <w:highlight w:val="none"/>
          <w:lang w:val="zh-CN"/>
        </w:rPr>
        <w:t>文件递交</w:t>
      </w:r>
    </w:p>
    <w:p w14:paraId="126F6410">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zh-CN"/>
        </w:rPr>
        <w:t>）时间：20</w:t>
      </w: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lang w:val="en-US" w:eastAsia="zh-CN"/>
        </w:rPr>
        <w:t>20</w:t>
      </w:r>
      <w:r>
        <w:rPr>
          <w:rFonts w:hint="eastAsia" w:ascii="宋体" w:hAnsi="宋体" w:eastAsia="宋体" w:cs="宋体"/>
          <w:color w:val="auto"/>
          <w:sz w:val="24"/>
          <w:highlight w:val="none"/>
          <w:lang w:val="zh-CN"/>
        </w:rPr>
        <w:t>日14点00分-14点30分（北京时间）</w:t>
      </w:r>
    </w:p>
    <w:p w14:paraId="07F4DC5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地点：南京市玄武区黄埔路2号黄埔科技大厦A座25层。</w:t>
      </w:r>
    </w:p>
    <w:p w14:paraId="574FD22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val="zh-CN"/>
        </w:rPr>
        <w:t>文件开启</w:t>
      </w:r>
    </w:p>
    <w:p w14:paraId="3A4E6A0D">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w:t>
      </w:r>
      <w:r>
        <w:rPr>
          <w:rFonts w:hint="eastAsia" w:ascii="宋体" w:hAnsi="宋体" w:eastAsia="宋体" w:cs="宋体"/>
          <w:color w:val="auto"/>
          <w:kern w:val="0"/>
          <w:sz w:val="24"/>
          <w:highlight w:val="none"/>
          <w:lang w:bidi="ar"/>
        </w:rPr>
        <w:t>时间</w:t>
      </w:r>
      <w:r>
        <w:rPr>
          <w:rFonts w:hint="eastAsia" w:ascii="宋体" w:hAnsi="宋体" w:eastAsia="宋体" w:cs="宋体"/>
          <w:color w:val="auto"/>
          <w:sz w:val="24"/>
          <w:highlight w:val="none"/>
          <w:lang w:val="zh-CN"/>
        </w:rPr>
        <w:t>：20</w:t>
      </w: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lang w:val="en-US" w:eastAsia="zh-CN"/>
        </w:rPr>
        <w:t>20</w:t>
      </w:r>
      <w:r>
        <w:rPr>
          <w:rFonts w:hint="eastAsia" w:ascii="宋体" w:hAnsi="宋体" w:eastAsia="宋体" w:cs="宋体"/>
          <w:color w:val="auto"/>
          <w:sz w:val="24"/>
          <w:highlight w:val="none"/>
          <w:lang w:val="zh-CN"/>
        </w:rPr>
        <w:t>日14点30分（北京时间）</w:t>
      </w:r>
    </w:p>
    <w:p w14:paraId="73B990E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（2）地点：</w:t>
      </w:r>
      <w:r>
        <w:rPr>
          <w:rFonts w:hint="eastAsia" w:ascii="宋体" w:hAnsi="宋体" w:eastAsia="宋体" w:cs="宋体"/>
          <w:color w:val="auto"/>
          <w:kern w:val="0"/>
          <w:sz w:val="24"/>
          <w:highlight w:val="none"/>
          <w:lang w:bidi="ar"/>
        </w:rPr>
        <w:t>南京市玄武区黄埔路2号黄埔科技大厦A座25层。</w:t>
      </w:r>
    </w:p>
    <w:p w14:paraId="78A3238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3.份数</w:t>
      </w:r>
    </w:p>
    <w:p w14:paraId="18B676CC">
      <w:pPr>
        <w:adjustRightInd w:val="0"/>
        <w:snapToGrid w:val="0"/>
        <w:spacing w:line="560" w:lineRule="exact"/>
        <w:ind w:firstLine="480" w:firstLineChars="200"/>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（1）一式</w:t>
      </w:r>
      <w:r>
        <w:rPr>
          <w:rFonts w:hint="eastAsia" w:ascii="宋体" w:hAnsi="宋体" w:eastAsia="宋体" w:cs="宋体"/>
          <w:color w:val="auto"/>
          <w:sz w:val="24"/>
          <w:highlight w:val="none"/>
        </w:rPr>
        <w:t>叁</w:t>
      </w:r>
      <w:r>
        <w:rPr>
          <w:rFonts w:hint="eastAsia" w:ascii="宋体" w:hAnsi="宋体" w:eastAsia="宋体" w:cs="宋体"/>
          <w:color w:val="auto"/>
          <w:sz w:val="24"/>
          <w:highlight w:val="none"/>
          <w:lang w:val="zh-CN"/>
        </w:rPr>
        <w:t>份（壹份正本、</w:t>
      </w:r>
      <w:r>
        <w:rPr>
          <w:rFonts w:hint="eastAsia" w:ascii="宋体" w:hAnsi="宋体" w:eastAsia="宋体" w:cs="宋体"/>
          <w:color w:val="auto"/>
          <w:sz w:val="24"/>
          <w:highlight w:val="none"/>
        </w:rPr>
        <w:t>贰</w:t>
      </w:r>
      <w:r>
        <w:rPr>
          <w:rFonts w:hint="eastAsia" w:ascii="宋体" w:hAnsi="宋体" w:eastAsia="宋体" w:cs="宋体"/>
          <w:color w:val="auto"/>
          <w:sz w:val="24"/>
          <w:highlight w:val="none"/>
          <w:lang w:val="zh-CN"/>
        </w:rPr>
        <w:t>份副本），每份</w:t>
      </w:r>
      <w:r>
        <w:rPr>
          <w:rFonts w:hint="eastAsia" w:ascii="宋体" w:hAnsi="宋体" w:cs="宋体"/>
          <w:color w:val="auto"/>
          <w:sz w:val="24"/>
          <w:highlight w:val="none"/>
        </w:rPr>
        <w:t>响应</w:t>
      </w:r>
      <w:r>
        <w:rPr>
          <w:rFonts w:hint="eastAsia" w:ascii="宋体" w:hAnsi="宋体" w:eastAsia="宋体" w:cs="宋体"/>
          <w:color w:val="auto"/>
          <w:sz w:val="24"/>
          <w:highlight w:val="none"/>
          <w:lang w:val="zh-CN"/>
        </w:rPr>
        <w:t>文件须清楚标明“正本”或“副本”字样。</w:t>
      </w:r>
      <w:r>
        <w:rPr>
          <w:rFonts w:hint="eastAsia" w:ascii="宋体" w:hAnsi="宋体" w:eastAsia="宋体" w:cs="宋体"/>
          <w:color w:val="auto"/>
          <w:sz w:val="24"/>
          <w:highlight w:val="none"/>
        </w:rPr>
        <w:t>其中，报价表、《</w:t>
      </w:r>
      <w:r>
        <w:rPr>
          <w:rFonts w:hint="eastAsia" w:ascii="宋体" w:hAnsi="宋体" w:eastAsia="宋体" w:cs="宋体"/>
          <w:color w:val="auto"/>
          <w:sz w:val="24"/>
          <w:highlight w:val="none"/>
          <w:lang w:val="zh-CN"/>
        </w:rPr>
        <w:t>南京市政府采购供应商信用承诺书》、资格证明文件（</w:t>
      </w:r>
      <w:r>
        <w:rPr>
          <w:rFonts w:hint="eastAsia" w:ascii="宋体" w:hAnsi="宋体" w:eastAsia="宋体" w:cs="宋体"/>
          <w:color w:val="auto"/>
          <w:sz w:val="24"/>
          <w:highlight w:val="none"/>
        </w:rPr>
        <w:t>第六章 附件十</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另需单独封装壹份，</w:t>
      </w:r>
      <w:r>
        <w:rPr>
          <w:rFonts w:hint="eastAsia" w:ascii="宋体" w:hAnsi="宋体" w:eastAsia="宋体" w:cs="宋体"/>
          <w:color w:val="auto"/>
          <w:sz w:val="24"/>
          <w:highlight w:val="none"/>
          <w:lang w:val="zh-CN"/>
        </w:rPr>
        <w:t>作为采购人及代理机构评标前资质审查依据</w:t>
      </w:r>
      <w:r>
        <w:rPr>
          <w:rFonts w:hint="eastAsia" w:ascii="宋体" w:hAnsi="宋体" w:eastAsia="宋体" w:cs="宋体"/>
          <w:color w:val="auto"/>
          <w:sz w:val="24"/>
          <w:highlight w:val="none"/>
        </w:rPr>
        <w:t>。</w:t>
      </w:r>
    </w:p>
    <w:p w14:paraId="11530E18">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val="zh-CN"/>
        </w:rPr>
        <w:t>文件电子版（</w:t>
      </w:r>
      <w:r>
        <w:rPr>
          <w:rFonts w:hint="eastAsia" w:ascii="宋体" w:hAnsi="宋体" w:eastAsia="宋体" w:cs="宋体"/>
          <w:color w:val="auto"/>
          <w:sz w:val="24"/>
          <w:highlight w:val="none"/>
        </w:rPr>
        <w:t>盖章版本</w:t>
      </w:r>
      <w:r>
        <w:rPr>
          <w:rFonts w:hint="eastAsia" w:ascii="宋体" w:hAnsi="宋体" w:eastAsia="宋体" w:cs="宋体"/>
          <w:color w:val="auto"/>
          <w:sz w:val="24"/>
          <w:highlight w:val="none"/>
          <w:lang w:val="zh-CN"/>
        </w:rPr>
        <w:t>）壹份（一般应为PDF格式、U盘形式（单独封装）、随纸质正本文件一并密封提交）。</w:t>
      </w:r>
    </w:p>
    <w:p w14:paraId="67EC4E23">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五、公告期限</w:t>
      </w:r>
    </w:p>
    <w:p w14:paraId="01F9C375">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自本公告在媒体发布之日起</w:t>
      </w:r>
      <w:r>
        <w:rPr>
          <w:rFonts w:hint="eastAsia" w:ascii="宋体" w:hAnsi="宋体" w:eastAsia="宋体" w:cs="宋体"/>
          <w:color w:val="auto"/>
          <w:sz w:val="24"/>
          <w:highlight w:val="none"/>
        </w:rPr>
        <w:t>三</w:t>
      </w:r>
      <w:r>
        <w:rPr>
          <w:rFonts w:hint="eastAsia" w:ascii="宋体" w:hAnsi="宋体" w:eastAsia="宋体" w:cs="宋体"/>
          <w:color w:val="auto"/>
          <w:sz w:val="24"/>
          <w:highlight w:val="none"/>
          <w:lang w:val="zh-CN"/>
        </w:rPr>
        <w:t>个工作日。</w:t>
      </w:r>
    </w:p>
    <w:p w14:paraId="082F66E8">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六、其他补充事宜</w:t>
      </w:r>
    </w:p>
    <w:p w14:paraId="66F573A9">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zh-CN"/>
        </w:rPr>
        <w:t>本项目采购标的对应的中小企业划分标准所属行业为：</w:t>
      </w:r>
      <w:r>
        <w:rPr>
          <w:rFonts w:hint="eastAsia" w:ascii="宋体" w:hAnsi="宋体" w:eastAsia="宋体" w:cs="宋体"/>
          <w:color w:val="auto"/>
          <w:sz w:val="24"/>
          <w:highlight w:val="none"/>
          <w:lang w:val="en-US" w:eastAsia="zh-CN"/>
        </w:rPr>
        <w:t xml:space="preserve">其他未列明行业 </w:t>
      </w:r>
      <w:r>
        <w:rPr>
          <w:rFonts w:hint="eastAsia" w:ascii="宋体" w:hAnsi="宋体" w:eastAsia="宋体" w:cs="宋体"/>
          <w:color w:val="auto"/>
          <w:sz w:val="24"/>
          <w:highlight w:val="none"/>
        </w:rPr>
        <w:t>。</w:t>
      </w:r>
    </w:p>
    <w:p w14:paraId="5D51BE50">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2.本项目不组织集中</w:t>
      </w:r>
      <w:r>
        <w:rPr>
          <w:rFonts w:hint="eastAsia" w:ascii="宋体" w:hAnsi="宋体" w:eastAsia="宋体" w:cs="宋体"/>
          <w:color w:val="auto"/>
          <w:sz w:val="24"/>
          <w:highlight w:val="none"/>
          <w:lang w:val="zh-CN"/>
        </w:rPr>
        <w:t>勘察及答疑</w:t>
      </w:r>
      <w:r>
        <w:rPr>
          <w:rFonts w:hint="eastAsia" w:ascii="宋体" w:hAnsi="宋体" w:eastAsia="宋体" w:cs="宋体"/>
          <w:color w:val="auto"/>
          <w:sz w:val="24"/>
          <w:highlight w:val="none"/>
        </w:rPr>
        <w:t>，供应商如对采购需求有疑问，请咨询采购单位联系人。</w:t>
      </w:r>
    </w:p>
    <w:p w14:paraId="2951C55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zh-CN"/>
        </w:rPr>
        <w:t>拒绝下述供应商参加本次采购活动</w:t>
      </w:r>
    </w:p>
    <w:p w14:paraId="60731889">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（1）供应商单位负责人为同一人或者存在直接控股、管理关系的不同供应商，不得参加同一合同项下的政府采购活动；</w:t>
      </w:r>
    </w:p>
    <w:p w14:paraId="2045D4F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（2）为采购项目提供整体设计、规范编制或者项目管理、监理、检测等服务的供应商，不得参加本项目的采购活动；</w:t>
      </w:r>
    </w:p>
    <w:p w14:paraId="11F5557D">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3）供应商被“信用中国”网站（www.creditchina.gov.cn）、“中国政府采购网”（www.ccgp.gov.cn）列入失信被执行人、重大税收违法案件当事人名单、政府采购严重违法失信行为记录名单。（提供网页查询截图并加盖供应商公章）</w:t>
      </w:r>
    </w:p>
    <w:p w14:paraId="63B353E7">
      <w:pPr>
        <w:adjustRightInd w:val="0"/>
        <w:snapToGrid w:val="0"/>
        <w:spacing w:line="560" w:lineRule="exact"/>
        <w:ind w:firstLine="480" w:firstLineChars="200"/>
        <w:jc w:val="left"/>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4.本项目在“</w:t>
      </w:r>
      <w:r>
        <w:rPr>
          <w:rFonts w:hint="eastAsia" w:ascii="宋体" w:hAnsi="宋体" w:eastAsia="宋体" w:cs="宋体"/>
          <w:color w:val="auto"/>
          <w:kern w:val="0"/>
          <w:sz w:val="24"/>
          <w:highlight w:val="none"/>
          <w:lang w:val="en-US" w:eastAsia="zh-CN" w:bidi="ar"/>
        </w:rPr>
        <w:t xml:space="preserve">南京市栖霞区人民政府网站 </w:t>
      </w:r>
      <w:r>
        <w:rPr>
          <w:rFonts w:hint="default" w:ascii="宋体" w:hAnsi="宋体" w:eastAsia="宋体" w:cs="宋体"/>
          <w:color w:val="auto"/>
          <w:kern w:val="0"/>
          <w:sz w:val="24"/>
          <w:highlight w:val="none"/>
          <w:lang w:bidi="ar"/>
        </w:rPr>
        <w:t>”发布公告（其他媒体转载无效），有关本次采购的事项若存在变动或修改，请及时关注“</w:t>
      </w:r>
      <w:r>
        <w:rPr>
          <w:rFonts w:hint="eastAsia" w:ascii="宋体" w:hAnsi="宋体" w:eastAsia="宋体" w:cs="宋体"/>
          <w:color w:val="auto"/>
          <w:kern w:val="0"/>
          <w:sz w:val="24"/>
          <w:highlight w:val="none"/>
          <w:lang w:val="en-US" w:eastAsia="zh-CN" w:bidi="ar"/>
        </w:rPr>
        <w:t>南京市栖霞区人民政府网站”</w:t>
      </w:r>
      <w:r>
        <w:rPr>
          <w:rFonts w:hint="default" w:ascii="宋体" w:hAnsi="宋体" w:eastAsia="宋体" w:cs="宋体"/>
          <w:color w:val="auto"/>
          <w:kern w:val="0"/>
          <w:sz w:val="24"/>
          <w:highlight w:val="none"/>
          <w:lang w:bidi="ar"/>
        </w:rPr>
        <w:t>更正公告。</w:t>
      </w:r>
    </w:p>
    <w:p w14:paraId="26D0C914">
      <w:pPr>
        <w:tabs>
          <w:tab w:val="left" w:pos="7005"/>
        </w:tabs>
        <w:autoSpaceDE w:val="0"/>
        <w:autoSpaceDN w:val="0"/>
        <w:adjustRightInd w:val="0"/>
        <w:snapToGrid w:val="0"/>
        <w:spacing w:line="560" w:lineRule="exact"/>
        <w:ind w:firstLine="562" w:firstLineChars="200"/>
        <w:jc w:val="left"/>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七、</w:t>
      </w:r>
      <w:r>
        <w:rPr>
          <w:rFonts w:hint="eastAsia" w:ascii="宋体" w:hAnsi="宋体" w:eastAsia="宋体" w:cs="宋体"/>
          <w:b/>
          <w:color w:val="auto"/>
          <w:sz w:val="28"/>
          <w:szCs w:val="28"/>
          <w:highlight w:val="none"/>
          <w:lang w:val="zh-CN"/>
        </w:rPr>
        <w:t>对本次</w:t>
      </w:r>
      <w:r>
        <w:rPr>
          <w:rFonts w:hint="eastAsia" w:ascii="宋体" w:hAnsi="宋体" w:eastAsia="宋体" w:cs="宋体"/>
          <w:b/>
          <w:color w:val="auto"/>
          <w:sz w:val="28"/>
          <w:szCs w:val="28"/>
          <w:highlight w:val="none"/>
        </w:rPr>
        <w:t>采购</w:t>
      </w:r>
      <w:r>
        <w:rPr>
          <w:rFonts w:hint="eastAsia" w:ascii="宋体" w:hAnsi="宋体" w:eastAsia="宋体" w:cs="宋体"/>
          <w:b/>
          <w:color w:val="auto"/>
          <w:sz w:val="28"/>
          <w:szCs w:val="28"/>
          <w:highlight w:val="none"/>
          <w:lang w:val="zh-CN"/>
        </w:rPr>
        <w:t>提出询问，请按以下方式联系</w:t>
      </w:r>
    </w:p>
    <w:p w14:paraId="30AD42C3">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w:t>
      </w:r>
      <w:r>
        <w:rPr>
          <w:rFonts w:hint="eastAsia" w:ascii="宋体" w:hAnsi="宋体" w:eastAsia="宋体" w:cs="宋体"/>
          <w:color w:val="auto"/>
          <w:sz w:val="24"/>
          <w:highlight w:val="none"/>
        </w:rPr>
        <w:t>采购</w:t>
      </w:r>
      <w:r>
        <w:rPr>
          <w:rFonts w:hint="eastAsia" w:ascii="宋体" w:hAnsi="宋体" w:eastAsia="宋体" w:cs="宋体"/>
          <w:color w:val="auto"/>
          <w:sz w:val="24"/>
          <w:highlight w:val="none"/>
          <w:lang w:val="zh-CN"/>
        </w:rPr>
        <w:t>单位联系方式</w:t>
      </w:r>
    </w:p>
    <w:p w14:paraId="7089BD28">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zh-CN"/>
        </w:rPr>
        <w:t>单位</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：南京市栖霞区人民政府八卦洲街道办事处</w:t>
      </w:r>
      <w:r>
        <w:rPr>
          <w:rFonts w:hint="eastAsia" w:ascii="宋体" w:hAnsi="宋体" w:eastAsia="宋体" w:cs="宋体"/>
          <w:color w:val="auto"/>
          <w:sz w:val="24"/>
          <w:highlight w:val="none"/>
          <w:lang w:val="en-US" w:eastAsia="zh-CN"/>
        </w:rPr>
        <w:t xml:space="preserve"> </w:t>
      </w:r>
    </w:p>
    <w:p w14:paraId="7CAD6340">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地址：南京市栖霞区八卦洲街道小城镇</w:t>
      </w:r>
      <w:r>
        <w:rPr>
          <w:rFonts w:hint="eastAsia" w:ascii="宋体" w:hAnsi="宋体" w:eastAsia="宋体" w:cs="宋体"/>
          <w:color w:val="auto"/>
          <w:sz w:val="24"/>
          <w:highlight w:val="none"/>
          <w:lang w:val="en-US" w:eastAsia="zh-CN"/>
        </w:rPr>
        <w:t xml:space="preserve"> </w:t>
      </w:r>
    </w:p>
    <w:p w14:paraId="1692DE2C">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val="en-US" w:eastAsia="zh-CN"/>
        </w:rPr>
        <w:t>宋颖</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p>
    <w:p w14:paraId="02CD7EA1">
      <w:pPr>
        <w:adjustRightInd w:val="0"/>
        <w:snapToGrid w:val="0"/>
        <w:spacing w:line="56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lang w:val="en-US" w:eastAsia="zh-CN"/>
        </w:rPr>
        <w:t xml:space="preserve">025-85203123 </w:t>
      </w:r>
      <w:r>
        <w:rPr>
          <w:rFonts w:hint="eastAsia" w:ascii="宋体" w:hAnsi="宋体" w:eastAsia="宋体" w:cs="宋体"/>
          <w:color w:val="auto"/>
          <w:sz w:val="24"/>
          <w:highlight w:val="none"/>
        </w:rPr>
        <w:t xml:space="preserve"> </w:t>
      </w:r>
    </w:p>
    <w:p w14:paraId="4897CA1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（2）代理机构联系方式</w:t>
      </w:r>
    </w:p>
    <w:p w14:paraId="467E2EEF">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单位</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 xml:space="preserve">：江苏本誉项目管理有限公司 </w:t>
      </w:r>
    </w:p>
    <w:p w14:paraId="50011931">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地址：南京市玄武区黄埔路2号黄埔科技大厦A座</w:t>
      </w:r>
      <w:r>
        <w:rPr>
          <w:rFonts w:hint="eastAsia" w:ascii="宋体" w:hAnsi="宋体" w:eastAsia="宋体" w:cs="宋体"/>
          <w:color w:val="auto"/>
          <w:sz w:val="24"/>
          <w:highlight w:val="none"/>
        </w:rPr>
        <w:t>25层</w:t>
      </w:r>
    </w:p>
    <w:p w14:paraId="2FE6D2D4">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lang w:val="zh-CN"/>
        </w:rPr>
        <w:t>联系人：</w:t>
      </w:r>
      <w:r>
        <w:rPr>
          <w:rFonts w:hint="eastAsia" w:ascii="宋体" w:hAnsi="宋体" w:eastAsia="宋体" w:cs="宋体"/>
          <w:color w:val="auto"/>
          <w:sz w:val="24"/>
          <w:highlight w:val="none"/>
        </w:rPr>
        <w:t>郑工、张工</w:t>
      </w:r>
    </w:p>
    <w:p w14:paraId="70DC848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w:t>
      </w:r>
      <w:r>
        <w:rPr>
          <w:rFonts w:hint="eastAsia" w:ascii="宋体" w:hAnsi="宋体" w:eastAsia="宋体" w:cs="宋体"/>
          <w:color w:val="auto"/>
          <w:sz w:val="24"/>
          <w:highlight w:val="none"/>
        </w:rPr>
        <w:t>电话</w:t>
      </w:r>
      <w:r>
        <w:rPr>
          <w:rFonts w:hint="eastAsia" w:ascii="宋体" w:hAnsi="宋体" w:eastAsia="宋体" w:cs="宋体"/>
          <w:color w:val="auto"/>
          <w:sz w:val="24"/>
          <w:highlight w:val="none"/>
          <w:lang w:val="zh-CN"/>
        </w:rPr>
        <w:t>：025-86662388</w:t>
      </w:r>
    </w:p>
    <w:p w14:paraId="394A838B">
      <w:pPr>
        <w:widowControl/>
        <w:spacing w:line="560" w:lineRule="exact"/>
        <w:ind w:firstLine="480" w:firstLineChars="200"/>
        <w:rPr>
          <w:rFonts w:asciiTheme="minorEastAsia" w:hAnsiTheme="minorEastAsia" w:cstheme="minorEastAsia"/>
          <w:color w:val="auto"/>
          <w:kern w:val="0"/>
          <w:sz w:val="24"/>
          <w:highlight w:val="none"/>
          <w:lang w:bidi="ar"/>
        </w:rPr>
      </w:pPr>
    </w:p>
    <w:p w14:paraId="10C6DD72">
      <w:pPr>
        <w:spacing w:line="560" w:lineRule="exact"/>
        <w:rPr>
          <w:rFonts w:asciiTheme="minorEastAsia" w:hAnsiTheme="minorEastAsia" w:cstheme="minorEastAsia"/>
          <w:b/>
          <w:bCs/>
          <w:color w:val="auto"/>
          <w:kern w:val="0"/>
          <w:sz w:val="40"/>
          <w:szCs w:val="40"/>
          <w:highlight w:val="none"/>
          <w:lang w:bidi="ar"/>
        </w:rPr>
      </w:pPr>
      <w:r>
        <w:rPr>
          <w:rFonts w:hint="eastAsia" w:asciiTheme="minorEastAsia" w:hAnsiTheme="minorEastAsia" w:cstheme="minorEastAsia"/>
          <w:b/>
          <w:bCs/>
          <w:color w:val="auto"/>
          <w:kern w:val="0"/>
          <w:sz w:val="40"/>
          <w:szCs w:val="40"/>
          <w:highlight w:val="none"/>
          <w:lang w:bidi="ar"/>
        </w:rPr>
        <w:br w:type="page"/>
      </w:r>
    </w:p>
    <w:p w14:paraId="76F858AD">
      <w:pPr>
        <w:pStyle w:val="2"/>
        <w:spacing w:line="560" w:lineRule="exact"/>
        <w:jc w:val="center"/>
        <w:rPr>
          <w:color w:val="auto"/>
          <w:highlight w:val="none"/>
        </w:rPr>
      </w:pPr>
      <w:bookmarkStart w:id="3" w:name="_Toc32749"/>
      <w:r>
        <w:rPr>
          <w:rFonts w:hint="eastAsia"/>
          <w:color w:val="auto"/>
          <w:highlight w:val="none"/>
        </w:rPr>
        <w:t>第二章 竞争性磋商须知</w:t>
      </w:r>
      <w:bookmarkEnd w:id="3"/>
      <w:r>
        <w:rPr>
          <w:rFonts w:hint="eastAsia"/>
          <w:color w:val="auto"/>
          <w:highlight w:val="none"/>
        </w:rPr>
        <w:t xml:space="preserve"> </w:t>
      </w:r>
    </w:p>
    <w:p w14:paraId="00EF2CD7">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一、总则</w:t>
      </w:r>
    </w:p>
    <w:p w14:paraId="094F96E1">
      <w:pPr>
        <w:widowControl/>
        <w:spacing w:line="560" w:lineRule="exact"/>
        <w:ind w:firstLine="482"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适用法律</w:t>
      </w:r>
    </w:p>
    <w:p w14:paraId="6A4CB7E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本项目为限额标准以下项目，仅参照《中华人民共和国政府采购法》《中华人民共和国政府采购法实施条例》《政府采购竞争性磋商采购方式管理暂行办法》《财政部关于政府采购竞争性磋商采购方式管理暂行办法有关问题的补充通知》等有关法律、规章和规定等。</w:t>
      </w:r>
    </w:p>
    <w:p w14:paraId="59D2FD10">
      <w:pPr>
        <w:spacing w:line="560" w:lineRule="exact"/>
        <w:ind w:firstLine="482" w:firstLineChars="200"/>
        <w:rPr>
          <w:rFonts w:asciiTheme="minorEastAsia" w:hAnsiTheme="minorEastAsia" w:cstheme="minorEastAsia"/>
          <w:b/>
          <w:bCs/>
          <w:color w:val="auto"/>
          <w:sz w:val="24"/>
          <w:highlight w:val="none"/>
          <w:lang w:val="zh-CN"/>
        </w:rPr>
      </w:pPr>
      <w:r>
        <w:rPr>
          <w:rFonts w:hint="eastAsia" w:asciiTheme="minorEastAsia" w:hAnsiTheme="minorEastAsia" w:cstheme="minorEastAsia"/>
          <w:b/>
          <w:bCs/>
          <w:color w:val="auto"/>
          <w:sz w:val="24"/>
          <w:highlight w:val="none"/>
          <w:lang w:val="zh-CN"/>
        </w:rPr>
        <w:t>2</w:t>
      </w:r>
      <w:r>
        <w:rPr>
          <w:rFonts w:hint="eastAsia" w:asciiTheme="minorEastAsia" w:hAnsiTheme="minorEastAsia" w:cstheme="minorEastAsia"/>
          <w:b/>
          <w:bCs/>
          <w:color w:val="auto"/>
          <w:sz w:val="24"/>
          <w:highlight w:val="none"/>
        </w:rPr>
        <w:t>.</w:t>
      </w:r>
      <w:r>
        <w:rPr>
          <w:rFonts w:hint="eastAsia" w:asciiTheme="minorEastAsia" w:hAnsiTheme="minorEastAsia" w:cstheme="minorEastAsia"/>
          <w:b/>
          <w:bCs/>
          <w:color w:val="auto"/>
          <w:sz w:val="24"/>
          <w:highlight w:val="none"/>
          <w:lang w:val="zh-CN"/>
        </w:rPr>
        <w:t>定义</w:t>
      </w:r>
    </w:p>
    <w:p w14:paraId="5A141BFD">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2.1“采购人”是指依法进行政府采购的国家机关、事业单位、团体组织。</w:t>
      </w:r>
    </w:p>
    <w:p w14:paraId="45D72060">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2.2“供应商”是指参加投标竞争，并符合磋商文件规定资格条件的法人、其他组织或者自然人。</w:t>
      </w:r>
    </w:p>
    <w:p w14:paraId="7FE563AE">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2.3“代理机构”是指集中采购机构和集中采购机构以外的采购代理机构，集中采购机构以外的采购代理机构，是从事采购代理业务的社会中介机构。</w:t>
      </w:r>
    </w:p>
    <w:p w14:paraId="6DE3A322">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2.4“货物和服务”指本磋商文件中所述产品及相关服务。</w:t>
      </w:r>
    </w:p>
    <w:p w14:paraId="6D44BB54">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2.5“用户或使用单位”是指使用货物、接受服务的单位。</w:t>
      </w:r>
    </w:p>
    <w:p w14:paraId="0AE66ED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3</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政策功能</w:t>
      </w:r>
    </w:p>
    <w:p w14:paraId="26D14259">
      <w:pPr>
        <w:spacing w:line="560" w:lineRule="exact"/>
        <w:ind w:firstLine="482" w:firstLineChars="200"/>
        <w:rPr>
          <w:rFonts w:asciiTheme="minorEastAsia" w:hAnsiTheme="minorEastAsia" w:cstheme="minorEastAsia"/>
          <w:color w:val="auto"/>
          <w:sz w:val="24"/>
          <w:highlight w:val="none"/>
          <w:lang w:val="zh-CN"/>
        </w:rPr>
      </w:pPr>
      <w:bookmarkStart w:id="4" w:name="_Hlk75345706"/>
      <w:r>
        <w:rPr>
          <w:rFonts w:hint="eastAsia" w:asciiTheme="minorEastAsia" w:hAnsiTheme="minorEastAsia" w:cstheme="minorEastAsia"/>
          <w:b/>
          <w:bCs/>
          <w:color w:val="auto"/>
          <w:sz w:val="24"/>
          <w:highlight w:val="none"/>
          <w:lang w:val="zh-CN"/>
        </w:rPr>
        <w:t>3.1中小企业政策</w:t>
      </w:r>
    </w:p>
    <w:p w14:paraId="40C8E6B9">
      <w:pPr>
        <w:spacing w:line="560" w:lineRule="exact"/>
        <w:ind w:firstLine="480" w:firstLineChars="200"/>
        <w:rPr>
          <w:rFonts w:asciiTheme="minorEastAsia" w:hAnsiTheme="minorEastAsia" w:cstheme="minorEastAsia"/>
          <w:color w:val="auto"/>
          <w:sz w:val="24"/>
          <w:highlight w:val="none"/>
          <w:lang w:val="zh-CN"/>
        </w:rPr>
      </w:pPr>
      <w:bookmarkStart w:id="5" w:name="_Hlk77845870"/>
      <w:bookmarkStart w:id="6" w:name="_Hlk84580649"/>
      <w:r>
        <w:rPr>
          <w:rFonts w:hint="eastAsia" w:asciiTheme="minorEastAsia" w:hAnsiTheme="minorEastAsia" w:cstheme="minorEastAsia"/>
          <w:color w:val="auto"/>
          <w:sz w:val="24"/>
          <w:highlight w:val="none"/>
          <w:lang w:val="zh-CN"/>
        </w:rPr>
        <w:t>（1）政府采购促进中小企业发展，在政府采购活动中，供应商提供的货物、工程或者服务符合《政府采购促进中小企业发展管理办法》（财库〔2020〕46号）的规定的，享受中小企业扶持政策。中小企业参加政府采购活动，应当出具《中小企业声明函》（格式见附件），否则不得享受相关中小企业扶持政策。（“中小企业划型标准”详见《关于印发中小企业划型标准规定的通知》工信部联企业〔2011〕300号及《国家统计局关于印发〈统计上大中小微型企业划分办法（2017）〉的通知》国统字〔2017〕213号）</w:t>
      </w:r>
    </w:p>
    <w:p w14:paraId="2B10B32C">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对于专门面向中小企业或小型、微型企业的项目，只面向中小企业或小型、微型企业采购。对于非专门面向中小企业的项目，对小型和微型企业的报价给予10%的扣除，用扣除后的价格参与评审。参加政府采购活动的中小企业应当提供《中小企业声明函》。</w:t>
      </w:r>
    </w:p>
    <w:bookmarkEnd w:id="4"/>
    <w:bookmarkEnd w:id="5"/>
    <w:p w14:paraId="38D868C6">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3）对于接受供应商以联合体形式参加采购活动的项目，小型、微型企业联合体应当符合《政府采购促进中小企业发展管理办法》（财库〔2020〕46号）第九条的规定。联合协议中约定，小型、微型企业的协议合同金额占到联合体协议合同总金额30%以上的，给予联合体4%的价格扣除。</w:t>
      </w:r>
    </w:p>
    <w:p w14:paraId="2D18717D">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以联合体形式参加政府采购活动的，联合体各方均为中小企业的，联合体视同中小企业。其中，联合体各方均为小微企业的，联合体视同小微企业。</w:t>
      </w:r>
    </w:p>
    <w:p w14:paraId="39D7DCD6">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（4）依据《政府采购促进中小企业发展管理办法》（财库〔2020〕46号）规定的扶持政策获取政府采购合同后，小型、微型企业不得将合同分包给大型、中型企业，中型企业不得将合同分包给大型企业。</w:t>
      </w:r>
    </w:p>
    <w:bookmarkEnd w:id="6"/>
    <w:p w14:paraId="2BAB976A">
      <w:pPr>
        <w:spacing w:line="560" w:lineRule="exact"/>
        <w:ind w:firstLine="482"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b/>
          <w:bCs/>
          <w:color w:val="auto"/>
          <w:sz w:val="24"/>
          <w:highlight w:val="none"/>
          <w:lang w:val="zh-CN"/>
        </w:rPr>
        <w:t>3.</w:t>
      </w:r>
      <w:bookmarkStart w:id="7" w:name="_Hlk66802840"/>
      <w:r>
        <w:rPr>
          <w:rFonts w:hint="eastAsia" w:asciiTheme="minorEastAsia" w:hAnsiTheme="minorEastAsia" w:cstheme="minorEastAsia"/>
          <w:b/>
          <w:bCs/>
          <w:color w:val="auto"/>
          <w:sz w:val="24"/>
          <w:highlight w:val="none"/>
          <w:lang w:val="zh-CN"/>
        </w:rPr>
        <w:t>2支持监狱企业发展政策</w:t>
      </w:r>
      <w:bookmarkEnd w:id="7"/>
    </w:p>
    <w:p w14:paraId="1C182BF1">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（1）根据《关于政府采购支持监狱企业发展有关问题的通知》，在政府采购活动中监狱企业视同小型、微型企业，享受预留份额、评审中价格扣除等政府采购促进中小企业发展的政府采购政策。</w:t>
      </w:r>
    </w:p>
    <w:p w14:paraId="6FEAA429">
      <w:pPr>
        <w:spacing w:line="560" w:lineRule="exact"/>
        <w:ind w:firstLine="480" w:firstLineChars="200"/>
        <w:rPr>
          <w:rFonts w:asciiTheme="minorEastAsia" w:hAnsiTheme="minorEastAsia" w:cstheme="minorEastAsia"/>
          <w:color w:val="auto"/>
          <w:sz w:val="24"/>
          <w:highlight w:val="none"/>
          <w:lang w:val="zh-CN"/>
        </w:rPr>
      </w:pPr>
      <w:bookmarkStart w:id="8" w:name="_Hlk77845906"/>
      <w:r>
        <w:rPr>
          <w:rFonts w:hint="eastAsia" w:asciiTheme="minorEastAsia" w:hAnsiTheme="minorEastAsia" w:cstheme="minorEastAsia"/>
          <w:color w:val="auto"/>
          <w:sz w:val="24"/>
          <w:highlight w:val="none"/>
          <w:lang w:val="zh-CN"/>
        </w:rPr>
        <w:t>（2）参加政府采购活动的监狱企业提供由省级以上监狱管理局戒毒管理局（含新疆生产建设兵团）出具的属于监狱企业的证明文件，监狱和戒毒企业享受政府采购支持政策的要求详见《关于政府采购支持监狱企业发展有关问题的通知》（财库〔2014〕68号）。</w:t>
      </w:r>
    </w:p>
    <w:bookmarkEnd w:id="8"/>
    <w:p w14:paraId="633BE2E7">
      <w:pPr>
        <w:spacing w:line="560" w:lineRule="exact"/>
        <w:ind w:firstLine="482"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b/>
          <w:bCs/>
          <w:color w:val="auto"/>
          <w:sz w:val="24"/>
          <w:highlight w:val="none"/>
          <w:lang w:val="zh-CN"/>
        </w:rPr>
        <w:t>3.3促进残疾人就业政策</w:t>
      </w:r>
    </w:p>
    <w:p w14:paraId="3AECCB03">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1）根据《关于促进残疾人就业政府采购政策的通知》，在政府采购活动中残疾人福利性单位视同小型、微型企业，享受预留份额、评审中价格扣除等促进中小企业发展的政府采购政策。残疾人福利性单位属于小型、微型企业的，不重复享受政策。</w:t>
      </w:r>
    </w:p>
    <w:p w14:paraId="52FA537B">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（2）参加政府采购活动的残疾人福利性单位提供《残疾人福利性单位声明函》，残疾人福利性单位享受政府采购支持政策的要求详见《关于促进残疾人就业政府采购政策的通知》（财库〔2017〕141号）。</w:t>
      </w:r>
    </w:p>
    <w:p w14:paraId="306D6E9A">
      <w:pPr>
        <w:spacing w:line="560" w:lineRule="exact"/>
        <w:ind w:firstLine="482" w:firstLineChars="200"/>
        <w:rPr>
          <w:rFonts w:asciiTheme="minorEastAsia" w:hAnsiTheme="minorEastAsia" w:cstheme="minorEastAsia"/>
          <w:b/>
          <w:bCs/>
          <w:color w:val="auto"/>
          <w:sz w:val="24"/>
          <w:highlight w:val="none"/>
          <w:lang w:val="zh-CN"/>
        </w:rPr>
      </w:pPr>
      <w:r>
        <w:rPr>
          <w:rFonts w:hint="eastAsia" w:asciiTheme="minorEastAsia" w:hAnsiTheme="minorEastAsia" w:cstheme="minorEastAsia"/>
          <w:b/>
          <w:bCs/>
          <w:color w:val="auto"/>
          <w:sz w:val="24"/>
          <w:highlight w:val="none"/>
          <w:lang w:val="zh-CN"/>
        </w:rPr>
        <w:t>3.</w:t>
      </w:r>
      <w:r>
        <w:rPr>
          <w:rFonts w:hint="eastAsia" w:asciiTheme="minorEastAsia" w:hAnsiTheme="minorEastAsia" w:cstheme="minorEastAsia"/>
          <w:b/>
          <w:bCs/>
          <w:color w:val="auto"/>
          <w:sz w:val="24"/>
          <w:highlight w:val="none"/>
        </w:rPr>
        <w:t>4</w:t>
      </w:r>
      <w:r>
        <w:rPr>
          <w:rFonts w:hint="eastAsia" w:asciiTheme="minorEastAsia" w:hAnsiTheme="minorEastAsia" w:cstheme="minorEastAsia"/>
          <w:b/>
          <w:bCs/>
          <w:color w:val="auto"/>
          <w:sz w:val="24"/>
          <w:highlight w:val="none"/>
          <w:lang w:val="zh-CN"/>
        </w:rPr>
        <w:t>未按要求提供相关材料的，不享受相关政策。</w:t>
      </w:r>
    </w:p>
    <w:p w14:paraId="73FC1BB8">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4</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磋商费用</w:t>
      </w:r>
    </w:p>
    <w:p w14:paraId="5534080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4.1供应商应承担所有与准备和参加磋商有关的费用，无论采购结果如何，代理机构和采购人在任何情况下均无义务和责任承担这些费用。</w:t>
      </w:r>
    </w:p>
    <w:p w14:paraId="57CF8B24">
      <w:pPr>
        <w:widowControl/>
        <w:spacing w:line="560" w:lineRule="exact"/>
        <w:ind w:firstLine="480" w:firstLineChars="200"/>
        <w:rPr>
          <w:rFonts w:ascii="宋体" w:hAnsi="宋体" w:eastAsia="宋体" w:cs="宋体"/>
          <w:color w:val="auto"/>
          <w:kern w:val="0"/>
          <w:sz w:val="24"/>
          <w:highlight w:val="none"/>
        </w:rPr>
      </w:pPr>
      <w:r>
        <w:rPr>
          <w:rFonts w:hint="eastAsia" w:asciiTheme="minorEastAsia" w:hAnsiTheme="minorEastAsia" w:cstheme="minorEastAsia"/>
          <w:color w:val="auto"/>
          <w:kern w:val="0"/>
          <w:sz w:val="24"/>
          <w:highlight w:val="none"/>
          <w:lang w:val="zh-CN" w:bidi="ar"/>
        </w:rPr>
        <w:t>4.2</w:t>
      </w:r>
      <w:r>
        <w:rPr>
          <w:rFonts w:hint="eastAsia" w:ascii="宋体" w:hAnsi="宋体" w:eastAsia="宋体" w:cs="宋体"/>
          <w:color w:val="auto"/>
          <w:kern w:val="0"/>
          <w:sz w:val="24"/>
          <w:highlight w:val="none"/>
        </w:rPr>
        <w:t>依据《苏财规〔2026〕1号  关于进一步规范政府采购活动相关费用管理的通知》，因预算申报未单独列支代理服务费，本次代理服务费由成交供应商在领取成交通知书前向代理机构支付，按照《江苏省招标代理服务收费的指导意见》【苏招协[2022]002号】文件标准的80%执行。本次项目专家评审费由代理机构先行垫付，专家个人所得税由代理机构负责申报并代扣代缴；专家评审费按照《关于规范江苏省政府采购专家评审费标准的通知》文件标准据实结算，代理机构依据实际发放汇款情况开具发票后，由</w:t>
      </w:r>
      <w:r>
        <w:rPr>
          <w:rFonts w:hint="eastAsia" w:ascii="宋体" w:hAnsi="宋体" w:eastAsia="宋体" w:cs="宋体"/>
          <w:color w:val="auto"/>
          <w:kern w:val="0"/>
          <w:sz w:val="24"/>
          <w:highlight w:val="none"/>
          <w:lang w:val="en-US" w:eastAsia="zh-CN"/>
        </w:rPr>
        <w:t>成交供应商</w:t>
      </w:r>
      <w:r>
        <w:rPr>
          <w:rFonts w:hint="eastAsia" w:ascii="宋体" w:hAnsi="宋体" w:eastAsia="宋体" w:cs="宋体"/>
          <w:color w:val="auto"/>
          <w:kern w:val="0"/>
          <w:sz w:val="24"/>
          <w:highlight w:val="none"/>
        </w:rPr>
        <w:t>将对应款项汇付至代理机构账户（</w:t>
      </w:r>
      <w:r>
        <w:rPr>
          <w:rFonts w:hint="eastAsia" w:ascii="宋体" w:hAnsi="宋体" w:eastAsia="宋体" w:cs="宋体"/>
          <w:color w:val="auto"/>
          <w:kern w:val="0"/>
          <w:sz w:val="24"/>
          <w:highlight w:val="none"/>
          <w:u w:val="single"/>
        </w:rPr>
        <w:t>代理服务费</w:t>
      </w:r>
      <w:r>
        <w:rPr>
          <w:rFonts w:hint="eastAsia" w:ascii="宋体" w:hAnsi="宋体" w:eastAsia="宋体" w:cs="宋体"/>
          <w:color w:val="auto"/>
          <w:kern w:val="0"/>
          <w:sz w:val="24"/>
          <w:highlight w:val="none"/>
          <w:u w:val="single"/>
          <w:lang w:val="en-US" w:eastAsia="zh-CN"/>
        </w:rPr>
        <w:t>和专家评审费</w:t>
      </w:r>
      <w:r>
        <w:rPr>
          <w:rFonts w:hint="eastAsia" w:ascii="宋体" w:hAnsi="宋体" w:eastAsia="宋体" w:cs="宋体"/>
          <w:color w:val="auto"/>
          <w:kern w:val="0"/>
          <w:sz w:val="24"/>
          <w:highlight w:val="none"/>
          <w:u w:val="single"/>
        </w:rPr>
        <w:t>包含在项目成交价中</w:t>
      </w:r>
      <w:r>
        <w:rPr>
          <w:rFonts w:hint="eastAsia" w:ascii="宋体" w:hAnsi="宋体" w:eastAsia="宋体" w:cs="宋体"/>
          <w:color w:val="auto"/>
          <w:kern w:val="0"/>
          <w:sz w:val="24"/>
          <w:highlight w:val="none"/>
        </w:rPr>
        <w:t>）</w:t>
      </w:r>
    </w:p>
    <w:p w14:paraId="32EE3D2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付款时请备注项目名称和项目编号以便核实</w:t>
      </w:r>
      <w:r>
        <w:rPr>
          <w:rFonts w:hint="eastAsia" w:ascii="宋体" w:hAnsi="宋体" w:eastAsia="宋体" w:cs="宋体"/>
          <w:color w:val="auto"/>
          <w:sz w:val="24"/>
          <w:highlight w:val="none"/>
        </w:rPr>
        <w:t>。</w:t>
      </w:r>
    </w:p>
    <w:p w14:paraId="4D5A3D83">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账户名称：江苏本誉项目管理有限公司</w:t>
      </w:r>
    </w:p>
    <w:p w14:paraId="359393A5">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开 户 行：招商银行股份有限公司南京汉中门支行</w:t>
      </w:r>
    </w:p>
    <w:p w14:paraId="1D4AE790">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账    号：125917888310000</w:t>
      </w:r>
    </w:p>
    <w:p w14:paraId="384FAFDB">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二、响应文件编制</w:t>
      </w:r>
    </w:p>
    <w:p w14:paraId="1C50815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w:t>
      </w:r>
      <w:r>
        <w:rPr>
          <w:rFonts w:hint="eastAsia" w:asciiTheme="minorEastAsia" w:hAnsiTheme="minorEastAsia" w:cstheme="minorEastAsia"/>
          <w:color w:val="auto"/>
          <w:kern w:val="0"/>
          <w:sz w:val="24"/>
          <w:highlight w:val="none"/>
          <w:lang w:bidi="ar"/>
        </w:rPr>
        <w:t>.</w:t>
      </w:r>
      <w:r>
        <w:rPr>
          <w:rFonts w:hint="eastAsia" w:asciiTheme="minorEastAsia" w:hAnsiTheme="minorEastAsia" w:cstheme="minorEastAsia"/>
          <w:color w:val="auto"/>
          <w:kern w:val="0"/>
          <w:sz w:val="24"/>
          <w:highlight w:val="none"/>
          <w:lang w:val="zh-CN" w:bidi="ar"/>
        </w:rPr>
        <w:t>供应商应当按照磋商文件的要求编制响应文件，并对其提交的响应文件的真实性、合法性承担法律责任。</w:t>
      </w:r>
    </w:p>
    <w:p w14:paraId="4521D85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6</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响应文件的语言、计量单位、货币和编制</w:t>
      </w:r>
    </w:p>
    <w:p w14:paraId="4ACAABF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6.1提交的响应文件、技术文件和资料，包括图纸中的说明，以及供应商与代理机构就有关磋商的所有来往函电均应使用中文。响应文件中若有英文或其他语言文字的资料，应提供相应的中文翻译资料。对不同文本响应文件的解释发生异议的，以中文文本为准。</w:t>
      </w:r>
    </w:p>
    <w:p w14:paraId="02E2577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6.2供应商所使用的计量单位应为国家法定计量单位。</w:t>
      </w:r>
    </w:p>
    <w:p w14:paraId="0496E86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6.3供应商应用人民币报价。</w:t>
      </w:r>
    </w:p>
    <w:p w14:paraId="285891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6.4响应文件应字迹清楚、内容齐全、不得涂改。如有修改，修改处须有供应商公章或法定代表人或其授权磋商代表签字。</w:t>
      </w:r>
    </w:p>
    <w:p w14:paraId="4FEA0E8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6.5响应文件应按照磋商文件规定的顺序，统一用A4规格幅面打印、装订成册并编制目录，由于编排混乱导致磋商文件被误读或查找不到，责任由供应商承担。</w:t>
      </w:r>
    </w:p>
    <w:p w14:paraId="7C21D0E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6.6响应文件应逐页编码，不得跳页（包括但不限于授权、证明材料、声明及产品介绍、彩页等）。</w:t>
      </w:r>
    </w:p>
    <w:p w14:paraId="576A0D3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6.7供应商应在响应文件中写清相应的项目编号、项目名称、供应商名称、地址、电话、传真等。</w:t>
      </w:r>
    </w:p>
    <w:p w14:paraId="2F8505E0">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7</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响应文件的组成</w:t>
      </w:r>
    </w:p>
    <w:p w14:paraId="06944D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7.1供应商应当根据磋商文件要求编制响应文件，并根据其商务能力、技术水平对磋商文件提出的要求和条件逐条标明是否响应。响应文件由商务部分、技术部分、价格部分，以及其他部分组成。</w:t>
      </w:r>
    </w:p>
    <w:p w14:paraId="5065D58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7.2响应文件的商务部分。商务部分是证明供应商有资格参加磋商和成交后有能力履行合同的文件，这些文件应能满足竞争性磋商文件的要求，包括但不限于下列文件，其中加“★”项目不得有缺失或无效：</w:t>
      </w:r>
    </w:p>
    <w:p w14:paraId="628984E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 竞争性磋商申请及声明；</w:t>
      </w:r>
    </w:p>
    <w:p w14:paraId="4EB6FA2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 xml:space="preserve">（2）★ 法定代表人授权委托书及委托代理人的身份证复印件； </w:t>
      </w:r>
    </w:p>
    <w:p w14:paraId="07D0633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w:t>
      </w:r>
      <w:r>
        <w:rPr>
          <w:rFonts w:hint="eastAsia" w:ascii="宋体" w:hAnsi="宋体" w:eastAsia="宋体" w:cs="宋体"/>
          <w:bCs/>
          <w:color w:val="auto"/>
          <w:sz w:val="24"/>
          <w:highlight w:val="none"/>
        </w:rPr>
        <w:t>★ 第一章竞争性磋商邀请中第二条规定的资格证明材料；</w:t>
      </w:r>
    </w:p>
    <w:p w14:paraId="5BA753A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w:t>
      </w:r>
      <w:r>
        <w:rPr>
          <w:rFonts w:hint="eastAsia" w:ascii="宋体" w:hAnsi="宋体" w:eastAsia="宋体" w:cs="宋体"/>
          <w:bCs/>
          <w:color w:val="auto"/>
          <w:sz w:val="24"/>
          <w:highlight w:val="none"/>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lang w:val="zh-CN"/>
        </w:rPr>
        <w:t>南京市政府采购供应商信用承诺书</w:t>
      </w:r>
      <w:r>
        <w:rPr>
          <w:rFonts w:hint="eastAsia" w:ascii="宋体" w:hAnsi="宋体" w:eastAsia="宋体" w:cs="宋体"/>
          <w:color w:val="auto"/>
          <w:kern w:val="0"/>
          <w:sz w:val="24"/>
          <w:highlight w:val="none"/>
          <w:lang w:val="zh-CN"/>
        </w:rPr>
        <w:t>》</w:t>
      </w:r>
      <w:r>
        <w:rPr>
          <w:rFonts w:hint="eastAsia" w:asciiTheme="minorEastAsia" w:hAnsiTheme="minorEastAsia" w:cstheme="minorEastAsia"/>
          <w:color w:val="auto"/>
          <w:kern w:val="0"/>
          <w:sz w:val="24"/>
          <w:highlight w:val="none"/>
          <w:lang w:val="zh-CN" w:bidi="ar"/>
        </w:rPr>
        <w:t>；</w:t>
      </w:r>
    </w:p>
    <w:p w14:paraId="445CAB6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 报价表；</w:t>
      </w:r>
    </w:p>
    <w:p w14:paraId="6066EA8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（6）分项报价表；</w:t>
      </w:r>
    </w:p>
    <w:p w14:paraId="0D1B4C9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w:t>
      </w:r>
      <w:r>
        <w:rPr>
          <w:rFonts w:hint="eastAsia" w:ascii="宋体" w:hAnsi="宋体" w:eastAsia="宋体" w:cs="宋体"/>
          <w:bCs/>
          <w:color w:val="auto"/>
          <w:sz w:val="24"/>
          <w:highlight w:val="none"/>
        </w:rPr>
        <w:t>《商务要求响应及偏离表》</w:t>
      </w:r>
    </w:p>
    <w:p w14:paraId="748BF85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（8）合同条款；</w:t>
      </w:r>
    </w:p>
    <w:p w14:paraId="4565142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w:t>
      </w:r>
      <w:r>
        <w:rPr>
          <w:rFonts w:hint="eastAsia" w:asciiTheme="minorEastAsia" w:hAnsiTheme="minorEastAsia" w:cstheme="minorEastAsia"/>
          <w:color w:val="auto"/>
          <w:kern w:val="0"/>
          <w:sz w:val="24"/>
          <w:highlight w:val="none"/>
          <w:lang w:bidi="ar"/>
        </w:rPr>
        <w:t>9</w:t>
      </w:r>
      <w:r>
        <w:rPr>
          <w:rFonts w:hint="eastAsia" w:asciiTheme="minorEastAsia" w:hAnsiTheme="minorEastAsia" w:cstheme="minorEastAsia"/>
          <w:color w:val="auto"/>
          <w:kern w:val="0"/>
          <w:sz w:val="24"/>
          <w:highlight w:val="none"/>
          <w:lang w:val="zh-CN" w:bidi="ar"/>
        </w:rPr>
        <w:t>）供应商认为需要提供的其他资格证明文件和商务资料等。</w:t>
      </w:r>
    </w:p>
    <w:p w14:paraId="2455BD1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7.3响应文件的技术部分。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其中加“★”项目不得有缺失或无效：</w:t>
      </w:r>
    </w:p>
    <w:p w14:paraId="592EA24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宋体" w:hAnsi="宋体" w:eastAsia="宋体" w:cs="宋体"/>
          <w:bCs/>
          <w:color w:val="auto"/>
          <w:kern w:val="0"/>
          <w:sz w:val="24"/>
          <w:highlight w:val="none"/>
          <w:lang w:val="zh-CN"/>
        </w:rPr>
        <w:t>《</w:t>
      </w:r>
      <w:r>
        <w:rPr>
          <w:rFonts w:hint="eastAsia" w:ascii="宋体" w:hAnsi="宋体" w:eastAsia="宋体" w:cs="宋体"/>
          <w:bCs/>
          <w:color w:val="auto"/>
          <w:kern w:val="0"/>
          <w:sz w:val="24"/>
          <w:highlight w:val="none"/>
        </w:rPr>
        <w:t>技术要求响应及偏离表</w:t>
      </w:r>
      <w:r>
        <w:rPr>
          <w:rFonts w:hint="eastAsia" w:ascii="宋体" w:hAnsi="宋体" w:eastAsia="宋体" w:cs="宋体"/>
          <w:bCs/>
          <w:color w:val="auto"/>
          <w:kern w:val="0"/>
          <w:sz w:val="24"/>
          <w:highlight w:val="none"/>
          <w:lang w:val="zh-CN"/>
        </w:rPr>
        <w:t>》</w:t>
      </w:r>
      <w:r>
        <w:rPr>
          <w:rFonts w:hint="eastAsia" w:asciiTheme="minorEastAsia" w:hAnsiTheme="minorEastAsia" w:cstheme="minorEastAsia"/>
          <w:color w:val="auto"/>
          <w:kern w:val="0"/>
          <w:sz w:val="24"/>
          <w:highlight w:val="none"/>
          <w:lang w:val="zh-CN" w:bidi="ar"/>
        </w:rPr>
        <w:t>；</w:t>
      </w:r>
    </w:p>
    <w:p w14:paraId="0EA6485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（2）项目实施</w:t>
      </w:r>
      <w:r>
        <w:rPr>
          <w:rFonts w:hint="eastAsia" w:asciiTheme="minorEastAsia" w:hAnsiTheme="minorEastAsia" w:cstheme="minorEastAsia"/>
          <w:color w:val="auto"/>
          <w:kern w:val="0"/>
          <w:sz w:val="24"/>
          <w:highlight w:val="none"/>
          <w:lang w:bidi="ar"/>
        </w:rPr>
        <w:t>或服务</w:t>
      </w:r>
      <w:r>
        <w:rPr>
          <w:rFonts w:hint="eastAsia" w:asciiTheme="minorEastAsia" w:hAnsiTheme="minorEastAsia" w:cstheme="minorEastAsia"/>
          <w:color w:val="auto"/>
          <w:kern w:val="0"/>
          <w:sz w:val="24"/>
          <w:highlight w:val="none"/>
          <w:lang w:val="zh-CN" w:bidi="ar"/>
        </w:rPr>
        <w:t>方案（若有）；</w:t>
      </w:r>
    </w:p>
    <w:p w14:paraId="42FCDD6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（3）服务承诺；</w:t>
      </w:r>
    </w:p>
    <w:p w14:paraId="4B3E877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（4）供应商认为需要提供的其他技术资料。</w:t>
      </w:r>
    </w:p>
    <w:p w14:paraId="62F03C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7.4响应文件的价格部分</w:t>
      </w:r>
    </w:p>
    <w:p w14:paraId="0F28614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（1）价格部分是对服务价格构成的说明，磋商文件如没有特别说明的话，对每一项服务仅接受一个价格。</w:t>
      </w:r>
    </w:p>
    <w:p w14:paraId="737E3BB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（2）报价应包含完成本服务项目发生的所有含税费用、支付给员工的工资和国家强制缴纳的各种社会保障资金，以及供应商认为需要的其他费用等。</w:t>
      </w:r>
    </w:p>
    <w:p w14:paraId="4C918CF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（3）供应商应充分考虑到市场价格变动，以及项目实施过程中的不可预见因素，一旦成交，总价格不变。如果有漏项，视同让利。</w:t>
      </w:r>
    </w:p>
    <w:p w14:paraId="760FD2E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（4）经磋商后，如果成交价高于或低于供应商在响应文件首次报价的，分项报价同比例调整。</w:t>
      </w:r>
    </w:p>
    <w:p w14:paraId="5DAEE66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7.5响应文件的其他部分。其他部分由供应商根据编制响应文件需要提供的其他相关文件。</w:t>
      </w:r>
    </w:p>
    <w:p w14:paraId="0568D067">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三、响应文件签署与提交</w:t>
      </w:r>
    </w:p>
    <w:p w14:paraId="75832DBD">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8</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响应文件签署</w:t>
      </w:r>
    </w:p>
    <w:p w14:paraId="73DC79E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8.1响应文件应由供应商法定代表人或授权代表签字，并加盖公章。</w:t>
      </w:r>
    </w:p>
    <w:p w14:paraId="77FEB83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8.2供应商应当在磋商文件要求提交响应文件的截止时间前，将响应文件密封送达指定地点。</w:t>
      </w:r>
    </w:p>
    <w:p w14:paraId="1FB45F5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8.3有下列情形之一的响应文件将拒收：</w:t>
      </w:r>
    </w:p>
    <w:p w14:paraId="5AA47F9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（1）在磋商文件要求提交响应文件的截止时间之后送达的；</w:t>
      </w:r>
    </w:p>
    <w:p w14:paraId="06D44BA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（2）未按磋商文件要求对响应文件进行密封、加盖公章的。</w:t>
      </w:r>
    </w:p>
    <w:p w14:paraId="281A305A">
      <w:pPr>
        <w:widowControl/>
        <w:spacing w:line="560" w:lineRule="exact"/>
        <w:ind w:firstLine="56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8"/>
          <w:szCs w:val="28"/>
          <w:highlight w:val="none"/>
          <w:lang w:val="zh-CN" w:bidi="ar"/>
        </w:rPr>
        <w:t>四、磋商</w:t>
      </w:r>
    </w:p>
    <w:p w14:paraId="5A99DA68">
      <w:pPr>
        <w:widowControl/>
        <w:spacing w:line="560" w:lineRule="exact"/>
        <w:ind w:firstLine="482"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9</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联合体及分包（</w:t>
      </w:r>
      <w:r>
        <w:rPr>
          <w:rFonts w:hint="eastAsia" w:asciiTheme="minorEastAsia" w:hAnsiTheme="minorEastAsia" w:cstheme="minorEastAsia"/>
          <w:b/>
          <w:bCs/>
          <w:color w:val="auto"/>
          <w:kern w:val="0"/>
          <w:sz w:val="24"/>
          <w:highlight w:val="none"/>
          <w:lang w:bidi="ar"/>
        </w:rPr>
        <w:t>本项目不适用</w:t>
      </w:r>
      <w:r>
        <w:rPr>
          <w:rFonts w:hint="eastAsia" w:asciiTheme="minorEastAsia" w:hAnsiTheme="minorEastAsia" w:cstheme="minorEastAsia"/>
          <w:b/>
          <w:bCs/>
          <w:color w:val="auto"/>
          <w:kern w:val="0"/>
          <w:sz w:val="24"/>
          <w:highlight w:val="none"/>
          <w:lang w:val="zh-CN" w:bidi="ar"/>
        </w:rPr>
        <w:t>）</w:t>
      </w:r>
    </w:p>
    <w:p w14:paraId="100BF2D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9.1采购项目如接受联合体的，两个以上的自然人、法人或者其他组织可以组成一个联合体，以一个供应商的身份共同参加竞争性磋商。</w:t>
      </w:r>
    </w:p>
    <w:p w14:paraId="790D1F2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9.2联合体各方之间应当签订联合体协议，明确约定联合体各方承担的工作和相应的责任，并将联合体协议连同响应文件一并提交。联合体各方签订联合体协议后，不得再以自己名义单独参加同一项目竞争性磋商，也不得组成新的联合体参加同一项目竞争性磋商。</w:t>
      </w:r>
    </w:p>
    <w:p w14:paraId="64C38D5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9.3政府采购合同分包履行的，成交供应商就采购项目和分包项目向采购人负责，分包项目供应商就分包项目承担责任，成交供应商与分包供应商之间应该签订分包意向协议。</w:t>
      </w:r>
    </w:p>
    <w:p w14:paraId="5205A7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9.4享受中小企业扶持政策获得政府采购合同的，小微企业不得将合同分包给大中型企业，中型企业不得将合同分包给大型企业。</w:t>
      </w:r>
    </w:p>
    <w:p w14:paraId="6183D95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9.5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6F1FC740">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10</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磋商组织</w:t>
      </w:r>
    </w:p>
    <w:p w14:paraId="323FDDD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10.1在提交响应文件时间截止后，代理机构在规定的时间和地点组织磋商小组分别与供应商进行磋商。</w:t>
      </w:r>
    </w:p>
    <w:p w14:paraId="5103859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10.2磋商工作由代理机构负责组织，具体磋商事务由依法组建的磋商小组负责。</w:t>
      </w:r>
    </w:p>
    <w:p w14:paraId="79E687A2">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11</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磋商程序</w:t>
      </w:r>
    </w:p>
    <w:p w14:paraId="103A19E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11.1响应文件的资格审查。</w:t>
      </w:r>
    </w:p>
    <w:p w14:paraId="5AC9367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11.1.1磋商小组将依法对供应商响应文件的有效性、完整性和响应程度进行审查。</w:t>
      </w:r>
    </w:p>
    <w:p w14:paraId="46D9D70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11.1.2资格性审查：依据法律法规和竞争性磋商文件的规定，对响应文件中的资格证明文件等进行审查，以确定投标供应商是否具备投标资格。</w:t>
      </w:r>
    </w:p>
    <w:p w14:paraId="0132DF3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11.1.3在进行资格性审查的同时，将在“信用中国”网站（www.creditchina.gov.cn）、“中国政府采购网"(www.ccgp.gov.cn)对供应商是否被列入失信被执行人、重大税收违法案件当事人名单、政府采购严重违法失信行为记录名单的情况进行查询，以确定投标供应商是否具备投标资格。</w:t>
      </w:r>
    </w:p>
    <w:p w14:paraId="2EDFEF7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11.1.4响应文件有下列情况之一的，在资格性审查时按照无效投标处理：</w:t>
      </w:r>
    </w:p>
    <w:p w14:paraId="6F4089F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（1）不具备竞争性磋商文件中规定资格条件的；</w:t>
      </w:r>
    </w:p>
    <w:p w14:paraId="3B392C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采购活动的，联合体成员存在不良信用记录的，视同联合体存在不良</w:t>
      </w:r>
      <w:r>
        <w:rPr>
          <w:rFonts w:hint="eastAsia" w:asciiTheme="minorEastAsia" w:hAnsiTheme="minorEastAsia" w:cstheme="minorEastAsia"/>
          <w:color w:val="auto"/>
          <w:kern w:val="0"/>
          <w:sz w:val="24"/>
          <w:highlight w:val="none"/>
          <w:lang w:val="en-US" w:eastAsia="zh-CN" w:bidi="ar"/>
        </w:rPr>
        <w:t>信用</w:t>
      </w:r>
      <w:r>
        <w:rPr>
          <w:rFonts w:hint="eastAsia" w:asciiTheme="minorEastAsia" w:hAnsiTheme="minorEastAsia" w:cstheme="minorEastAsia"/>
          <w:color w:val="auto"/>
          <w:kern w:val="0"/>
          <w:sz w:val="24"/>
          <w:highlight w:val="none"/>
          <w:lang w:val="zh-CN" w:bidi="ar"/>
        </w:rPr>
        <w:t>记录。</w:t>
      </w:r>
    </w:p>
    <w:p w14:paraId="3969CD4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11.2响应文件的符合性检查。</w:t>
      </w:r>
    </w:p>
    <w:p w14:paraId="04A6E11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11.2.1磋商小组将依据法律法规和竞争性磋商文件的规定，对响应文件的有效性、完整性和对竞争性磋商文件的响应程度进行审查，以确定是否对竞争性磋商文件的实质性要求作出响应。</w:t>
      </w:r>
    </w:p>
    <w:p w14:paraId="5683636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11.2.2实质性要求是指本竞争性磋商文件中用带星号（“*”）、（“★”）、“必须”或“应（应当）”等其他文字说明的商务和技术要求。</w:t>
      </w:r>
    </w:p>
    <w:p w14:paraId="0C6C339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11.2.3响应文件属下列情形之一的，按照无效响应处理：</w:t>
      </w:r>
    </w:p>
    <w:p w14:paraId="18CEAC2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如果响应文件实质上没有响应竞争性磋商文件的要求，磋商小组将予以拒绝，供应商不得通过修改或撤销</w:t>
      </w:r>
      <w:r>
        <w:rPr>
          <w:rFonts w:hint="eastAsia" w:asciiTheme="minorEastAsia" w:hAnsiTheme="minorEastAsia" w:cstheme="minorEastAsia"/>
          <w:color w:val="auto"/>
          <w:kern w:val="0"/>
          <w:sz w:val="24"/>
          <w:highlight w:val="none"/>
          <w:lang w:val="en-US" w:eastAsia="zh-CN" w:bidi="ar"/>
        </w:rPr>
        <w:t>不符合</w:t>
      </w:r>
      <w:r>
        <w:rPr>
          <w:rFonts w:hint="eastAsia" w:asciiTheme="minorEastAsia" w:hAnsiTheme="minorEastAsia" w:cstheme="minorEastAsia"/>
          <w:color w:val="auto"/>
          <w:kern w:val="0"/>
          <w:sz w:val="24"/>
          <w:highlight w:val="none"/>
          <w:lang w:val="zh-CN" w:bidi="ar"/>
        </w:rPr>
        <w:t>要求的偏离或保留而使其投标成为实质性响应的投标。</w:t>
      </w:r>
    </w:p>
    <w:p w14:paraId="7E71942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（1）没有按照竞争性磋商文件要求密封、签署、盖章的；</w:t>
      </w:r>
    </w:p>
    <w:p w14:paraId="378FB95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（2）不具备竞争性磋商文件中规定资格要求的；</w:t>
      </w:r>
    </w:p>
    <w:p w14:paraId="0B9D035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（3）投标总价超出采购项目预算或者最高限价的；</w:t>
      </w:r>
    </w:p>
    <w:p w14:paraId="4A03E78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（4）不同供应商的响应文件由同一单位或者个人编制；</w:t>
      </w:r>
    </w:p>
    <w:p w14:paraId="4BD5CE6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（5）不同供应商委托同一单位或者个人办理投标事宜；</w:t>
      </w:r>
    </w:p>
    <w:p w14:paraId="18C59CC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（6）不同供应商的响应文件载明的项目管理成员为同一人；</w:t>
      </w:r>
    </w:p>
    <w:p w14:paraId="5C22131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（7）不同供应商的响应文件异常一致或者投标报价呈规律性差异；</w:t>
      </w:r>
    </w:p>
    <w:p w14:paraId="60A5178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（8）不同供应商的响应文件相互混装；</w:t>
      </w:r>
    </w:p>
    <w:p w14:paraId="4A8B7C9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（9）不同供应商的负责人为同一人或者存在控股、管理关系的；</w:t>
      </w:r>
    </w:p>
    <w:p w14:paraId="1AB833B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0</w:t>
      </w:r>
      <w:r>
        <w:rPr>
          <w:rFonts w:hint="eastAsia" w:asciiTheme="minorEastAsia" w:hAnsiTheme="minorEastAsia" w:cstheme="minorEastAsia"/>
          <w:color w:val="auto"/>
          <w:kern w:val="0"/>
          <w:sz w:val="24"/>
          <w:highlight w:val="none"/>
          <w:lang w:val="zh-CN" w:bidi="ar"/>
        </w:rPr>
        <w:t>）磋商小组认为供应商的报价明显低于其他通过符合性审查供应商的报价，有可能影响服务或产品质量或者不能诚信履约的，应当要求其在评标现场合理的时间内提供书面说明，必要时提交相关证明材料；供应商不能证明其报价合理性的，磋商小组应当将其作为无效投标处理；</w:t>
      </w:r>
    </w:p>
    <w:p w14:paraId="69DF88A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（11）响应文件含有采购人不能接受的附加条件的；</w:t>
      </w:r>
    </w:p>
    <w:p w14:paraId="56A26ED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（12）不符合法律法规和竞争性磋商文件规定的其他实质性要求的。</w:t>
      </w:r>
    </w:p>
    <w:p w14:paraId="6995EFE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11.3出现下列情形之一的磋商终止：</w:t>
      </w:r>
    </w:p>
    <w:p w14:paraId="3013576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（1）因情况变化，不再符合规定的竞争性磋商采购方式适用情形的；</w:t>
      </w:r>
    </w:p>
    <w:p w14:paraId="2BD02C7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（2）所有供应商的响应文件被磋商小组认定为无效的；</w:t>
      </w:r>
    </w:p>
    <w:p w14:paraId="0F6B1CE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（3）出现影响采购公正的违法、违规行为的；</w:t>
      </w:r>
    </w:p>
    <w:p w14:paraId="5790499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（4）所有供应商的最终报价均超过采购预算或最高限价的；</w:t>
      </w:r>
    </w:p>
    <w:p w14:paraId="7EB2927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（5）因重大变故，采购任务取消的；</w:t>
      </w:r>
    </w:p>
    <w:p w14:paraId="649C59D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（6）采购人需求发生重大变化暂时不能确定，或供应商提供的服务不能满足需求的；</w:t>
      </w:r>
    </w:p>
    <w:p w14:paraId="3B9C219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（7）预留份额的采购项目或采购包，通过发布公告方式邀请供应商后，符合资格条件的中小企业数量不足3家的。</w:t>
      </w:r>
    </w:p>
    <w:p w14:paraId="02074DF1">
      <w:pPr>
        <w:widowControl/>
        <w:spacing w:line="560" w:lineRule="exact"/>
        <w:ind w:firstLine="480" w:firstLineChars="200"/>
        <w:rPr>
          <w:rFonts w:asciiTheme="minorEastAsia" w:hAnsiTheme="minorEastAsia" w:cstheme="minorEastAsia"/>
          <w:color w:val="auto"/>
          <w:kern w:val="0"/>
          <w:sz w:val="24"/>
          <w:highlight w:val="none"/>
          <w:lang w:val="zh-CN" w:bidi="ar"/>
        </w:rPr>
      </w:pPr>
      <w:bookmarkStart w:id="9" w:name="_Hlk44574862"/>
      <w:r>
        <w:rPr>
          <w:rFonts w:hint="eastAsia" w:asciiTheme="minorEastAsia" w:hAnsiTheme="minorEastAsia" w:cstheme="minorEastAsia"/>
          <w:color w:val="auto"/>
          <w:kern w:val="0"/>
          <w:sz w:val="24"/>
          <w:highlight w:val="none"/>
          <w:lang w:val="zh-CN" w:bidi="ar"/>
        </w:rPr>
        <w:t>11.4磋商小组审阅供应商所递交的响应文件，凡不具备资格条件的供应商不得进入磋商程序。</w:t>
      </w:r>
    </w:p>
    <w:bookmarkEnd w:id="9"/>
    <w:p w14:paraId="5A14F9D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11.5磋商小组所有成员有权决定是否集中与单一供应商分别就竞争性磋商采购项目的技术、商务和价格进行磋商。</w:t>
      </w:r>
    </w:p>
    <w:p w14:paraId="57834D5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11.6磋商过程中，磋商小组可以根据竞争性磋商文件和磋商情况可能实质性变动采购需求中的技术、服务要求以及合同草案条款，但不得变动竞争性磋商文件中的其他内容。实质性变动的内容，须经采购人代表确认。</w:t>
      </w:r>
    </w:p>
    <w:p w14:paraId="6B5E7A1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对竞争性磋商文件作出的实质性变动是竞争性磋商文件的有效组成部分，磋商小组应当及时以书面形式同时通知所有参加磋商的供应商。</w:t>
      </w:r>
    </w:p>
    <w:p w14:paraId="1689C0E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11.7如竞争性磋商文件有实质性变动的，供应商应当按照竞争性磋商文件的变动情况和磋商小组的要求提交响应（或补充）文件，应由其法定代表人或委托代理人签字或者加盖公章。</w:t>
      </w:r>
    </w:p>
    <w:p w14:paraId="4C06FEA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11.8磋商结束后，磋商小组有权决定是否要求所有实质性响应的供应商在规定时间内提交最后报价。</w:t>
      </w:r>
    </w:p>
    <w:p w14:paraId="0F83881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11.9提交最后报价的供应商不得少于3家，其中政府购买服务项目(含政府和社会资本合作项目)、市场竞争不充分的科研项目以及需要扶持的科技成果转化项目，在采购过程中符合要求的供应商（社会资本)只有 2 家的，竞争性磋商采购活动可以继续进行。最后报价由其法定代表人或委托代理人签字或者加盖公章，最后报价是供应商响应文件的有效组成部分。</w:t>
      </w:r>
    </w:p>
    <w:p w14:paraId="18FFEB8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w:t>
      </w:r>
      <w:r>
        <w:rPr>
          <w:rFonts w:hint="eastAsia" w:asciiTheme="minorEastAsia" w:hAnsiTheme="minorEastAsia" w:cstheme="minorEastAsia"/>
          <w:color w:val="auto"/>
          <w:kern w:val="0"/>
          <w:sz w:val="24"/>
          <w:highlight w:val="none"/>
          <w:lang w:val="en-US" w:eastAsia="zh-CN" w:bidi="ar"/>
        </w:rPr>
        <w:t>0</w:t>
      </w:r>
      <w:r>
        <w:rPr>
          <w:rFonts w:hint="eastAsia" w:asciiTheme="minorEastAsia" w:hAnsiTheme="minorEastAsia" w:cstheme="minorEastAsia"/>
          <w:color w:val="auto"/>
          <w:kern w:val="0"/>
          <w:sz w:val="24"/>
          <w:highlight w:val="none"/>
          <w:lang w:val="zh-CN" w:bidi="ar"/>
        </w:rPr>
        <w:t>磋商有效期为90天，从提交响应文件的截止之日起算。响应文件中承诺的磋商有效期应当不少于竞争性磋商文件中载明的磋商有效期。</w:t>
      </w:r>
    </w:p>
    <w:p w14:paraId="3ACC000E">
      <w:pPr>
        <w:widowControl/>
        <w:spacing w:line="560" w:lineRule="exact"/>
        <w:ind w:firstLine="482"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b/>
          <w:bCs/>
          <w:color w:val="auto"/>
          <w:kern w:val="0"/>
          <w:sz w:val="24"/>
          <w:highlight w:val="none"/>
          <w:lang w:bidi="ar"/>
        </w:rPr>
        <w:t>11.1</w:t>
      </w:r>
      <w:r>
        <w:rPr>
          <w:rFonts w:hint="eastAsia" w:asciiTheme="minorEastAsia" w:hAnsiTheme="minorEastAsia" w:cstheme="minorEastAsia"/>
          <w:b/>
          <w:bCs/>
          <w:color w:val="auto"/>
          <w:kern w:val="0"/>
          <w:sz w:val="24"/>
          <w:highlight w:val="none"/>
          <w:lang w:val="en-US" w:eastAsia="zh-CN" w:bidi="ar"/>
        </w:rPr>
        <w:t>1</w:t>
      </w:r>
      <w:r>
        <w:rPr>
          <w:rFonts w:hint="eastAsia" w:asciiTheme="minorEastAsia" w:hAnsiTheme="minorEastAsia" w:cstheme="minorEastAsia"/>
          <w:color w:val="auto"/>
          <w:kern w:val="0"/>
          <w:sz w:val="24"/>
          <w:highlight w:val="none"/>
          <w:lang w:bidi="ar"/>
        </w:rPr>
        <w:t>评审委员会启动异常低价响应审查的情形和具体要求</w:t>
      </w:r>
    </w:p>
    <w:p w14:paraId="5CB004AA">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11.1</w:t>
      </w:r>
      <w:r>
        <w:rPr>
          <w:rFonts w:hint="eastAsia" w:asciiTheme="minorEastAsia" w:hAnsiTheme="minorEastAsia" w:cstheme="minorEastAsia"/>
          <w:color w:val="auto"/>
          <w:kern w:val="0"/>
          <w:sz w:val="24"/>
          <w:highlight w:val="none"/>
          <w:lang w:val="en-US" w:eastAsia="zh-CN" w:bidi="ar"/>
        </w:rPr>
        <w:t>1</w:t>
      </w:r>
      <w:r>
        <w:rPr>
          <w:rFonts w:hint="eastAsia" w:asciiTheme="minorEastAsia" w:hAnsiTheme="minorEastAsia" w:cstheme="minorEastAsia"/>
          <w:color w:val="auto"/>
          <w:kern w:val="0"/>
          <w:sz w:val="24"/>
          <w:highlight w:val="none"/>
          <w:lang w:bidi="ar"/>
        </w:rPr>
        <w:t>.1评审过程中出现下列情形之一的，评审委员会应当启动异常低价响应审查程序：</w:t>
      </w:r>
    </w:p>
    <w:p w14:paraId="4029CA48">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根据财库〔2026〕2号《关于推动解决政府采购异常低价问题的通知》，政府采购评审中出现下列情形之一的，评审委员会应当启动异常低价投标（响应）审查程序：</w:t>
      </w:r>
    </w:p>
    <w:p w14:paraId="346D7E5F">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（1）投标（响应）报价低于全部通过符合性审查供应商投标（响应）报价平均值50%的，即投标（响应）报价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全部通过符合性审查供应商投标（响应）报价平均值×50%；</w:t>
      </w:r>
    </w:p>
    <w:p w14:paraId="471184B1">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（2）投标（响应）报价低于通过符合性审查的次低报价供应商投标（响应）报价50%的，即投标（响应）报价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通过符合性审查的次低报价供应商投标（响应）报价×50%；</w:t>
      </w:r>
    </w:p>
    <w:p w14:paraId="6DFC5546">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（3）投标（响应）报价低于采购项目最高限价45%的，即投标（响应）报价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采购项目最高限价×45%；</w:t>
      </w:r>
    </w:p>
    <w:p w14:paraId="11DEC218">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（4）评审委员会基于专业判断，认为供应商报价过低，有可能影响产品质量或者不能诚信履约的其他情形。</w:t>
      </w:r>
    </w:p>
    <w:p w14:paraId="679BEB3D">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11.1</w:t>
      </w:r>
      <w:r>
        <w:rPr>
          <w:rFonts w:hint="eastAsia" w:asciiTheme="minorEastAsia" w:hAnsiTheme="minorEastAsia" w:cstheme="minorEastAsia"/>
          <w:color w:val="auto"/>
          <w:kern w:val="0"/>
          <w:sz w:val="24"/>
          <w:highlight w:val="none"/>
          <w:lang w:val="en-US" w:eastAsia="zh-CN" w:bidi="ar"/>
        </w:rPr>
        <w:t>1</w:t>
      </w:r>
      <w:r>
        <w:rPr>
          <w:rFonts w:hint="eastAsia" w:asciiTheme="minorEastAsia" w:hAnsiTheme="minorEastAsia" w:cstheme="minorEastAsia"/>
          <w:color w:val="auto"/>
          <w:kern w:val="0"/>
          <w:sz w:val="24"/>
          <w:highlight w:val="none"/>
          <w:lang w:bidi="ar"/>
        </w:rPr>
        <w:t>.2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6CFCCDB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39504AF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12</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评审成交方法和标准</w:t>
      </w:r>
    </w:p>
    <w:p w14:paraId="783DD66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12.1成交标准：采用综合评分法。即在最大限度地满足竞争性磋商文件实质性要求前提下，按照评审因素的量化指标评审总得分最高的供应商为成交候选供应商的评审方法。</w:t>
      </w:r>
    </w:p>
    <w:p w14:paraId="03FE494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12.2综合评分的主要因素、评定方法，详见磋商文件第三章。</w:t>
      </w:r>
    </w:p>
    <w:p w14:paraId="7DA409E2">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13</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确定成交供应商</w:t>
      </w:r>
    </w:p>
    <w:p w14:paraId="0EA3F5A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13.1在综合比较与评价后按照得分由高到低顺序对供应商进行排列。得分相同的，按报价由低到高顺序排列。得分且报价相同的，按服务标准优劣顺序排列。磋商小组根据排名确定3名成交候选供应商。</w:t>
      </w:r>
    </w:p>
    <w:p w14:paraId="52ABB7E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13.2按以下第（1）种方式确定成交供应商</w:t>
      </w:r>
    </w:p>
    <w:p w14:paraId="4AD38BE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（1）磋商小组直接确定排名第一的成交候选供应商为成交供应商；</w:t>
      </w:r>
    </w:p>
    <w:p w14:paraId="0BFF33B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（2）采购人在磋商小组推荐的成交候选供应商中按顺序确定成交供应商。</w:t>
      </w:r>
    </w:p>
    <w:p w14:paraId="7C781EA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按第二种方式确定成交供应商的，代理机构自评审结束之日起两个工作日内将评审报告送交采购人，采购人应当自收到评审报告之日起五个工作日内，在评审报告推荐的成交候选供应商中按顺序确定成交供应商。</w:t>
      </w:r>
    </w:p>
    <w:p w14:paraId="691F99C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13.3成交供应商确定之日起两个工作日内，代理机构将在财政部门指定的政府采购信息发布媒体上公告，成交供应商应及时到代理机构领取《成交通知书》。</w:t>
      </w:r>
    </w:p>
    <w:p w14:paraId="5D22CA6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13.4《成交通知书》对采购人和成交供应商具有同等法律效力。</w:t>
      </w:r>
    </w:p>
    <w:p w14:paraId="64DB6B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13.5代理机构对未成交的供应商不作未成交原因的解释。</w:t>
      </w:r>
    </w:p>
    <w:p w14:paraId="0BAAA2F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13.6所有响应文件不论成交与否，代理机构均不退回。</w:t>
      </w:r>
    </w:p>
    <w:p w14:paraId="54976E3F">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14</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编写评审报告</w:t>
      </w:r>
    </w:p>
    <w:p w14:paraId="1749966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14.1磋商小组根据磋商过程和结果编写评审报告。</w:t>
      </w:r>
    </w:p>
    <w:p w14:paraId="46C38D31">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15</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签订合同</w:t>
      </w:r>
    </w:p>
    <w:p w14:paraId="43C5F2B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15.1成交供应商应当自《成交通知书》发出之日起三十日内，与采购人签订政府采购合同，所签订的合同不得对磋商文件和响应文件作实质性修改。</w:t>
      </w:r>
    </w:p>
    <w:p w14:paraId="5CBEC4C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15.2采购人不得向成交供应商提出任何不合理的要求作为签订合同的条件，不得与成交供应商私下订立背离合同实质性内容的协议。</w:t>
      </w:r>
    </w:p>
    <w:p w14:paraId="595B916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15.3除不可抗力等因素外，《成交通知书》发出后，采购人改变成交结果，或者成交供应商拒绝签订政府采购合同的，应当承担相应的法律责任。</w:t>
      </w:r>
    </w:p>
    <w:p w14:paraId="1E08057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15.4成交供应商除发生法律规定的不能预见、不能避免并不能克服的客观情况外不得放弃或拒绝签订合同。放弃或拒绝签订合同的，财政部门视情将其列入不良行为名单，在一至三年内不得参加南京市政府采购活动。</w:t>
      </w:r>
    </w:p>
    <w:p w14:paraId="3338B9E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15.5成交供应商拒绝签订政府采购合同的，或因不可抗力或者自身原因不能履行政府采购合同的，采购人可以按照评审报告推荐的成交候选供应商名单排序，确定下一候选供应商为成交供应商，也可以重新开展政府采购活动。评审报告未推荐成交候选供应商的，应重新开展政府采购活动。</w:t>
      </w:r>
    </w:p>
    <w:p w14:paraId="45B0EB3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15.6政府采购合同履行中，采购人需追加与合同标的相同的服务的，在不改变合同其他条款的前提下，可以与供应商协商签订补充合同，但所有补充合同的采购金额不得超过原合同采购金额的百分之十。</w:t>
      </w:r>
    </w:p>
    <w:p w14:paraId="42065B71">
      <w:pPr>
        <w:widowControl/>
        <w:spacing w:line="560" w:lineRule="exact"/>
        <w:ind w:firstLine="56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8"/>
          <w:szCs w:val="28"/>
          <w:highlight w:val="none"/>
          <w:lang w:val="zh-CN" w:bidi="ar"/>
        </w:rPr>
        <w:t>五、询问和诚实信用</w:t>
      </w:r>
    </w:p>
    <w:p w14:paraId="1F2D196D">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16</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询问</w:t>
      </w:r>
    </w:p>
    <w:p w14:paraId="4E7A95B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16.1供应商对采购活动事项有疑问的，可以向代理机构提出询问，代理机构将在两个工作日内作出答复，但答复的内容不涉及商业秘密。</w:t>
      </w:r>
    </w:p>
    <w:p w14:paraId="337B1897">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w:t>
      </w:r>
      <w:r>
        <w:rPr>
          <w:rFonts w:hint="eastAsia" w:asciiTheme="minorEastAsia" w:hAnsiTheme="minorEastAsia" w:cstheme="minorEastAsia"/>
          <w:b/>
          <w:bCs/>
          <w:color w:val="auto"/>
          <w:kern w:val="0"/>
          <w:sz w:val="24"/>
          <w:highlight w:val="none"/>
          <w:lang w:bidi="ar"/>
        </w:rPr>
        <w:t>7.</w:t>
      </w:r>
      <w:r>
        <w:rPr>
          <w:rFonts w:hint="eastAsia" w:asciiTheme="minorEastAsia" w:hAnsiTheme="minorEastAsia" w:cstheme="minorEastAsia"/>
          <w:b/>
          <w:bCs/>
          <w:color w:val="auto"/>
          <w:kern w:val="0"/>
          <w:sz w:val="24"/>
          <w:highlight w:val="none"/>
          <w:lang w:val="zh-CN" w:bidi="ar"/>
        </w:rPr>
        <w:t>诚实信用</w:t>
      </w:r>
    </w:p>
    <w:p w14:paraId="59D887D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.1供应商之间不得相互串通报价，不得妨碍其他供应商的公平竞争，不得损害采购人和其他供应商的合法权益。</w:t>
      </w:r>
    </w:p>
    <w:p w14:paraId="6843A3A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.2供应商不得以向代理机构工作人员、磋商小组成员行贿或者采取其他不正当手段谋取成交。经查实供应商有此行为的，政府采购管理部门将供应商列入不良行为记录名单，按照《</w:t>
      </w:r>
      <w:r>
        <w:rPr>
          <w:rFonts w:hint="eastAsia" w:asciiTheme="minorEastAsia" w:hAnsiTheme="minorEastAsia" w:cstheme="minorEastAsia"/>
          <w:color w:val="auto"/>
          <w:kern w:val="0"/>
          <w:sz w:val="24"/>
          <w:highlight w:val="none"/>
          <w:lang w:bidi="ar"/>
        </w:rPr>
        <w:t>中华人民共和国</w:t>
      </w:r>
      <w:r>
        <w:rPr>
          <w:rFonts w:hint="eastAsia" w:asciiTheme="minorEastAsia" w:hAnsiTheme="minorEastAsia" w:cstheme="minorEastAsia"/>
          <w:color w:val="auto"/>
          <w:kern w:val="0"/>
          <w:sz w:val="24"/>
          <w:highlight w:val="none"/>
          <w:lang w:val="zh-CN" w:bidi="ar"/>
        </w:rPr>
        <w:t>政府采购法》有关规定处理。</w:t>
      </w:r>
    </w:p>
    <w:p w14:paraId="2E50946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3供应商提出书面质疑必须有理、有据，不得虚假质疑和恶意质疑，并对质疑内容的真实性承担责任。否则，一经查实，代理机构有权依据政府采购的有关规定，报请政府采购监管部门对该供应商进行相应的行政处罚并予以公示。如果供应商或者其他利害关系人通过捏造事实、伪造证明材料等方式质疑，干扰磋商活动正常进行的，属于严重不良行为，代理机构将提请财政部门将其列入不良行为记录名单，并依法予以处罚。</w:t>
      </w:r>
    </w:p>
    <w:p w14:paraId="0D20FEF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.4供应商不得虚假承诺，否则，按照提供虚假材料谋取成交处理。</w:t>
      </w:r>
    </w:p>
    <w:p w14:paraId="3C6DCB7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.5供应商应自觉遵守磋商、评审纪律，扰乱磋商、评审现场秩序的，属于失信行为，根据《江苏省政府采购供应商监督管理暂行办法》，失信行为将被记入供应商诚信档案。</w:t>
      </w:r>
    </w:p>
    <w:p w14:paraId="4BFE030E">
      <w:pPr>
        <w:spacing w:line="560" w:lineRule="exact"/>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br w:type="page"/>
      </w:r>
    </w:p>
    <w:p w14:paraId="3C2E237D">
      <w:pPr>
        <w:pStyle w:val="2"/>
        <w:spacing w:line="560" w:lineRule="exact"/>
        <w:jc w:val="center"/>
        <w:rPr>
          <w:color w:val="auto"/>
          <w:highlight w:val="none"/>
        </w:rPr>
      </w:pPr>
      <w:bookmarkStart w:id="10" w:name="_Toc19491"/>
      <w:r>
        <w:rPr>
          <w:rFonts w:hint="eastAsia"/>
          <w:color w:val="auto"/>
          <w:highlight w:val="none"/>
        </w:rPr>
        <w:t>第三章 成交标准</w:t>
      </w:r>
      <w:bookmarkEnd w:id="10"/>
    </w:p>
    <w:p w14:paraId="3587C5E0">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一、</w:t>
      </w:r>
      <w:r>
        <w:rPr>
          <w:rFonts w:hint="eastAsia" w:ascii="宋体" w:hAnsi="宋体" w:eastAsia="宋体" w:cs="宋体"/>
          <w:b/>
          <w:color w:val="auto"/>
          <w:sz w:val="28"/>
          <w:szCs w:val="28"/>
          <w:highlight w:val="none"/>
        </w:rPr>
        <w:t>评审</w:t>
      </w:r>
      <w:r>
        <w:rPr>
          <w:rFonts w:hint="eastAsia" w:ascii="宋体" w:hAnsi="宋体" w:eastAsia="宋体" w:cs="宋体"/>
          <w:b/>
          <w:color w:val="auto"/>
          <w:sz w:val="28"/>
          <w:szCs w:val="28"/>
          <w:highlight w:val="none"/>
          <w:lang w:val="zh-CN"/>
        </w:rPr>
        <w:t>方法</w:t>
      </w:r>
    </w:p>
    <w:p w14:paraId="172A0584">
      <w:pPr>
        <w:adjustRightInd w:val="0"/>
        <w:snapToGrid w:val="0"/>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1.采用综合评分法，评审结果按评审后得分由高到低顺序排列。得分相同的，按</w:t>
      </w:r>
      <w:r>
        <w:rPr>
          <w:rFonts w:hint="eastAsia" w:ascii="宋体" w:hAnsi="宋体" w:eastAsia="宋体" w:cs="宋体"/>
          <w:color w:val="auto"/>
          <w:kern w:val="0"/>
          <w:sz w:val="24"/>
          <w:highlight w:val="none"/>
        </w:rPr>
        <w:t>最后报价</w:t>
      </w:r>
      <w:r>
        <w:rPr>
          <w:rFonts w:hint="eastAsia" w:ascii="宋体" w:hAnsi="宋体" w:eastAsia="宋体" w:cs="宋体"/>
          <w:color w:val="auto"/>
          <w:sz w:val="24"/>
          <w:highlight w:val="none"/>
        </w:rPr>
        <w:t>由低到高顺序排列。得分且</w:t>
      </w:r>
      <w:r>
        <w:rPr>
          <w:rFonts w:hint="eastAsia" w:ascii="宋体" w:hAnsi="宋体" w:eastAsia="宋体" w:cs="宋体"/>
          <w:color w:val="auto"/>
          <w:kern w:val="0"/>
          <w:sz w:val="24"/>
          <w:highlight w:val="none"/>
        </w:rPr>
        <w:t>最后报价</w:t>
      </w:r>
      <w:r>
        <w:rPr>
          <w:rFonts w:hint="eastAsia" w:ascii="宋体" w:hAnsi="宋体" w:eastAsia="宋体" w:cs="宋体"/>
          <w:color w:val="auto"/>
          <w:sz w:val="24"/>
          <w:highlight w:val="none"/>
        </w:rPr>
        <w:t>相同的，按“</w:t>
      </w:r>
      <w:r>
        <w:rPr>
          <w:rFonts w:hint="eastAsia" w:ascii="宋体" w:hAnsi="宋体" w:eastAsia="宋体" w:cs="宋体"/>
          <w:color w:val="auto"/>
          <w:sz w:val="24"/>
          <w:highlight w:val="none"/>
          <w:lang w:val="en-US" w:eastAsia="zh-CN"/>
        </w:rPr>
        <w:t>三、评审标准2-6</w:t>
      </w:r>
      <w:r>
        <w:rPr>
          <w:rFonts w:hint="eastAsia" w:ascii="宋体" w:hAnsi="宋体" w:eastAsia="宋体" w:cs="宋体"/>
          <w:color w:val="auto"/>
          <w:sz w:val="24"/>
          <w:highlight w:val="none"/>
        </w:rPr>
        <w:t>方案”</w:t>
      </w:r>
      <w:r>
        <w:rPr>
          <w:rFonts w:hint="eastAsia" w:ascii="宋体" w:hAnsi="宋体" w:eastAsia="宋体" w:cs="宋体"/>
          <w:color w:val="auto"/>
          <w:sz w:val="24"/>
          <w:highlight w:val="none"/>
          <w:lang w:val="en-US" w:eastAsia="zh-CN"/>
        </w:rPr>
        <w:t>总</w:t>
      </w:r>
      <w:r>
        <w:rPr>
          <w:rFonts w:hint="eastAsia" w:ascii="宋体" w:hAnsi="宋体" w:eastAsia="宋体" w:cs="宋体"/>
          <w:color w:val="auto"/>
          <w:sz w:val="24"/>
          <w:highlight w:val="none"/>
        </w:rPr>
        <w:t>得分由高到低顺序排列。在响应文件满足磋商文件全部实质性要求的供应商中，按照评审得分由高到低选取</w:t>
      </w:r>
      <w:r>
        <w:rPr>
          <w:rFonts w:hint="eastAsia" w:ascii="宋体" w:hAnsi="宋体" w:cs="宋体"/>
          <w:color w:val="auto"/>
          <w:sz w:val="24"/>
          <w:highlight w:val="none"/>
        </w:rPr>
        <w:t>3</w:t>
      </w:r>
      <w:r>
        <w:rPr>
          <w:rFonts w:hint="eastAsia" w:ascii="宋体" w:hAnsi="宋体" w:eastAsia="宋体" w:cs="宋体"/>
          <w:color w:val="auto"/>
          <w:sz w:val="24"/>
          <w:highlight w:val="none"/>
        </w:rPr>
        <w:t>名成交候选供应商。</w:t>
      </w:r>
    </w:p>
    <w:p w14:paraId="6CA06135">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二、评审委员会启动异常低价响应审查的情形和具体要求</w:t>
      </w:r>
    </w:p>
    <w:p w14:paraId="4794436E">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1.评审过程中出现下列情形之一的，评审委员会应当启动异常低价响应审查程序：</w:t>
      </w:r>
    </w:p>
    <w:p w14:paraId="1B1C5F2A">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根据财库〔2026〕2号《关于推动解决政府采购异常低价问题的通知》，政府采购评审中出现下列情形之一的，评审委员会应当启动异常低价投标（响应）审查程序：</w:t>
      </w:r>
    </w:p>
    <w:p w14:paraId="433737A0">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（1）投标（响应）报价低于全部通过符合性审查供应商投标（响应）报价平均值50%的，即投标（响应）报价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全部通过符合性审查供应商投标（响应）报价平均值×50%；</w:t>
      </w:r>
    </w:p>
    <w:p w14:paraId="4E69E3EA">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（2）投标（响应）报价低于通过符合性审查的次低报价供应商投标（响应）报价50%的，即投标（响应）报价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通过符合性审查的次低报价供应商投标（响应）报价×50%；</w:t>
      </w:r>
    </w:p>
    <w:p w14:paraId="65D9758C">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（3）投标（响应）报价低于采购项目最高限价45%的，即投标（响应）报价</w:t>
      </w:r>
      <w:r>
        <w:rPr>
          <w:rFonts w:hint="eastAsia" w:asciiTheme="minorEastAsia" w:hAnsiTheme="minorEastAsia" w:cstheme="minorEastAsia"/>
          <w:color w:val="auto"/>
          <w:kern w:val="0"/>
          <w:sz w:val="24"/>
          <w:highlight w:val="none"/>
          <w:lang w:eastAsia="zh-CN" w:bidi="ar"/>
        </w:rPr>
        <w:t>〈</w:t>
      </w:r>
      <w:r>
        <w:rPr>
          <w:rFonts w:hint="eastAsia" w:asciiTheme="minorEastAsia" w:hAnsiTheme="minorEastAsia" w:cstheme="minorEastAsia"/>
          <w:color w:val="auto"/>
          <w:kern w:val="0"/>
          <w:sz w:val="24"/>
          <w:highlight w:val="none"/>
          <w:lang w:bidi="ar"/>
        </w:rPr>
        <w:t>采购项目最高限价×45%；</w:t>
      </w:r>
    </w:p>
    <w:p w14:paraId="027E9B05">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（4）评审委员会基于专业判断，认为供应商报价过低，有可能影响产品质量或者不能诚信履约的其他情形。</w:t>
      </w:r>
    </w:p>
    <w:p w14:paraId="3F8B8C63">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2.磋商小组启动异常低价投标审查后，属于前述第（1）项至第（4）项情形的，应当要求相关供应商在评审现场合理的时间内对投标价格作出解释</w:t>
      </w:r>
      <w:r>
        <w:rPr>
          <w:rFonts w:hint="eastAsia" w:asciiTheme="minorEastAsia" w:hAnsiTheme="minorEastAsia" w:cstheme="minorEastAsia"/>
          <w:color w:val="auto"/>
          <w:kern w:val="0"/>
          <w:sz w:val="24"/>
          <w:highlight w:val="none"/>
          <w:lang w:eastAsia="zh-CN" w:bidi="ar"/>
        </w:rPr>
        <w:t>，并</w:t>
      </w:r>
      <w:r>
        <w:rPr>
          <w:rFonts w:hint="eastAsia" w:asciiTheme="minorEastAsia" w:hAnsiTheme="minorEastAsia" w:cstheme="minorEastAsia"/>
          <w:color w:val="auto"/>
          <w:kern w:val="0"/>
          <w:sz w:val="24"/>
          <w:highlight w:val="none"/>
          <w:lang w:bidi="ar"/>
        </w:rPr>
        <w:t>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F384C61">
      <w:pPr>
        <w:tabs>
          <w:tab w:val="left" w:pos="7005"/>
        </w:tabs>
        <w:autoSpaceDE w:val="0"/>
        <w:autoSpaceDN w:val="0"/>
        <w:adjustRightInd w:val="0"/>
        <w:snapToGrid w:val="0"/>
        <w:spacing w:line="560" w:lineRule="exact"/>
        <w:ind w:firstLine="480" w:firstLineChars="200"/>
        <w:rPr>
          <w:rFonts w:ascii="宋体" w:hAnsi="宋体" w:eastAsia="宋体" w:cs="宋体"/>
          <w:b/>
          <w:color w:val="auto"/>
          <w:sz w:val="28"/>
          <w:szCs w:val="28"/>
          <w:highlight w:val="none"/>
        </w:rPr>
      </w:pPr>
      <w:r>
        <w:rPr>
          <w:rFonts w:hint="eastAsia" w:asciiTheme="minorEastAsia" w:hAnsiTheme="minorEastAsia" w:cstheme="minorEastAsia"/>
          <w:color w:val="auto"/>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0AB70267">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三、评审</w:t>
      </w:r>
      <w:r>
        <w:rPr>
          <w:rFonts w:hint="eastAsia" w:ascii="宋体" w:hAnsi="宋体" w:eastAsia="宋体" w:cs="宋体"/>
          <w:b/>
          <w:color w:val="auto"/>
          <w:sz w:val="28"/>
          <w:szCs w:val="28"/>
          <w:highlight w:val="none"/>
          <w:lang w:val="zh-CN"/>
        </w:rPr>
        <w:t>标准</w:t>
      </w:r>
    </w:p>
    <w:tbl>
      <w:tblPr>
        <w:tblStyle w:val="19"/>
        <w:tblW w:w="9764"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127"/>
        <w:gridCol w:w="7209"/>
        <w:gridCol w:w="638"/>
      </w:tblGrid>
      <w:tr w14:paraId="7E96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6D15EA8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color w:val="auto"/>
                <w:sz w:val="21"/>
                <w:szCs w:val="21"/>
                <w:highlight w:val="none"/>
                <w:lang w:val="en-US" w:eastAsia="zh-CN"/>
              </w:rPr>
            </w:pPr>
            <w:r>
              <w:rPr>
                <w:rFonts w:hint="eastAsia"/>
                <w:b/>
                <w:color w:val="auto"/>
                <w:sz w:val="21"/>
                <w:szCs w:val="20"/>
                <w:highlight w:val="none"/>
                <w:lang w:val="en-US" w:eastAsia="zh-CN"/>
              </w:rPr>
              <w:t>序号</w:t>
            </w:r>
          </w:p>
        </w:tc>
        <w:tc>
          <w:tcPr>
            <w:tcW w:w="1127" w:type="dxa"/>
            <w:noWrap w:val="0"/>
            <w:vAlign w:val="center"/>
          </w:tcPr>
          <w:p w14:paraId="7454B96B">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lang w:val="en-US" w:eastAsia="zh-CN"/>
              </w:rPr>
            </w:pPr>
            <w:r>
              <w:rPr>
                <w:rFonts w:hint="eastAsia"/>
                <w:b/>
                <w:color w:val="auto"/>
                <w:sz w:val="21"/>
                <w:szCs w:val="20"/>
                <w:highlight w:val="none"/>
                <w:lang w:val="en-US" w:eastAsia="zh-CN"/>
              </w:rPr>
              <w:t>评分因素</w:t>
            </w:r>
          </w:p>
        </w:tc>
        <w:tc>
          <w:tcPr>
            <w:tcW w:w="7209" w:type="dxa"/>
            <w:noWrap w:val="0"/>
            <w:vAlign w:val="center"/>
          </w:tcPr>
          <w:p w14:paraId="2C84813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color w:val="auto"/>
                <w:sz w:val="21"/>
                <w:szCs w:val="21"/>
                <w:highlight w:val="none"/>
                <w:lang w:val="en-US" w:eastAsia="zh-CN"/>
              </w:rPr>
            </w:pPr>
            <w:r>
              <w:rPr>
                <w:rFonts w:hint="eastAsia"/>
                <w:b/>
                <w:color w:val="auto"/>
                <w:sz w:val="21"/>
                <w:szCs w:val="20"/>
                <w:highlight w:val="none"/>
              </w:rPr>
              <w:t>评审标准</w:t>
            </w:r>
          </w:p>
        </w:tc>
        <w:tc>
          <w:tcPr>
            <w:tcW w:w="638" w:type="dxa"/>
            <w:noWrap w:val="0"/>
            <w:vAlign w:val="center"/>
          </w:tcPr>
          <w:p w14:paraId="449D58C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lang w:val="en-US" w:eastAsia="zh-CN"/>
              </w:rPr>
            </w:pPr>
            <w:r>
              <w:rPr>
                <w:rFonts w:hint="eastAsia"/>
                <w:b/>
                <w:color w:val="auto"/>
                <w:sz w:val="21"/>
                <w:szCs w:val="20"/>
                <w:highlight w:val="none"/>
                <w:lang w:val="en-US" w:eastAsia="zh-CN"/>
              </w:rPr>
              <w:t>分值</w:t>
            </w:r>
          </w:p>
        </w:tc>
      </w:tr>
      <w:tr w14:paraId="08E3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186667D">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1</w:t>
            </w:r>
          </w:p>
        </w:tc>
        <w:tc>
          <w:tcPr>
            <w:tcW w:w="1127" w:type="dxa"/>
            <w:noWrap w:val="0"/>
            <w:vAlign w:val="center"/>
          </w:tcPr>
          <w:p w14:paraId="7C3EA176">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color w:val="auto"/>
                <w:sz w:val="21"/>
                <w:szCs w:val="20"/>
                <w:highlight w:val="none"/>
                <w:lang w:val="en-US" w:eastAsia="zh-CN"/>
              </w:rPr>
            </w:pPr>
            <w:r>
              <w:rPr>
                <w:rFonts w:hint="eastAsia"/>
                <w:b/>
                <w:color w:val="auto"/>
                <w:sz w:val="21"/>
                <w:szCs w:val="20"/>
                <w:highlight w:val="none"/>
                <w:lang w:val="en-US" w:eastAsia="zh-CN"/>
              </w:rPr>
              <w:t>价格</w:t>
            </w:r>
          </w:p>
          <w:p w14:paraId="337E4495">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（30分</w:t>
            </w:r>
            <w:r>
              <w:rPr>
                <w:rFonts w:hint="eastAsia"/>
                <w:b/>
                <w:color w:val="auto"/>
                <w:sz w:val="21"/>
                <w:szCs w:val="20"/>
                <w:highlight w:val="none"/>
                <w:lang w:eastAsia="zh-CN"/>
              </w:rPr>
              <w:t>）</w:t>
            </w:r>
          </w:p>
        </w:tc>
        <w:tc>
          <w:tcPr>
            <w:tcW w:w="7209" w:type="dxa"/>
            <w:noWrap w:val="0"/>
            <w:vAlign w:val="center"/>
          </w:tcPr>
          <w:p w14:paraId="41B85591">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color w:val="auto"/>
                <w:sz w:val="21"/>
                <w:szCs w:val="20"/>
                <w:highlight w:val="none"/>
              </w:rPr>
              <w:t>采用低价优先法计算，即满足</w:t>
            </w:r>
            <w:r>
              <w:rPr>
                <w:rFonts w:hint="eastAsia"/>
                <w:color w:val="auto"/>
                <w:sz w:val="21"/>
                <w:szCs w:val="20"/>
                <w:highlight w:val="none"/>
                <w:lang w:val="en-US" w:eastAsia="zh-CN"/>
              </w:rPr>
              <w:t>磋商</w:t>
            </w:r>
            <w:r>
              <w:rPr>
                <w:rFonts w:hint="eastAsia"/>
                <w:color w:val="auto"/>
                <w:sz w:val="21"/>
                <w:szCs w:val="20"/>
                <w:highlight w:val="none"/>
              </w:rPr>
              <w:t>文件要求且投标价格最低的投标报价为评标基准价，其价格分为满</w:t>
            </w:r>
            <w:r>
              <w:rPr>
                <w:rFonts w:hint="eastAsia"/>
                <w:color w:val="auto"/>
                <w:sz w:val="21"/>
                <w:szCs w:val="20"/>
                <w:highlight w:val="none"/>
                <w:lang w:val="en-US" w:eastAsia="zh-CN"/>
              </w:rPr>
              <w:t>30</w:t>
            </w:r>
            <w:r>
              <w:rPr>
                <w:rFonts w:hint="eastAsia"/>
                <w:color w:val="auto"/>
                <w:sz w:val="21"/>
                <w:szCs w:val="20"/>
                <w:highlight w:val="none"/>
              </w:rPr>
              <w:t>分。其他供应商的价格分统一按照下列公式计算： 投标报价得分=（评标基准价/投标报价）*</w:t>
            </w:r>
            <w:r>
              <w:rPr>
                <w:rFonts w:hint="eastAsia"/>
                <w:color w:val="auto"/>
                <w:sz w:val="21"/>
                <w:szCs w:val="20"/>
                <w:highlight w:val="none"/>
                <w:lang w:val="en-US" w:eastAsia="zh-CN"/>
              </w:rPr>
              <w:t>30</w:t>
            </w:r>
            <w:r>
              <w:rPr>
                <w:rFonts w:hint="eastAsia"/>
                <w:color w:val="auto"/>
                <w:sz w:val="21"/>
                <w:szCs w:val="20"/>
                <w:highlight w:val="none"/>
              </w:rPr>
              <w:t>（小数点保留两位）</w:t>
            </w:r>
          </w:p>
        </w:tc>
        <w:tc>
          <w:tcPr>
            <w:tcW w:w="638" w:type="dxa"/>
            <w:noWrap w:val="0"/>
            <w:vAlign w:val="center"/>
          </w:tcPr>
          <w:p w14:paraId="1D79C72C">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bCs/>
                <w:color w:val="auto"/>
                <w:sz w:val="21"/>
                <w:szCs w:val="20"/>
                <w:highlight w:val="none"/>
                <w:lang w:val="en-US" w:eastAsia="zh-CN"/>
              </w:rPr>
              <w:t>30</w:t>
            </w:r>
          </w:p>
        </w:tc>
      </w:tr>
      <w:tr w14:paraId="3068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noWrap w:val="0"/>
            <w:vAlign w:val="center"/>
          </w:tcPr>
          <w:p w14:paraId="6B8DDE7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2</w:t>
            </w:r>
          </w:p>
        </w:tc>
        <w:tc>
          <w:tcPr>
            <w:tcW w:w="1127" w:type="dxa"/>
            <w:vMerge w:val="restart"/>
            <w:noWrap w:val="0"/>
            <w:vAlign w:val="center"/>
          </w:tcPr>
          <w:p w14:paraId="0D272278">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eastAsia="宋体"/>
                <w:b/>
                <w:color w:val="auto"/>
                <w:sz w:val="21"/>
                <w:szCs w:val="20"/>
                <w:highlight w:val="none"/>
                <w:lang w:val="en-US" w:eastAsia="zh-CN"/>
              </w:rPr>
            </w:pPr>
            <w:r>
              <w:rPr>
                <w:rFonts w:hint="eastAsia"/>
                <w:b/>
                <w:color w:val="auto"/>
                <w:sz w:val="21"/>
                <w:szCs w:val="20"/>
                <w:highlight w:val="none"/>
                <w:lang w:val="en-US" w:eastAsia="zh-CN"/>
              </w:rPr>
              <w:t>服务方案</w:t>
            </w:r>
          </w:p>
          <w:p w14:paraId="53325E5F">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rPr>
              <w:t>（</w:t>
            </w:r>
            <w:r>
              <w:rPr>
                <w:rFonts w:hint="eastAsia"/>
                <w:b/>
                <w:color w:val="auto"/>
                <w:sz w:val="21"/>
                <w:szCs w:val="20"/>
                <w:highlight w:val="none"/>
                <w:lang w:val="en-US" w:eastAsia="zh-CN"/>
              </w:rPr>
              <w:t>20</w:t>
            </w:r>
            <w:r>
              <w:rPr>
                <w:rFonts w:hint="eastAsia"/>
                <w:b/>
                <w:color w:val="auto"/>
                <w:sz w:val="21"/>
                <w:szCs w:val="20"/>
                <w:highlight w:val="none"/>
              </w:rPr>
              <w:t>分）</w:t>
            </w:r>
          </w:p>
        </w:tc>
        <w:tc>
          <w:tcPr>
            <w:tcW w:w="7209" w:type="dxa"/>
            <w:noWrap w:val="0"/>
            <w:vAlign w:val="center"/>
          </w:tcPr>
          <w:p w14:paraId="18BDF97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根据供应商针对本项目提供的服务方案</w:t>
            </w:r>
            <w:r>
              <w:rPr>
                <w:rFonts w:hint="eastAsia"/>
                <w:color w:val="auto"/>
                <w:sz w:val="21"/>
                <w:szCs w:val="20"/>
                <w:highlight w:val="none"/>
                <w:lang w:eastAsia="zh-CN"/>
              </w:rPr>
              <w:t>，包括居家康复、站点群体性康复、转介服务、康复站运营等服务内容方案</w:t>
            </w:r>
            <w:r>
              <w:rPr>
                <w:rFonts w:hint="eastAsia"/>
                <w:color w:val="auto"/>
                <w:sz w:val="21"/>
                <w:szCs w:val="20"/>
                <w:highlight w:val="none"/>
              </w:rPr>
              <w:t>进行综合评分：</w:t>
            </w:r>
          </w:p>
          <w:p w14:paraId="569F4B3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实施方案完整，合理完善、考虑周到、可操作性强、措施得力优秀、</w:t>
            </w:r>
            <w:r>
              <w:rPr>
                <w:rFonts w:hint="eastAsia"/>
                <w:color w:val="auto"/>
                <w:sz w:val="21"/>
                <w:szCs w:val="20"/>
                <w:highlight w:val="none"/>
                <w:lang w:val="en-US"/>
              </w:rPr>
              <w:t>团队人员配置完全符合方案设计，</w:t>
            </w:r>
            <w:r>
              <w:rPr>
                <w:rFonts w:hint="eastAsia"/>
                <w:color w:val="auto"/>
                <w:sz w:val="21"/>
                <w:szCs w:val="20"/>
                <w:highlight w:val="none"/>
              </w:rPr>
              <w:t>得</w:t>
            </w:r>
            <w:r>
              <w:rPr>
                <w:rFonts w:hint="eastAsia"/>
                <w:color w:val="auto"/>
                <w:sz w:val="21"/>
                <w:szCs w:val="20"/>
                <w:highlight w:val="none"/>
                <w:lang w:val="en-US" w:eastAsia="zh-CN"/>
              </w:rPr>
              <w:t>10</w:t>
            </w:r>
            <w:r>
              <w:rPr>
                <w:rFonts w:hint="eastAsia"/>
                <w:color w:val="auto"/>
                <w:sz w:val="21"/>
                <w:szCs w:val="20"/>
                <w:highlight w:val="none"/>
              </w:rPr>
              <w:t>分；</w:t>
            </w:r>
          </w:p>
          <w:p w14:paraId="553EC19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方案内容规范、合理，服务全面性较强、考虑周到，可操作性较强、措施可行、</w:t>
            </w:r>
            <w:r>
              <w:rPr>
                <w:rFonts w:hint="eastAsia"/>
                <w:color w:val="auto"/>
                <w:sz w:val="21"/>
                <w:szCs w:val="20"/>
                <w:highlight w:val="none"/>
                <w:lang w:val="en-US"/>
              </w:rPr>
              <w:t>团队人员配置符合方案设计</w:t>
            </w:r>
            <w:r>
              <w:rPr>
                <w:rFonts w:hint="eastAsia"/>
                <w:color w:val="auto"/>
                <w:sz w:val="21"/>
                <w:szCs w:val="20"/>
                <w:highlight w:val="none"/>
              </w:rPr>
              <w:t>的，得</w:t>
            </w:r>
            <w:r>
              <w:rPr>
                <w:rFonts w:hint="eastAsia"/>
                <w:color w:val="auto"/>
                <w:sz w:val="21"/>
                <w:szCs w:val="20"/>
                <w:highlight w:val="none"/>
                <w:lang w:val="en-US" w:eastAsia="zh-CN"/>
              </w:rPr>
              <w:t>7</w:t>
            </w:r>
            <w:r>
              <w:rPr>
                <w:rFonts w:hint="eastAsia"/>
                <w:color w:val="auto"/>
                <w:sz w:val="21"/>
                <w:szCs w:val="20"/>
                <w:highlight w:val="none"/>
              </w:rPr>
              <w:t>分；</w:t>
            </w:r>
          </w:p>
          <w:p w14:paraId="70DC798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方案有一定的合理性、规范性，各方面管理较全面、有一定的可操作性的，得</w:t>
            </w:r>
            <w:r>
              <w:rPr>
                <w:rFonts w:hint="eastAsia"/>
                <w:color w:val="auto"/>
                <w:sz w:val="21"/>
                <w:szCs w:val="20"/>
                <w:highlight w:val="none"/>
                <w:lang w:val="en-US" w:eastAsia="zh-CN"/>
              </w:rPr>
              <w:t>4</w:t>
            </w:r>
            <w:r>
              <w:rPr>
                <w:rFonts w:hint="eastAsia"/>
                <w:color w:val="auto"/>
                <w:sz w:val="21"/>
                <w:szCs w:val="20"/>
                <w:highlight w:val="none"/>
              </w:rPr>
              <w:t>分；</w:t>
            </w:r>
          </w:p>
          <w:p w14:paraId="5527F9B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2"/>
                <w:sz w:val="21"/>
                <w:szCs w:val="21"/>
                <w:highlight w:val="none"/>
                <w:lang w:val="zh-CN" w:eastAsia="zh-CN" w:bidi="ar-SA"/>
              </w:rPr>
            </w:pPr>
            <w:r>
              <w:rPr>
                <w:rFonts w:hint="eastAsia"/>
                <w:color w:val="auto"/>
                <w:sz w:val="21"/>
                <w:szCs w:val="20"/>
                <w:highlight w:val="none"/>
              </w:rPr>
              <w:t>未提供不得分。</w:t>
            </w:r>
          </w:p>
        </w:tc>
        <w:tc>
          <w:tcPr>
            <w:tcW w:w="638" w:type="dxa"/>
            <w:noWrap w:val="0"/>
            <w:vAlign w:val="center"/>
          </w:tcPr>
          <w:p w14:paraId="59F96996">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bCs/>
                <w:color w:val="auto"/>
                <w:sz w:val="21"/>
                <w:szCs w:val="20"/>
                <w:highlight w:val="none"/>
                <w:lang w:val="en-US" w:eastAsia="zh-CN"/>
              </w:rPr>
              <w:t>10</w:t>
            </w:r>
          </w:p>
        </w:tc>
      </w:tr>
      <w:tr w14:paraId="3A51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noWrap w:val="0"/>
            <w:vAlign w:val="center"/>
          </w:tcPr>
          <w:p w14:paraId="21F5692E">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p>
        </w:tc>
        <w:tc>
          <w:tcPr>
            <w:tcW w:w="1127" w:type="dxa"/>
            <w:vMerge w:val="continue"/>
            <w:noWrap w:val="0"/>
            <w:vAlign w:val="center"/>
          </w:tcPr>
          <w:p w14:paraId="0902BC9F">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p>
        </w:tc>
        <w:tc>
          <w:tcPr>
            <w:tcW w:w="7209" w:type="dxa"/>
            <w:noWrap w:val="0"/>
            <w:vAlign w:val="center"/>
          </w:tcPr>
          <w:p w14:paraId="02A1DBD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根据供应商针对本项目的特殊性制定具有特色、准确、科学、全面、高效的服务方案进行综合评分：</w:t>
            </w:r>
          </w:p>
          <w:p w14:paraId="35A8025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方案内容完整合理，有特色化服务，措施得力优秀的，得1</w:t>
            </w:r>
            <w:r>
              <w:rPr>
                <w:rFonts w:hint="eastAsia"/>
                <w:color w:val="auto"/>
                <w:sz w:val="21"/>
                <w:szCs w:val="20"/>
                <w:highlight w:val="none"/>
                <w:lang w:val="en-US" w:eastAsia="zh-CN"/>
              </w:rPr>
              <w:t>0</w:t>
            </w:r>
            <w:r>
              <w:rPr>
                <w:rFonts w:hint="eastAsia"/>
                <w:color w:val="auto"/>
                <w:sz w:val="21"/>
                <w:szCs w:val="20"/>
                <w:highlight w:val="none"/>
              </w:rPr>
              <w:t>分；</w:t>
            </w:r>
          </w:p>
          <w:p w14:paraId="12E0742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方案内容较合理，特色化服务一般，可操作性较强、措施可行的，得</w:t>
            </w:r>
            <w:r>
              <w:rPr>
                <w:rFonts w:hint="eastAsia"/>
                <w:color w:val="auto"/>
                <w:sz w:val="21"/>
                <w:szCs w:val="20"/>
                <w:highlight w:val="none"/>
                <w:lang w:val="en-US" w:eastAsia="zh-CN"/>
              </w:rPr>
              <w:t>7</w:t>
            </w:r>
            <w:r>
              <w:rPr>
                <w:rFonts w:hint="eastAsia"/>
                <w:color w:val="auto"/>
                <w:sz w:val="21"/>
                <w:szCs w:val="20"/>
                <w:highlight w:val="none"/>
              </w:rPr>
              <w:t>分；</w:t>
            </w:r>
          </w:p>
          <w:p w14:paraId="795DBE5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方案合理性一般，各方面流程有一定的规范性但阐述不详细的，得</w:t>
            </w:r>
            <w:r>
              <w:rPr>
                <w:rFonts w:hint="eastAsia"/>
                <w:color w:val="auto"/>
                <w:sz w:val="21"/>
                <w:szCs w:val="20"/>
                <w:highlight w:val="none"/>
                <w:lang w:val="en-US" w:eastAsia="zh-CN"/>
              </w:rPr>
              <w:t>4</w:t>
            </w:r>
            <w:r>
              <w:rPr>
                <w:rFonts w:hint="eastAsia"/>
                <w:color w:val="auto"/>
                <w:sz w:val="21"/>
                <w:szCs w:val="20"/>
                <w:highlight w:val="none"/>
              </w:rPr>
              <w:t>分；</w:t>
            </w:r>
          </w:p>
          <w:p w14:paraId="55436C4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color w:val="auto"/>
                <w:sz w:val="21"/>
                <w:szCs w:val="20"/>
                <w:highlight w:val="none"/>
              </w:rPr>
              <w:t>未提供不得分。</w:t>
            </w:r>
          </w:p>
        </w:tc>
        <w:tc>
          <w:tcPr>
            <w:tcW w:w="638" w:type="dxa"/>
            <w:noWrap w:val="0"/>
            <w:vAlign w:val="center"/>
          </w:tcPr>
          <w:p w14:paraId="4E0BF03D">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bCs/>
                <w:color w:val="auto"/>
                <w:sz w:val="21"/>
                <w:szCs w:val="20"/>
                <w:highlight w:val="none"/>
                <w:lang w:val="en-US"/>
              </w:rPr>
              <w:t>1</w:t>
            </w:r>
            <w:r>
              <w:rPr>
                <w:rFonts w:hint="eastAsia"/>
                <w:b/>
                <w:bCs/>
                <w:color w:val="auto"/>
                <w:sz w:val="21"/>
                <w:szCs w:val="20"/>
                <w:highlight w:val="none"/>
                <w:lang w:val="en-US" w:eastAsia="zh-CN"/>
              </w:rPr>
              <w:t>0</w:t>
            </w:r>
          </w:p>
        </w:tc>
      </w:tr>
      <w:tr w14:paraId="3D0E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4059F2C">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3</w:t>
            </w:r>
          </w:p>
        </w:tc>
        <w:tc>
          <w:tcPr>
            <w:tcW w:w="1127" w:type="dxa"/>
            <w:noWrap w:val="0"/>
            <w:vAlign w:val="center"/>
          </w:tcPr>
          <w:p w14:paraId="14C53138">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b/>
                <w:color w:val="auto"/>
                <w:sz w:val="21"/>
                <w:szCs w:val="20"/>
                <w:highlight w:val="none"/>
                <w:lang w:val="en-US" w:eastAsia="zh-CN"/>
              </w:rPr>
              <w:t>档案管理</w:t>
            </w:r>
            <w:r>
              <w:rPr>
                <w:rFonts w:hint="eastAsia"/>
                <w:b/>
                <w:color w:val="auto"/>
                <w:sz w:val="21"/>
                <w:szCs w:val="20"/>
                <w:highlight w:val="none"/>
              </w:rPr>
              <w:t>（</w:t>
            </w:r>
            <w:r>
              <w:rPr>
                <w:rFonts w:hint="eastAsia"/>
                <w:b/>
                <w:color w:val="auto"/>
                <w:sz w:val="21"/>
                <w:szCs w:val="20"/>
                <w:highlight w:val="none"/>
                <w:lang w:val="en-US" w:eastAsia="zh-CN"/>
              </w:rPr>
              <w:t>8</w:t>
            </w:r>
            <w:r>
              <w:rPr>
                <w:rFonts w:hint="eastAsia"/>
                <w:b/>
                <w:color w:val="auto"/>
                <w:sz w:val="21"/>
                <w:szCs w:val="20"/>
                <w:highlight w:val="none"/>
              </w:rPr>
              <w:t>分）</w:t>
            </w:r>
          </w:p>
        </w:tc>
        <w:tc>
          <w:tcPr>
            <w:tcW w:w="7209" w:type="dxa"/>
            <w:noWrap w:val="0"/>
            <w:vAlign w:val="center"/>
          </w:tcPr>
          <w:p w14:paraId="32E0E81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根据供应商提供的档案管理</w:t>
            </w:r>
            <w:r>
              <w:rPr>
                <w:rFonts w:hint="eastAsia"/>
                <w:color w:val="auto"/>
                <w:sz w:val="21"/>
                <w:szCs w:val="20"/>
                <w:highlight w:val="none"/>
                <w:lang w:val="en-US"/>
              </w:rPr>
              <w:t>制度和档案样例</w:t>
            </w:r>
            <w:r>
              <w:rPr>
                <w:rFonts w:hint="eastAsia"/>
                <w:color w:val="auto"/>
                <w:sz w:val="21"/>
                <w:szCs w:val="20"/>
                <w:highlight w:val="none"/>
              </w:rPr>
              <w:t>进行综合评分：</w:t>
            </w:r>
          </w:p>
          <w:p w14:paraId="7DB70B2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档案管理制度科学、合理</w:t>
            </w:r>
            <w:r>
              <w:rPr>
                <w:rFonts w:hint="eastAsia"/>
                <w:color w:val="auto"/>
                <w:sz w:val="21"/>
                <w:szCs w:val="20"/>
                <w:highlight w:val="none"/>
                <w:lang w:val="en-US" w:eastAsia="zh-CN"/>
              </w:rPr>
              <w:t>，</w:t>
            </w:r>
            <w:r>
              <w:rPr>
                <w:rFonts w:hint="eastAsia"/>
                <w:color w:val="auto"/>
                <w:sz w:val="21"/>
                <w:szCs w:val="20"/>
                <w:highlight w:val="none"/>
                <w:lang w:val="en-US"/>
              </w:rPr>
              <w:t>有明确的职责分工、独立的档案室和专门的档案管理员</w:t>
            </w:r>
            <w:r>
              <w:rPr>
                <w:rFonts w:hint="eastAsia"/>
                <w:color w:val="auto"/>
                <w:sz w:val="21"/>
                <w:szCs w:val="20"/>
                <w:highlight w:val="none"/>
              </w:rPr>
              <w:t>，提供样例资料完整，管理有序得</w:t>
            </w:r>
            <w:r>
              <w:rPr>
                <w:rFonts w:hint="eastAsia"/>
                <w:color w:val="auto"/>
                <w:sz w:val="21"/>
                <w:szCs w:val="20"/>
                <w:highlight w:val="none"/>
                <w:lang w:val="en-US" w:eastAsia="zh-CN"/>
              </w:rPr>
              <w:t>8</w:t>
            </w:r>
            <w:r>
              <w:rPr>
                <w:rFonts w:hint="eastAsia"/>
                <w:color w:val="auto"/>
                <w:sz w:val="21"/>
                <w:szCs w:val="20"/>
                <w:highlight w:val="none"/>
              </w:rPr>
              <w:t>分；</w:t>
            </w:r>
          </w:p>
          <w:p w14:paraId="399D88D3">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档案管理制度</w:t>
            </w:r>
            <w:r>
              <w:rPr>
                <w:rFonts w:hint="eastAsia"/>
                <w:color w:val="auto"/>
                <w:sz w:val="21"/>
                <w:szCs w:val="20"/>
                <w:highlight w:val="none"/>
              </w:rPr>
              <w:t>较科学、较合理，</w:t>
            </w:r>
            <w:r>
              <w:rPr>
                <w:rFonts w:hint="eastAsia"/>
                <w:color w:val="auto"/>
                <w:sz w:val="21"/>
                <w:szCs w:val="20"/>
                <w:highlight w:val="none"/>
                <w:lang w:val="en-US"/>
              </w:rPr>
              <w:t>有明确的职责分工，有档案室，</w:t>
            </w:r>
            <w:r>
              <w:rPr>
                <w:rFonts w:hint="eastAsia"/>
                <w:color w:val="auto"/>
                <w:sz w:val="21"/>
                <w:szCs w:val="20"/>
                <w:highlight w:val="none"/>
              </w:rPr>
              <w:t>具有较好</w:t>
            </w:r>
            <w:r>
              <w:rPr>
                <w:rFonts w:hint="eastAsia"/>
                <w:color w:val="auto"/>
                <w:sz w:val="21"/>
                <w:szCs w:val="20"/>
                <w:highlight w:val="none"/>
                <w:lang w:val="en-US" w:eastAsia="zh-CN"/>
              </w:rPr>
              <w:t>的</w:t>
            </w:r>
            <w:r>
              <w:rPr>
                <w:rFonts w:hint="eastAsia"/>
                <w:color w:val="auto"/>
                <w:sz w:val="21"/>
                <w:szCs w:val="20"/>
                <w:highlight w:val="none"/>
              </w:rPr>
              <w:t>档案管理能力，提供样例资料较完整，管理较有序的，得</w:t>
            </w:r>
            <w:r>
              <w:rPr>
                <w:rFonts w:hint="eastAsia"/>
                <w:color w:val="auto"/>
                <w:sz w:val="21"/>
                <w:szCs w:val="20"/>
                <w:highlight w:val="none"/>
                <w:lang w:val="en-US" w:eastAsia="zh-CN"/>
              </w:rPr>
              <w:t>5</w:t>
            </w:r>
            <w:r>
              <w:rPr>
                <w:rFonts w:hint="eastAsia"/>
                <w:color w:val="auto"/>
                <w:sz w:val="21"/>
                <w:szCs w:val="20"/>
                <w:highlight w:val="none"/>
              </w:rPr>
              <w:t>分；</w:t>
            </w:r>
          </w:p>
          <w:p w14:paraId="42943416">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档案管理制度</w:t>
            </w:r>
            <w:r>
              <w:rPr>
                <w:rFonts w:hint="eastAsia"/>
                <w:color w:val="auto"/>
                <w:sz w:val="21"/>
                <w:szCs w:val="20"/>
                <w:highlight w:val="none"/>
              </w:rPr>
              <w:t>科学性一般、合理性一般，档案管理能力一般，样例资料完整性一般的，得</w:t>
            </w:r>
            <w:r>
              <w:rPr>
                <w:rFonts w:hint="eastAsia"/>
                <w:color w:val="auto"/>
                <w:sz w:val="21"/>
                <w:szCs w:val="20"/>
                <w:highlight w:val="none"/>
                <w:lang w:val="en-US" w:eastAsia="zh-CN"/>
              </w:rPr>
              <w:t>2</w:t>
            </w:r>
            <w:r>
              <w:rPr>
                <w:rFonts w:hint="eastAsia"/>
                <w:color w:val="auto"/>
                <w:sz w:val="21"/>
                <w:szCs w:val="20"/>
                <w:highlight w:val="none"/>
              </w:rPr>
              <w:t>分；</w:t>
            </w:r>
          </w:p>
          <w:p w14:paraId="3DF56BF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sz w:val="21"/>
                <w:szCs w:val="21"/>
                <w:highlight w:val="none"/>
              </w:rPr>
            </w:pPr>
            <w:r>
              <w:rPr>
                <w:rFonts w:hint="eastAsia"/>
                <w:color w:val="auto"/>
                <w:sz w:val="21"/>
                <w:szCs w:val="20"/>
                <w:highlight w:val="none"/>
              </w:rPr>
              <w:t>未提供不得分。</w:t>
            </w:r>
          </w:p>
        </w:tc>
        <w:tc>
          <w:tcPr>
            <w:tcW w:w="638" w:type="dxa"/>
            <w:noWrap w:val="0"/>
            <w:vAlign w:val="center"/>
          </w:tcPr>
          <w:p w14:paraId="5046BDAC">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bCs/>
                <w:color w:val="auto"/>
                <w:sz w:val="21"/>
                <w:szCs w:val="20"/>
                <w:highlight w:val="none"/>
                <w:lang w:val="en-US" w:eastAsia="zh-CN"/>
              </w:rPr>
              <w:t>8</w:t>
            </w:r>
          </w:p>
        </w:tc>
      </w:tr>
      <w:tr w14:paraId="377E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795C989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4</w:t>
            </w:r>
          </w:p>
        </w:tc>
        <w:tc>
          <w:tcPr>
            <w:tcW w:w="1127" w:type="dxa"/>
            <w:noWrap w:val="0"/>
            <w:vAlign w:val="center"/>
          </w:tcPr>
          <w:p w14:paraId="2C177FE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b/>
                <w:bCs/>
                <w:color w:val="auto"/>
                <w:sz w:val="21"/>
                <w:szCs w:val="20"/>
                <w:highlight w:val="none"/>
                <w:lang w:val="en-US"/>
              </w:rPr>
            </w:pPr>
            <w:r>
              <w:rPr>
                <w:rFonts w:hint="eastAsia"/>
                <w:b/>
                <w:bCs/>
                <w:color w:val="auto"/>
                <w:sz w:val="21"/>
                <w:szCs w:val="20"/>
                <w:highlight w:val="none"/>
                <w:lang w:val="en-US"/>
              </w:rPr>
              <w:t>安全管理制度</w:t>
            </w:r>
          </w:p>
          <w:p w14:paraId="581EF0E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b/>
                <w:bCs/>
                <w:color w:val="auto"/>
                <w:sz w:val="21"/>
                <w:szCs w:val="20"/>
                <w:highlight w:val="none"/>
                <w:lang w:val="en-US"/>
              </w:rPr>
              <w:t>（</w:t>
            </w:r>
            <w:r>
              <w:rPr>
                <w:rFonts w:hint="eastAsia"/>
                <w:b/>
                <w:bCs/>
                <w:color w:val="auto"/>
                <w:sz w:val="21"/>
                <w:szCs w:val="20"/>
                <w:highlight w:val="none"/>
                <w:lang w:val="en-US" w:eastAsia="zh-CN"/>
              </w:rPr>
              <w:t>9</w:t>
            </w:r>
            <w:r>
              <w:rPr>
                <w:rFonts w:hint="eastAsia"/>
                <w:b/>
                <w:bCs/>
                <w:color w:val="auto"/>
                <w:sz w:val="21"/>
                <w:szCs w:val="20"/>
                <w:highlight w:val="none"/>
                <w:lang w:val="en-US"/>
              </w:rPr>
              <w:t>分）</w:t>
            </w:r>
          </w:p>
        </w:tc>
        <w:tc>
          <w:tcPr>
            <w:tcW w:w="7209" w:type="dxa"/>
            <w:noWrap w:val="0"/>
            <w:vAlign w:val="center"/>
          </w:tcPr>
          <w:p w14:paraId="38A0F53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rPr>
              <w:t>根据供应商</w:t>
            </w:r>
            <w:r>
              <w:rPr>
                <w:rFonts w:hint="eastAsia"/>
                <w:color w:val="auto"/>
                <w:sz w:val="21"/>
                <w:szCs w:val="20"/>
                <w:highlight w:val="none"/>
                <w:lang w:val="en-US"/>
              </w:rPr>
              <w:t>提供的安全管理制度及应急预案</w:t>
            </w:r>
            <w:r>
              <w:rPr>
                <w:rFonts w:hint="eastAsia"/>
                <w:color w:val="auto"/>
                <w:sz w:val="21"/>
                <w:szCs w:val="20"/>
                <w:highlight w:val="none"/>
              </w:rPr>
              <w:t>进行综合打分，</w:t>
            </w:r>
            <w:r>
              <w:rPr>
                <w:rFonts w:hint="eastAsia"/>
                <w:color w:val="auto"/>
                <w:sz w:val="21"/>
                <w:szCs w:val="20"/>
                <w:highlight w:val="none"/>
                <w:lang w:val="en-US"/>
              </w:rPr>
              <w:t>安全管理制度及应急预案需要根据本项目的特点制定</w:t>
            </w:r>
            <w:r>
              <w:rPr>
                <w:rFonts w:hint="eastAsia"/>
                <w:color w:val="auto"/>
                <w:sz w:val="21"/>
                <w:szCs w:val="20"/>
                <w:highlight w:val="none"/>
              </w:rPr>
              <w:t>：</w:t>
            </w:r>
          </w:p>
          <w:p w14:paraId="24DCF42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安全管理制度及应急预案</w:t>
            </w:r>
            <w:r>
              <w:rPr>
                <w:rFonts w:hint="eastAsia"/>
                <w:color w:val="auto"/>
                <w:sz w:val="21"/>
                <w:szCs w:val="20"/>
                <w:highlight w:val="none"/>
              </w:rPr>
              <w:t>科学、合理，考虑周到、措施切实可行，有合理可行的</w:t>
            </w:r>
            <w:r>
              <w:rPr>
                <w:rFonts w:hint="eastAsia"/>
                <w:color w:val="auto"/>
                <w:sz w:val="21"/>
                <w:szCs w:val="20"/>
                <w:highlight w:val="none"/>
                <w:lang w:val="en-US"/>
              </w:rPr>
              <w:t>风险防控措施</w:t>
            </w:r>
            <w:r>
              <w:rPr>
                <w:rFonts w:hint="eastAsia"/>
                <w:color w:val="auto"/>
                <w:sz w:val="21"/>
                <w:szCs w:val="20"/>
                <w:highlight w:val="none"/>
              </w:rPr>
              <w:t>，完整详细的，得</w:t>
            </w:r>
            <w:r>
              <w:rPr>
                <w:rFonts w:hint="eastAsia"/>
                <w:color w:val="auto"/>
                <w:sz w:val="21"/>
                <w:szCs w:val="20"/>
                <w:highlight w:val="none"/>
                <w:lang w:val="en-US" w:eastAsia="zh-CN"/>
              </w:rPr>
              <w:t>9</w:t>
            </w:r>
            <w:r>
              <w:rPr>
                <w:rFonts w:hint="eastAsia"/>
                <w:color w:val="auto"/>
                <w:sz w:val="21"/>
                <w:szCs w:val="20"/>
                <w:highlight w:val="none"/>
              </w:rPr>
              <w:t>分；</w:t>
            </w:r>
          </w:p>
          <w:p w14:paraId="338C5A3D">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安全管理制度及应急预案</w:t>
            </w:r>
            <w:r>
              <w:rPr>
                <w:rFonts w:hint="eastAsia"/>
                <w:color w:val="auto"/>
                <w:sz w:val="21"/>
                <w:szCs w:val="20"/>
                <w:highlight w:val="none"/>
              </w:rPr>
              <w:t>较科学、较合理，对项目实施过程中可能遇到的风险有合理预测，且提供风险应对基本解决方案的，得</w:t>
            </w:r>
            <w:r>
              <w:rPr>
                <w:rFonts w:hint="eastAsia"/>
                <w:color w:val="auto"/>
                <w:sz w:val="21"/>
                <w:szCs w:val="20"/>
                <w:highlight w:val="none"/>
                <w:lang w:val="en-US"/>
              </w:rPr>
              <w:t>6</w:t>
            </w:r>
            <w:r>
              <w:rPr>
                <w:rFonts w:hint="eastAsia"/>
                <w:color w:val="auto"/>
                <w:sz w:val="21"/>
                <w:szCs w:val="20"/>
                <w:highlight w:val="none"/>
              </w:rPr>
              <w:t>分；</w:t>
            </w:r>
          </w:p>
          <w:p w14:paraId="1A5BF26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安全管理制度及应急预案</w:t>
            </w:r>
            <w:r>
              <w:rPr>
                <w:rFonts w:hint="eastAsia"/>
                <w:color w:val="auto"/>
                <w:sz w:val="21"/>
                <w:szCs w:val="20"/>
                <w:highlight w:val="none"/>
              </w:rPr>
              <w:t>科学性一般、合理性一般，对项目实施过程中可能遇到的风险有一定程度了解的，得</w:t>
            </w:r>
            <w:r>
              <w:rPr>
                <w:rFonts w:hint="eastAsia"/>
                <w:color w:val="auto"/>
                <w:sz w:val="21"/>
                <w:szCs w:val="20"/>
                <w:highlight w:val="none"/>
                <w:lang w:val="en-US"/>
              </w:rPr>
              <w:t>3</w:t>
            </w:r>
            <w:r>
              <w:rPr>
                <w:rFonts w:hint="eastAsia"/>
                <w:color w:val="auto"/>
                <w:sz w:val="21"/>
                <w:szCs w:val="20"/>
                <w:highlight w:val="none"/>
              </w:rPr>
              <w:t>分。</w:t>
            </w:r>
          </w:p>
          <w:p w14:paraId="7C1C8E8D">
            <w:pPr>
              <w:pStyle w:val="8"/>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auto"/>
                <w:kern w:val="0"/>
                <w:sz w:val="21"/>
                <w:szCs w:val="21"/>
                <w:highlight w:val="none"/>
                <w:lang w:val="en-US" w:eastAsia="zh-CN"/>
              </w:rPr>
            </w:pPr>
            <w:r>
              <w:rPr>
                <w:rFonts w:hint="eastAsia"/>
                <w:color w:val="auto"/>
                <w:sz w:val="21"/>
                <w:szCs w:val="20"/>
                <w:highlight w:val="none"/>
              </w:rPr>
              <w:t>未提供不得分。</w:t>
            </w:r>
          </w:p>
        </w:tc>
        <w:tc>
          <w:tcPr>
            <w:tcW w:w="638" w:type="dxa"/>
            <w:noWrap w:val="0"/>
            <w:vAlign w:val="center"/>
          </w:tcPr>
          <w:p w14:paraId="5A39B758">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lang w:val="en-US" w:eastAsia="zh-CN"/>
              </w:rPr>
              <w:t>9</w:t>
            </w:r>
          </w:p>
        </w:tc>
      </w:tr>
      <w:tr w14:paraId="5AE3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3EF2BB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5</w:t>
            </w:r>
          </w:p>
        </w:tc>
        <w:tc>
          <w:tcPr>
            <w:tcW w:w="1127" w:type="dxa"/>
            <w:noWrap w:val="0"/>
            <w:vAlign w:val="center"/>
          </w:tcPr>
          <w:p w14:paraId="7D169F8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b/>
                <w:bCs/>
                <w:color w:val="auto"/>
                <w:sz w:val="21"/>
                <w:szCs w:val="20"/>
                <w:highlight w:val="none"/>
                <w:lang w:val="en-US" w:eastAsia="zh-CN"/>
              </w:rPr>
            </w:pPr>
            <w:r>
              <w:rPr>
                <w:rFonts w:hint="eastAsia"/>
                <w:b/>
                <w:bCs/>
                <w:color w:val="auto"/>
                <w:sz w:val="21"/>
                <w:szCs w:val="20"/>
                <w:highlight w:val="none"/>
                <w:lang w:val="en-US" w:eastAsia="zh-CN"/>
              </w:rPr>
              <w:t>突发应急预案</w:t>
            </w:r>
          </w:p>
          <w:p w14:paraId="4FEA9613">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color w:val="auto"/>
                <w:sz w:val="21"/>
                <w:szCs w:val="21"/>
                <w:highlight w:val="none"/>
                <w:lang w:val="en-US" w:eastAsia="zh-CN"/>
              </w:rPr>
            </w:pPr>
            <w:r>
              <w:rPr>
                <w:rFonts w:hint="eastAsia"/>
                <w:b/>
                <w:bCs/>
                <w:color w:val="auto"/>
                <w:sz w:val="21"/>
                <w:szCs w:val="20"/>
                <w:highlight w:val="none"/>
                <w:lang w:val="en-US" w:eastAsia="zh-CN"/>
              </w:rPr>
              <w:t>（6分）</w:t>
            </w:r>
          </w:p>
        </w:tc>
        <w:tc>
          <w:tcPr>
            <w:tcW w:w="7209" w:type="dxa"/>
            <w:noWrap w:val="0"/>
            <w:vAlign w:val="center"/>
          </w:tcPr>
          <w:p w14:paraId="776644DC">
            <w:pPr>
              <w:pStyle w:val="8"/>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color w:val="auto"/>
                <w:sz w:val="21"/>
                <w:szCs w:val="20"/>
                <w:highlight w:val="none"/>
                <w:lang w:eastAsia="zh-CN"/>
              </w:rPr>
            </w:pPr>
            <w:r>
              <w:rPr>
                <w:rFonts w:hint="eastAsia"/>
                <w:color w:val="auto"/>
                <w:sz w:val="21"/>
                <w:szCs w:val="20"/>
                <w:highlight w:val="none"/>
                <w:lang w:eastAsia="zh-CN"/>
              </w:rPr>
              <w:t>根据供应商针对本项目突发的应急事项进行处理，包括响应时间、处理内容、效果及处理时效内容进行综合评分：</w:t>
            </w:r>
          </w:p>
          <w:p w14:paraId="3B7DFC19">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eastAsia="zh-CN"/>
              </w:rPr>
            </w:pPr>
            <w:r>
              <w:rPr>
                <w:rFonts w:hint="eastAsia"/>
                <w:color w:val="auto"/>
                <w:sz w:val="21"/>
                <w:szCs w:val="20"/>
                <w:highlight w:val="none"/>
                <w:lang w:val="en-US" w:eastAsia="zh-CN"/>
              </w:rPr>
              <w:t>响应迅速、处理得当、有效解决突发状况的得6分；</w:t>
            </w:r>
          </w:p>
          <w:p w14:paraId="450F914E">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eastAsia="zh-CN"/>
              </w:rPr>
            </w:pPr>
            <w:r>
              <w:rPr>
                <w:rFonts w:hint="eastAsia"/>
                <w:color w:val="auto"/>
                <w:sz w:val="21"/>
                <w:szCs w:val="20"/>
                <w:highlight w:val="none"/>
                <w:lang w:val="en-US" w:eastAsia="zh-CN"/>
              </w:rPr>
              <w:t>响应较迅速、处理较得当、较有效地解决突发状况的得4分；</w:t>
            </w:r>
          </w:p>
          <w:p w14:paraId="28C70A6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eastAsia="zh-CN"/>
              </w:rPr>
            </w:pPr>
            <w:r>
              <w:rPr>
                <w:rFonts w:hint="eastAsia"/>
                <w:color w:val="auto"/>
                <w:sz w:val="21"/>
                <w:szCs w:val="20"/>
                <w:highlight w:val="none"/>
                <w:lang w:val="en-US" w:eastAsia="zh-CN"/>
              </w:rPr>
              <w:t>响应一般、处理一般、无法有效解决突发状况的得2分；</w:t>
            </w:r>
          </w:p>
          <w:p w14:paraId="70225957">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1"/>
                <w:szCs w:val="21"/>
                <w:highlight w:val="none"/>
                <w:lang w:val="en-US" w:eastAsia="zh-CN" w:bidi="ar-SA"/>
              </w:rPr>
            </w:pPr>
            <w:r>
              <w:rPr>
                <w:rFonts w:hint="eastAsia"/>
                <w:color w:val="auto"/>
                <w:sz w:val="21"/>
                <w:szCs w:val="20"/>
                <w:highlight w:val="none"/>
                <w:lang w:val="en-US" w:eastAsia="zh-CN"/>
              </w:rPr>
              <w:t>未提供不得分。</w:t>
            </w:r>
          </w:p>
        </w:tc>
        <w:tc>
          <w:tcPr>
            <w:tcW w:w="638" w:type="dxa"/>
            <w:noWrap w:val="0"/>
            <w:vAlign w:val="center"/>
          </w:tcPr>
          <w:p w14:paraId="3393D686">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lang w:val="en-US" w:eastAsia="zh-CN"/>
              </w:rPr>
              <w:t>6</w:t>
            </w:r>
          </w:p>
        </w:tc>
      </w:tr>
      <w:tr w14:paraId="1BD9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2D1F02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6</w:t>
            </w:r>
          </w:p>
        </w:tc>
        <w:tc>
          <w:tcPr>
            <w:tcW w:w="1127" w:type="dxa"/>
            <w:noWrap w:val="0"/>
            <w:vAlign w:val="center"/>
          </w:tcPr>
          <w:p w14:paraId="53DB231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b/>
                <w:bCs/>
                <w:color w:val="auto"/>
                <w:sz w:val="21"/>
                <w:szCs w:val="20"/>
                <w:highlight w:val="none"/>
                <w:lang w:val="en-US" w:eastAsia="zh-CN"/>
              </w:rPr>
              <w:t>保密</w:t>
            </w:r>
            <w:r>
              <w:rPr>
                <w:rFonts w:hint="eastAsia"/>
                <w:b/>
                <w:bCs/>
                <w:color w:val="auto"/>
                <w:sz w:val="21"/>
                <w:szCs w:val="20"/>
                <w:highlight w:val="none"/>
              </w:rPr>
              <w:t>管理（</w:t>
            </w:r>
            <w:r>
              <w:rPr>
                <w:rFonts w:hint="eastAsia"/>
                <w:b/>
                <w:bCs/>
                <w:color w:val="auto"/>
                <w:sz w:val="21"/>
                <w:szCs w:val="20"/>
                <w:highlight w:val="none"/>
                <w:lang w:val="en-US" w:eastAsia="zh-CN"/>
              </w:rPr>
              <w:t>6</w:t>
            </w:r>
            <w:r>
              <w:rPr>
                <w:rFonts w:hint="eastAsia"/>
                <w:b/>
                <w:bCs/>
                <w:color w:val="auto"/>
                <w:sz w:val="21"/>
                <w:szCs w:val="20"/>
                <w:highlight w:val="none"/>
              </w:rPr>
              <w:t>分）</w:t>
            </w:r>
          </w:p>
        </w:tc>
        <w:tc>
          <w:tcPr>
            <w:tcW w:w="7209" w:type="dxa"/>
            <w:noWrap w:val="0"/>
            <w:vAlign w:val="center"/>
          </w:tcPr>
          <w:p w14:paraId="421420E0">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lang w:val="en-US"/>
              </w:rPr>
            </w:pPr>
            <w:r>
              <w:rPr>
                <w:rFonts w:hint="eastAsia"/>
                <w:color w:val="auto"/>
                <w:sz w:val="21"/>
                <w:szCs w:val="20"/>
                <w:highlight w:val="none"/>
              </w:rPr>
              <w:t>根据供应商针对本项目制定的</w:t>
            </w:r>
            <w:r>
              <w:rPr>
                <w:rFonts w:hint="eastAsia"/>
                <w:color w:val="auto"/>
                <w:sz w:val="21"/>
                <w:szCs w:val="20"/>
                <w:highlight w:val="none"/>
                <w:lang w:val="en-US"/>
              </w:rPr>
              <w:t>信息保密制度</w:t>
            </w:r>
            <w:r>
              <w:rPr>
                <w:rFonts w:hint="eastAsia"/>
                <w:color w:val="auto"/>
                <w:sz w:val="21"/>
                <w:szCs w:val="20"/>
                <w:highlight w:val="none"/>
              </w:rPr>
              <w:t>进行综合评分：</w:t>
            </w:r>
          </w:p>
          <w:p w14:paraId="44C4B40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信息保密制度能够体现本项目特点，保密内容明确、分工合理、考虑周到、</w:t>
            </w:r>
            <w:r>
              <w:rPr>
                <w:rFonts w:hint="eastAsia"/>
                <w:color w:val="auto"/>
                <w:sz w:val="21"/>
                <w:szCs w:val="20"/>
                <w:highlight w:val="none"/>
              </w:rPr>
              <w:t>切实可行的，得</w:t>
            </w:r>
            <w:r>
              <w:rPr>
                <w:rFonts w:hint="eastAsia"/>
                <w:color w:val="auto"/>
                <w:sz w:val="21"/>
                <w:szCs w:val="20"/>
                <w:highlight w:val="none"/>
                <w:lang w:val="en-US" w:eastAsia="zh-CN"/>
              </w:rPr>
              <w:t>6</w:t>
            </w:r>
            <w:r>
              <w:rPr>
                <w:rFonts w:hint="eastAsia"/>
                <w:color w:val="auto"/>
                <w:sz w:val="21"/>
                <w:szCs w:val="20"/>
                <w:highlight w:val="none"/>
              </w:rPr>
              <w:t>分；</w:t>
            </w:r>
          </w:p>
          <w:p w14:paraId="64D1AD3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信息保密制度能够体现本项目特点，保密内容较明确、分工较合理、措施</w:t>
            </w:r>
            <w:r>
              <w:rPr>
                <w:rFonts w:hint="eastAsia"/>
                <w:color w:val="auto"/>
                <w:sz w:val="21"/>
                <w:szCs w:val="20"/>
                <w:highlight w:val="none"/>
              </w:rPr>
              <w:t>可行的，得</w:t>
            </w:r>
            <w:r>
              <w:rPr>
                <w:rFonts w:hint="eastAsia"/>
                <w:color w:val="auto"/>
                <w:sz w:val="21"/>
                <w:szCs w:val="20"/>
                <w:highlight w:val="none"/>
                <w:lang w:val="en-US" w:eastAsia="zh-CN"/>
              </w:rPr>
              <w:t>4</w:t>
            </w:r>
            <w:r>
              <w:rPr>
                <w:rFonts w:hint="eastAsia"/>
                <w:color w:val="auto"/>
                <w:sz w:val="21"/>
                <w:szCs w:val="20"/>
                <w:highlight w:val="none"/>
              </w:rPr>
              <w:t>分，</w:t>
            </w:r>
          </w:p>
          <w:p w14:paraId="222DF23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color w:val="auto"/>
                <w:sz w:val="21"/>
                <w:szCs w:val="20"/>
                <w:highlight w:val="none"/>
              </w:rPr>
            </w:pPr>
            <w:r>
              <w:rPr>
                <w:rFonts w:hint="eastAsia"/>
                <w:color w:val="auto"/>
                <w:sz w:val="21"/>
                <w:szCs w:val="20"/>
                <w:highlight w:val="none"/>
                <w:lang w:val="en-US"/>
              </w:rPr>
              <w:t>信息保密制度中有保密内容、人员分工、保密措施</w:t>
            </w:r>
            <w:r>
              <w:rPr>
                <w:rFonts w:hint="eastAsia"/>
                <w:color w:val="auto"/>
                <w:sz w:val="21"/>
                <w:szCs w:val="20"/>
                <w:highlight w:val="none"/>
              </w:rPr>
              <w:t>的，得</w:t>
            </w:r>
            <w:r>
              <w:rPr>
                <w:rFonts w:hint="eastAsia"/>
                <w:color w:val="auto"/>
                <w:sz w:val="21"/>
                <w:szCs w:val="20"/>
                <w:highlight w:val="none"/>
                <w:lang w:val="en-US" w:eastAsia="zh-CN"/>
              </w:rPr>
              <w:t>2</w:t>
            </w:r>
            <w:r>
              <w:rPr>
                <w:rFonts w:hint="eastAsia"/>
                <w:color w:val="auto"/>
                <w:sz w:val="21"/>
                <w:szCs w:val="20"/>
                <w:highlight w:val="none"/>
              </w:rPr>
              <w:t>分；</w:t>
            </w:r>
          </w:p>
          <w:p w14:paraId="3FB9E6C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color w:val="auto"/>
                <w:sz w:val="21"/>
                <w:szCs w:val="20"/>
                <w:highlight w:val="none"/>
              </w:rPr>
              <w:t>未提供不得分。</w:t>
            </w:r>
          </w:p>
        </w:tc>
        <w:tc>
          <w:tcPr>
            <w:tcW w:w="638" w:type="dxa"/>
            <w:noWrap w:val="0"/>
            <w:vAlign w:val="center"/>
          </w:tcPr>
          <w:p w14:paraId="6E3033C7">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lang w:val="en-US" w:eastAsia="zh-CN"/>
              </w:rPr>
              <w:t>6</w:t>
            </w:r>
          </w:p>
        </w:tc>
      </w:tr>
      <w:tr w14:paraId="232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6DF31C4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7</w:t>
            </w:r>
          </w:p>
        </w:tc>
        <w:tc>
          <w:tcPr>
            <w:tcW w:w="1127" w:type="dxa"/>
            <w:noWrap w:val="0"/>
            <w:vAlign w:val="center"/>
          </w:tcPr>
          <w:p w14:paraId="79469173">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b/>
                <w:bCs/>
                <w:color w:val="auto"/>
                <w:sz w:val="21"/>
                <w:szCs w:val="20"/>
                <w:highlight w:val="none"/>
                <w:lang w:val="en-US" w:eastAsia="zh-CN"/>
              </w:rPr>
              <w:t>企业业绩</w:t>
            </w:r>
            <w:r>
              <w:rPr>
                <w:rFonts w:hint="eastAsia"/>
                <w:b/>
                <w:bCs/>
                <w:color w:val="auto"/>
                <w:sz w:val="21"/>
                <w:szCs w:val="20"/>
                <w:highlight w:val="none"/>
              </w:rPr>
              <w:t>（</w:t>
            </w:r>
            <w:r>
              <w:rPr>
                <w:rFonts w:hint="eastAsia"/>
                <w:b/>
                <w:bCs/>
                <w:color w:val="auto"/>
                <w:sz w:val="21"/>
                <w:szCs w:val="20"/>
                <w:highlight w:val="none"/>
                <w:lang w:val="en-US" w:eastAsia="zh-CN"/>
              </w:rPr>
              <w:t>6</w:t>
            </w:r>
            <w:r>
              <w:rPr>
                <w:rFonts w:hint="eastAsia"/>
                <w:b/>
                <w:bCs/>
                <w:color w:val="auto"/>
                <w:sz w:val="21"/>
                <w:szCs w:val="20"/>
                <w:highlight w:val="none"/>
              </w:rPr>
              <w:t>分）</w:t>
            </w:r>
          </w:p>
        </w:tc>
        <w:tc>
          <w:tcPr>
            <w:tcW w:w="7209" w:type="dxa"/>
            <w:noWrap w:val="0"/>
            <w:vAlign w:val="center"/>
          </w:tcPr>
          <w:p w14:paraId="3D7A2B03">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供应商自202</w:t>
            </w:r>
            <w:r>
              <w:rPr>
                <w:rFonts w:hint="eastAsia"/>
                <w:color w:val="auto"/>
                <w:sz w:val="21"/>
                <w:szCs w:val="20"/>
                <w:highlight w:val="none"/>
                <w:lang w:val="en-US" w:eastAsia="zh-CN"/>
              </w:rPr>
              <w:t>3</w:t>
            </w:r>
            <w:r>
              <w:rPr>
                <w:rFonts w:hint="eastAsia"/>
                <w:color w:val="auto"/>
                <w:sz w:val="21"/>
                <w:szCs w:val="20"/>
                <w:highlight w:val="none"/>
                <w:lang w:val="en-US"/>
              </w:rPr>
              <w:t>年</w:t>
            </w:r>
            <w:r>
              <w:rPr>
                <w:rFonts w:hint="eastAsia"/>
                <w:color w:val="auto"/>
                <w:sz w:val="21"/>
                <w:szCs w:val="20"/>
                <w:highlight w:val="none"/>
                <w:lang w:val="en-US" w:eastAsia="zh-CN"/>
              </w:rPr>
              <w:t>1</w:t>
            </w:r>
            <w:r>
              <w:rPr>
                <w:rFonts w:hint="eastAsia"/>
                <w:color w:val="auto"/>
                <w:sz w:val="21"/>
                <w:szCs w:val="20"/>
                <w:highlight w:val="none"/>
                <w:lang w:val="en-US"/>
              </w:rPr>
              <w:t>月1日</w:t>
            </w:r>
            <w:r>
              <w:rPr>
                <w:rFonts w:hint="eastAsia"/>
                <w:color w:val="auto"/>
                <w:sz w:val="21"/>
                <w:szCs w:val="20"/>
                <w:highlight w:val="none"/>
                <w:lang w:val="en-US" w:eastAsia="zh-CN"/>
              </w:rPr>
              <w:t>（含）</w:t>
            </w:r>
            <w:r>
              <w:rPr>
                <w:rFonts w:hint="eastAsia"/>
                <w:color w:val="auto"/>
                <w:sz w:val="21"/>
                <w:szCs w:val="20"/>
                <w:highlight w:val="none"/>
                <w:lang w:val="en-US"/>
              </w:rPr>
              <w:t>以来，承接过类似</w:t>
            </w:r>
            <w:r>
              <w:rPr>
                <w:rFonts w:hint="eastAsia"/>
                <w:color w:val="auto"/>
                <w:sz w:val="21"/>
                <w:szCs w:val="20"/>
                <w:highlight w:val="none"/>
                <w:lang w:val="en-US" w:eastAsia="zh-CN"/>
              </w:rPr>
              <w:t>服务</w:t>
            </w:r>
            <w:r>
              <w:rPr>
                <w:rFonts w:hint="eastAsia"/>
                <w:color w:val="auto"/>
                <w:sz w:val="21"/>
                <w:szCs w:val="20"/>
                <w:highlight w:val="none"/>
                <w:lang w:val="en-US"/>
              </w:rPr>
              <w:t>项目的业绩，每提供一个得</w:t>
            </w:r>
            <w:r>
              <w:rPr>
                <w:rFonts w:hint="eastAsia"/>
                <w:color w:val="auto"/>
                <w:sz w:val="21"/>
                <w:szCs w:val="20"/>
                <w:highlight w:val="none"/>
                <w:lang w:val="en-US" w:eastAsia="zh-CN"/>
              </w:rPr>
              <w:t>2</w:t>
            </w:r>
            <w:r>
              <w:rPr>
                <w:rFonts w:hint="eastAsia"/>
                <w:color w:val="auto"/>
                <w:sz w:val="21"/>
                <w:szCs w:val="20"/>
                <w:highlight w:val="none"/>
                <w:lang w:val="en-US"/>
              </w:rPr>
              <w:t>分，本项最高得</w:t>
            </w:r>
            <w:r>
              <w:rPr>
                <w:rFonts w:hint="eastAsia"/>
                <w:color w:val="auto"/>
                <w:sz w:val="21"/>
                <w:szCs w:val="20"/>
                <w:highlight w:val="none"/>
                <w:lang w:val="en-US" w:eastAsia="zh-CN"/>
              </w:rPr>
              <w:t>6</w:t>
            </w:r>
            <w:r>
              <w:rPr>
                <w:rFonts w:hint="eastAsia"/>
                <w:color w:val="auto"/>
                <w:sz w:val="21"/>
                <w:szCs w:val="20"/>
                <w:highlight w:val="none"/>
                <w:lang w:val="en-US"/>
              </w:rPr>
              <w:t>分。</w:t>
            </w:r>
          </w:p>
          <w:p w14:paraId="0D687F9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eastAsia="zh-CN"/>
              </w:rPr>
            </w:pPr>
            <w:r>
              <w:rPr>
                <w:rFonts w:hint="eastAsia"/>
                <w:color w:val="auto"/>
                <w:sz w:val="21"/>
                <w:szCs w:val="20"/>
                <w:highlight w:val="none"/>
                <w:lang w:val="en-US"/>
              </w:rPr>
              <w:t>（提供合同复印件或中标（成交）通知书复印件加盖供应商公章装订于响应文件中</w:t>
            </w:r>
            <w:r>
              <w:rPr>
                <w:rFonts w:hint="eastAsia"/>
                <w:color w:val="auto"/>
                <w:sz w:val="21"/>
                <w:szCs w:val="20"/>
                <w:highlight w:val="none"/>
                <w:lang w:val="en-US" w:eastAsia="zh-CN"/>
              </w:rPr>
              <w:t>，须包含项目服务内容关键页</w:t>
            </w:r>
            <w:r>
              <w:rPr>
                <w:rFonts w:hint="eastAsia"/>
                <w:color w:val="auto"/>
                <w:sz w:val="21"/>
                <w:szCs w:val="20"/>
                <w:highlight w:val="none"/>
                <w:lang w:val="en-US"/>
              </w:rPr>
              <w:t>）</w:t>
            </w:r>
          </w:p>
        </w:tc>
        <w:tc>
          <w:tcPr>
            <w:tcW w:w="638" w:type="dxa"/>
            <w:noWrap w:val="0"/>
            <w:vAlign w:val="center"/>
          </w:tcPr>
          <w:p w14:paraId="6C0C2E4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lang w:val="en-US" w:eastAsia="zh-CN"/>
              </w:rPr>
              <w:t>6</w:t>
            </w:r>
          </w:p>
        </w:tc>
      </w:tr>
      <w:tr w14:paraId="3659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748E49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8.1</w:t>
            </w:r>
          </w:p>
        </w:tc>
        <w:tc>
          <w:tcPr>
            <w:tcW w:w="1127" w:type="dxa"/>
            <w:vMerge w:val="restart"/>
            <w:noWrap w:val="0"/>
            <w:vAlign w:val="center"/>
          </w:tcPr>
          <w:p w14:paraId="6B57C1DD">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b/>
                <w:bCs/>
                <w:color w:val="auto"/>
                <w:sz w:val="21"/>
                <w:szCs w:val="20"/>
                <w:highlight w:val="none"/>
                <w:lang w:val="en-US"/>
              </w:rPr>
            </w:pPr>
            <w:r>
              <w:rPr>
                <w:rFonts w:hint="eastAsia"/>
                <w:b/>
                <w:bCs/>
                <w:color w:val="auto"/>
                <w:sz w:val="21"/>
                <w:szCs w:val="20"/>
                <w:highlight w:val="none"/>
                <w:lang w:val="en-US" w:eastAsia="zh-CN"/>
              </w:rPr>
              <w:t>履约能力</w:t>
            </w:r>
            <w:r>
              <w:rPr>
                <w:rFonts w:hint="eastAsia"/>
                <w:b/>
                <w:bCs/>
                <w:color w:val="auto"/>
                <w:sz w:val="21"/>
                <w:szCs w:val="20"/>
                <w:highlight w:val="none"/>
              </w:rPr>
              <w:t>（</w:t>
            </w:r>
            <w:r>
              <w:rPr>
                <w:rFonts w:hint="eastAsia"/>
                <w:b/>
                <w:bCs/>
                <w:color w:val="auto"/>
                <w:sz w:val="21"/>
                <w:szCs w:val="20"/>
                <w:highlight w:val="none"/>
                <w:lang w:val="en-US" w:eastAsia="zh-CN"/>
              </w:rPr>
              <w:t>15</w:t>
            </w:r>
            <w:r>
              <w:rPr>
                <w:rFonts w:hint="eastAsia"/>
                <w:b/>
                <w:bCs/>
                <w:color w:val="auto"/>
                <w:sz w:val="21"/>
                <w:szCs w:val="20"/>
                <w:highlight w:val="none"/>
              </w:rPr>
              <w:t>分）</w:t>
            </w:r>
          </w:p>
          <w:p w14:paraId="6C8730C2">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p>
        </w:tc>
        <w:tc>
          <w:tcPr>
            <w:tcW w:w="7209" w:type="dxa"/>
            <w:noWrap w:val="0"/>
            <w:vAlign w:val="center"/>
          </w:tcPr>
          <w:p w14:paraId="1F00BF6D">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eastAsia="zh-CN"/>
              </w:rPr>
            </w:pPr>
            <w:r>
              <w:rPr>
                <w:rFonts w:hint="eastAsia"/>
                <w:color w:val="auto"/>
                <w:sz w:val="21"/>
                <w:szCs w:val="20"/>
                <w:highlight w:val="none"/>
                <w:lang w:val="en-US" w:eastAsia="zh-CN"/>
              </w:rPr>
              <w:t>1.</w:t>
            </w:r>
            <w:r>
              <w:rPr>
                <w:rFonts w:hint="eastAsia"/>
                <w:color w:val="auto"/>
                <w:sz w:val="21"/>
                <w:szCs w:val="20"/>
                <w:highlight w:val="none"/>
                <w:lang w:val="en-US"/>
              </w:rPr>
              <w:t>拟派项目负责人</w:t>
            </w:r>
            <w:r>
              <w:rPr>
                <w:rFonts w:hint="eastAsia"/>
                <w:color w:val="auto"/>
                <w:sz w:val="21"/>
                <w:szCs w:val="20"/>
                <w:highlight w:val="none"/>
                <w:lang w:val="en-US" w:eastAsia="zh-CN"/>
              </w:rPr>
              <w:t>：</w:t>
            </w:r>
          </w:p>
          <w:p w14:paraId="6C7505C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从事康复相关服务工作 5 年及以上</w:t>
            </w:r>
            <w:r>
              <w:rPr>
                <w:rFonts w:hint="eastAsia"/>
                <w:color w:val="auto"/>
                <w:sz w:val="21"/>
                <w:szCs w:val="20"/>
                <w:highlight w:val="none"/>
                <w:lang w:val="en-US" w:eastAsia="zh-CN"/>
              </w:rPr>
              <w:t>得2分，</w:t>
            </w:r>
            <w:r>
              <w:rPr>
                <w:rFonts w:hint="eastAsia"/>
                <w:color w:val="auto"/>
                <w:sz w:val="21"/>
                <w:szCs w:val="20"/>
                <w:highlight w:val="none"/>
                <w:lang w:val="en-US"/>
              </w:rPr>
              <w:t xml:space="preserve">不满足不得分。 </w:t>
            </w:r>
          </w:p>
          <w:p w14:paraId="62A93932">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注：从业年限以社保缴纳记录或劳动合同等佐证材料计算。</w:t>
            </w:r>
          </w:p>
          <w:p w14:paraId="10EAFF31">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eastAsia="zh-CN"/>
              </w:rPr>
              <w:t>2.</w:t>
            </w:r>
            <w:r>
              <w:rPr>
                <w:rFonts w:hint="eastAsia"/>
                <w:color w:val="auto"/>
                <w:sz w:val="21"/>
                <w:szCs w:val="20"/>
                <w:highlight w:val="none"/>
                <w:lang w:val="en-US"/>
              </w:rPr>
              <w:t xml:space="preserve">拟派项目负责人曾作为项目负责人承担过同类社区康复服务项目业绩，每提供 1 个有效业绩得 </w:t>
            </w:r>
            <w:r>
              <w:rPr>
                <w:rFonts w:hint="eastAsia"/>
                <w:color w:val="auto"/>
                <w:sz w:val="21"/>
                <w:szCs w:val="20"/>
                <w:highlight w:val="none"/>
                <w:lang w:val="en-US" w:eastAsia="zh-CN"/>
              </w:rPr>
              <w:t>1</w:t>
            </w:r>
            <w:r>
              <w:rPr>
                <w:rFonts w:hint="eastAsia"/>
                <w:color w:val="auto"/>
                <w:sz w:val="21"/>
                <w:szCs w:val="20"/>
                <w:highlight w:val="none"/>
                <w:lang w:val="en-US"/>
              </w:rPr>
              <w:t xml:space="preserve"> 分，最高 </w:t>
            </w:r>
            <w:r>
              <w:rPr>
                <w:rFonts w:hint="eastAsia"/>
                <w:color w:val="auto"/>
                <w:sz w:val="21"/>
                <w:szCs w:val="20"/>
                <w:highlight w:val="none"/>
                <w:lang w:val="en-US" w:eastAsia="zh-CN"/>
              </w:rPr>
              <w:t xml:space="preserve">3 </w:t>
            </w:r>
            <w:r>
              <w:rPr>
                <w:rFonts w:hint="eastAsia"/>
                <w:color w:val="auto"/>
                <w:sz w:val="21"/>
                <w:szCs w:val="20"/>
                <w:highlight w:val="none"/>
                <w:lang w:val="en-US"/>
              </w:rPr>
              <w:t xml:space="preserve">分。无有效业绩不得分。 </w:t>
            </w:r>
          </w:p>
          <w:p w14:paraId="47839EF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eastAsia="zh-CN"/>
              </w:rPr>
              <w:t>须提供</w:t>
            </w:r>
            <w:r>
              <w:rPr>
                <w:rFonts w:hint="eastAsia"/>
                <w:color w:val="auto"/>
                <w:sz w:val="21"/>
                <w:szCs w:val="20"/>
                <w:highlight w:val="none"/>
                <w:lang w:val="en-US"/>
              </w:rPr>
              <w:t>佐证材料（过往业绩合同签署人或过往业绩项目负责人任命书等有效证明材料</w:t>
            </w:r>
            <w:r>
              <w:rPr>
                <w:rFonts w:hint="eastAsia"/>
                <w:color w:val="auto"/>
                <w:sz w:val="21"/>
                <w:szCs w:val="20"/>
                <w:highlight w:val="none"/>
                <w:lang w:val="en-US" w:eastAsia="zh-CN"/>
              </w:rPr>
              <w:t>）及</w:t>
            </w:r>
            <w:r>
              <w:rPr>
                <w:rFonts w:hint="eastAsia"/>
                <w:color w:val="auto"/>
                <w:sz w:val="21"/>
                <w:szCs w:val="20"/>
                <w:highlight w:val="none"/>
                <w:lang w:val="en-US"/>
              </w:rPr>
              <w:t>供应商为其缴纳近六个月中任意一个月的社保证明材料并加盖供应商公章</w:t>
            </w:r>
            <w:r>
              <w:rPr>
                <w:rFonts w:hint="eastAsia"/>
                <w:color w:val="auto"/>
                <w:sz w:val="21"/>
                <w:szCs w:val="20"/>
                <w:highlight w:val="none"/>
                <w:lang w:val="en-US" w:eastAsia="zh-CN"/>
              </w:rPr>
              <w:t>；如为退休返聘人员须提供劳务合同。</w:t>
            </w:r>
          </w:p>
        </w:tc>
        <w:tc>
          <w:tcPr>
            <w:tcW w:w="638" w:type="dxa"/>
            <w:noWrap w:val="0"/>
            <w:vAlign w:val="center"/>
          </w:tcPr>
          <w:p w14:paraId="7C3512DA">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b/>
                <w:color w:val="auto"/>
                <w:sz w:val="21"/>
                <w:szCs w:val="20"/>
                <w:highlight w:val="none"/>
                <w:lang w:val="en-US" w:eastAsia="zh-CN"/>
              </w:rPr>
              <w:t>5</w:t>
            </w:r>
          </w:p>
        </w:tc>
      </w:tr>
      <w:tr w14:paraId="6F9E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33AE43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8.2</w:t>
            </w:r>
          </w:p>
        </w:tc>
        <w:tc>
          <w:tcPr>
            <w:tcW w:w="1127" w:type="dxa"/>
            <w:vMerge w:val="continue"/>
            <w:noWrap w:val="0"/>
            <w:vAlign w:val="center"/>
          </w:tcPr>
          <w:p w14:paraId="5CA1D0B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kern w:val="0"/>
                <w:sz w:val="21"/>
                <w:szCs w:val="21"/>
                <w:highlight w:val="none"/>
                <w:lang w:val="en-US" w:eastAsia="zh-CN"/>
              </w:rPr>
            </w:pPr>
          </w:p>
        </w:tc>
        <w:tc>
          <w:tcPr>
            <w:tcW w:w="7209" w:type="dxa"/>
            <w:noWrap w:val="0"/>
            <w:vAlign w:val="center"/>
          </w:tcPr>
          <w:p w14:paraId="00E136B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拟为本项目配备的服务团队（不含项目负责人）</w:t>
            </w:r>
          </w:p>
          <w:p w14:paraId="297D6FA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 xml:space="preserve"> （1）拟派团队成员持有康复专业执业医师证书或健康管理师职业技能等级证书的，每 1 人得 </w:t>
            </w:r>
            <w:r>
              <w:rPr>
                <w:rFonts w:hint="eastAsia"/>
                <w:color w:val="auto"/>
                <w:sz w:val="21"/>
                <w:szCs w:val="20"/>
                <w:highlight w:val="none"/>
                <w:lang w:val="en-US" w:eastAsia="zh-CN"/>
              </w:rPr>
              <w:t>2</w:t>
            </w:r>
            <w:r>
              <w:rPr>
                <w:rFonts w:hint="eastAsia"/>
                <w:color w:val="auto"/>
                <w:sz w:val="21"/>
                <w:szCs w:val="20"/>
                <w:highlight w:val="none"/>
                <w:lang w:val="en-US"/>
              </w:rPr>
              <w:t xml:space="preserve"> 分，本小项最高得 </w:t>
            </w:r>
            <w:r>
              <w:rPr>
                <w:rFonts w:hint="eastAsia"/>
                <w:color w:val="auto"/>
                <w:sz w:val="21"/>
                <w:szCs w:val="20"/>
                <w:highlight w:val="none"/>
                <w:lang w:val="en-US" w:eastAsia="zh-CN"/>
              </w:rPr>
              <w:t>4</w:t>
            </w:r>
            <w:r>
              <w:rPr>
                <w:rFonts w:hint="eastAsia"/>
                <w:color w:val="auto"/>
                <w:sz w:val="21"/>
                <w:szCs w:val="20"/>
                <w:highlight w:val="none"/>
                <w:lang w:val="en-US"/>
              </w:rPr>
              <w:t xml:space="preserve"> 分；同一人员本小项不重复计分。 （2）拟派团队成员持有主管护师证书的，每 1 人得 </w:t>
            </w:r>
            <w:r>
              <w:rPr>
                <w:rFonts w:hint="eastAsia"/>
                <w:color w:val="auto"/>
                <w:sz w:val="21"/>
                <w:szCs w:val="20"/>
                <w:highlight w:val="none"/>
                <w:lang w:val="en-US" w:eastAsia="zh-CN"/>
              </w:rPr>
              <w:t>2</w:t>
            </w:r>
            <w:r>
              <w:rPr>
                <w:rFonts w:hint="eastAsia"/>
                <w:color w:val="auto"/>
                <w:sz w:val="21"/>
                <w:szCs w:val="20"/>
                <w:highlight w:val="none"/>
                <w:lang w:val="en-US"/>
              </w:rPr>
              <w:t xml:space="preserve">分，本小项最高得 </w:t>
            </w:r>
            <w:r>
              <w:rPr>
                <w:rFonts w:hint="eastAsia"/>
                <w:color w:val="auto"/>
                <w:sz w:val="21"/>
                <w:szCs w:val="20"/>
                <w:highlight w:val="none"/>
                <w:lang w:val="en-US" w:eastAsia="zh-CN"/>
              </w:rPr>
              <w:t>4</w:t>
            </w:r>
            <w:r>
              <w:rPr>
                <w:rFonts w:hint="eastAsia"/>
                <w:color w:val="auto"/>
                <w:sz w:val="21"/>
                <w:szCs w:val="20"/>
                <w:highlight w:val="none"/>
                <w:lang w:val="en-US"/>
              </w:rPr>
              <w:t xml:space="preserve"> 分；同一人员本小项不重复计分。 </w:t>
            </w:r>
          </w:p>
          <w:p w14:paraId="5410984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（3）拟派团队成员持有</w:t>
            </w:r>
            <w:r>
              <w:rPr>
                <w:rFonts w:hint="eastAsia"/>
                <w:color w:val="auto"/>
                <w:sz w:val="21"/>
                <w:szCs w:val="20"/>
                <w:highlight w:val="none"/>
                <w:lang w:val="en-US" w:eastAsia="zh-CN"/>
              </w:rPr>
              <w:t>初</w:t>
            </w:r>
            <w:r>
              <w:rPr>
                <w:rFonts w:hint="eastAsia"/>
                <w:color w:val="auto"/>
                <w:sz w:val="21"/>
                <w:szCs w:val="20"/>
                <w:highlight w:val="none"/>
                <w:lang w:val="en-US"/>
              </w:rPr>
              <w:t>级及以上社会工作</w:t>
            </w:r>
            <w:r>
              <w:rPr>
                <w:rFonts w:hint="eastAsia"/>
                <w:color w:val="auto"/>
                <w:sz w:val="21"/>
                <w:szCs w:val="20"/>
                <w:highlight w:val="none"/>
                <w:lang w:val="en-US" w:eastAsia="zh-CN"/>
              </w:rPr>
              <w:t>者</w:t>
            </w:r>
            <w:r>
              <w:rPr>
                <w:rFonts w:hint="eastAsia"/>
                <w:color w:val="auto"/>
                <w:sz w:val="21"/>
                <w:szCs w:val="20"/>
                <w:highlight w:val="none"/>
                <w:lang w:val="en-US"/>
              </w:rPr>
              <w:t xml:space="preserve">证书的，每 1 人得 1 分，本小项最高得 </w:t>
            </w:r>
            <w:r>
              <w:rPr>
                <w:rFonts w:hint="eastAsia"/>
                <w:color w:val="auto"/>
                <w:sz w:val="21"/>
                <w:szCs w:val="20"/>
                <w:highlight w:val="none"/>
                <w:lang w:val="en-US" w:eastAsia="zh-CN"/>
              </w:rPr>
              <w:t>2</w:t>
            </w:r>
            <w:r>
              <w:rPr>
                <w:rFonts w:hint="eastAsia"/>
                <w:color w:val="auto"/>
                <w:sz w:val="21"/>
                <w:szCs w:val="20"/>
                <w:highlight w:val="none"/>
                <w:lang w:val="en-US"/>
              </w:rPr>
              <w:t xml:space="preserve">分；同一人员本小项不重复计分。 </w:t>
            </w:r>
          </w:p>
          <w:p w14:paraId="0913434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计分规则：同一团队成员同时持有医护类证书和社会工作</w:t>
            </w:r>
            <w:r>
              <w:rPr>
                <w:rFonts w:hint="eastAsia"/>
                <w:color w:val="auto"/>
                <w:sz w:val="21"/>
                <w:szCs w:val="20"/>
                <w:highlight w:val="none"/>
                <w:lang w:val="en-US" w:eastAsia="zh-CN"/>
              </w:rPr>
              <w:t>者</w:t>
            </w:r>
            <w:r>
              <w:rPr>
                <w:rFonts w:hint="eastAsia"/>
                <w:color w:val="auto"/>
                <w:sz w:val="21"/>
                <w:szCs w:val="20"/>
                <w:highlight w:val="none"/>
                <w:lang w:val="en-US"/>
              </w:rPr>
              <w:t xml:space="preserve">证书的，可分别对应计分。 </w:t>
            </w:r>
          </w:p>
          <w:p w14:paraId="1E6CB10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color w:val="auto"/>
                <w:sz w:val="21"/>
                <w:szCs w:val="20"/>
                <w:highlight w:val="none"/>
                <w:lang w:val="en-US"/>
              </w:rPr>
            </w:pPr>
            <w:r>
              <w:rPr>
                <w:rFonts w:hint="eastAsia"/>
                <w:color w:val="auto"/>
                <w:sz w:val="21"/>
                <w:szCs w:val="20"/>
                <w:highlight w:val="none"/>
                <w:lang w:val="en-US"/>
              </w:rPr>
              <w:t>注：须提供对应人员证书复印件（加盖投标供应商公章）；如需核验人员为本单位拟派人员，可附响应截止时间前近 6 个月内任意一月社保缴纳证明</w:t>
            </w:r>
            <w:r>
              <w:rPr>
                <w:rFonts w:hint="eastAsia"/>
                <w:color w:val="auto"/>
                <w:sz w:val="21"/>
                <w:szCs w:val="20"/>
                <w:highlight w:val="none"/>
                <w:lang w:val="en-US" w:eastAsia="zh-CN"/>
              </w:rPr>
              <w:t>或劳动合同</w:t>
            </w:r>
            <w:r>
              <w:rPr>
                <w:rFonts w:hint="eastAsia"/>
                <w:color w:val="auto"/>
                <w:sz w:val="21"/>
                <w:szCs w:val="20"/>
                <w:highlight w:val="none"/>
                <w:lang w:val="en-US"/>
              </w:rPr>
              <w:t>。证书无效、过期、材料未加盖公章或材料无法佐证证书信息的，对应人员不予计分。</w:t>
            </w:r>
          </w:p>
        </w:tc>
        <w:tc>
          <w:tcPr>
            <w:tcW w:w="638" w:type="dxa"/>
            <w:noWrap w:val="0"/>
            <w:vAlign w:val="center"/>
          </w:tcPr>
          <w:p w14:paraId="26562718">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color w:val="auto"/>
                <w:sz w:val="21"/>
                <w:szCs w:val="20"/>
                <w:highlight w:val="none"/>
                <w:lang w:val="en-US" w:eastAsia="zh-CN"/>
              </w:rPr>
              <w:t>10</w:t>
            </w:r>
          </w:p>
        </w:tc>
      </w:tr>
      <w:tr w14:paraId="383B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6" w:type="dxa"/>
            <w:gridSpan w:val="3"/>
            <w:noWrap w:val="0"/>
            <w:vAlign w:val="center"/>
          </w:tcPr>
          <w:p w14:paraId="3808662B">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auto"/>
                <w:sz w:val="21"/>
                <w:szCs w:val="21"/>
                <w:highlight w:val="none"/>
              </w:rPr>
            </w:pPr>
            <w:r>
              <w:rPr>
                <w:rFonts w:hint="eastAsia"/>
                <w:b/>
                <w:bCs/>
                <w:color w:val="auto"/>
                <w:sz w:val="21"/>
                <w:szCs w:val="20"/>
                <w:highlight w:val="none"/>
              </w:rPr>
              <w:t>合计总分</w:t>
            </w:r>
          </w:p>
        </w:tc>
        <w:tc>
          <w:tcPr>
            <w:tcW w:w="638" w:type="dxa"/>
            <w:noWrap w:val="0"/>
            <w:vAlign w:val="center"/>
          </w:tcPr>
          <w:p w14:paraId="02F31D1F">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b/>
                <w:bCs/>
                <w:color w:val="auto"/>
                <w:sz w:val="21"/>
                <w:szCs w:val="20"/>
                <w:highlight w:val="none"/>
                <w:lang w:val="en-US" w:eastAsia="zh-CN"/>
              </w:rPr>
              <w:t>100</w:t>
            </w:r>
          </w:p>
        </w:tc>
      </w:tr>
    </w:tbl>
    <w:p w14:paraId="5A411C08">
      <w:pPr>
        <w:pStyle w:val="7"/>
        <w:snapToGrid w:val="0"/>
        <w:spacing w:line="560" w:lineRule="exact"/>
        <w:ind w:firstLine="480" w:firstLineChars="200"/>
        <w:jc w:val="left"/>
        <w:rPr>
          <w:rFonts w:hint="eastAsia" w:ascii="宋体" w:hAnsi="宋体" w:eastAsia="宋体" w:cs="宋体"/>
          <w:color w:val="auto"/>
          <w:sz w:val="24"/>
          <w:highlight w:val="none"/>
        </w:rPr>
      </w:pPr>
    </w:p>
    <w:p w14:paraId="10B78028">
      <w:pPr>
        <w:pStyle w:val="7"/>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注：除评分标准中另有说明外，所有认证、证明和业绩均以有效的证明文件的复印件为依据。</w:t>
      </w:r>
    </w:p>
    <w:p w14:paraId="195241B8">
      <w:pPr>
        <w:spacing w:line="560" w:lineRule="exact"/>
        <w:ind w:firstLine="482" w:firstLineChars="200"/>
        <w:rPr>
          <w:rFonts w:asciiTheme="minorEastAsia" w:hAnsiTheme="minorEastAsia" w:cstheme="minorEastAsia"/>
          <w:b/>
          <w:bCs/>
          <w:color w:val="auto"/>
          <w:kern w:val="0"/>
          <w:sz w:val="24"/>
          <w:highlight w:val="none"/>
          <w:lang w:bidi="ar"/>
        </w:rPr>
      </w:pPr>
    </w:p>
    <w:p w14:paraId="108F66B6">
      <w:pPr>
        <w:spacing w:line="560" w:lineRule="exact"/>
        <w:ind w:firstLine="482" w:firstLineChars="200"/>
        <w:rPr>
          <w:rFonts w:asciiTheme="minorEastAsia" w:hAnsiTheme="minorEastAsia" w:cstheme="minorEastAsia"/>
          <w:b/>
          <w:bCs/>
          <w:color w:val="auto"/>
          <w:kern w:val="0"/>
          <w:sz w:val="24"/>
          <w:highlight w:val="none"/>
          <w:lang w:bidi="ar"/>
        </w:rPr>
      </w:pPr>
      <w:r>
        <w:rPr>
          <w:rFonts w:hint="eastAsia" w:asciiTheme="minorEastAsia" w:hAnsiTheme="minorEastAsia" w:cstheme="minorEastAsia"/>
          <w:b/>
          <w:bCs/>
          <w:color w:val="auto"/>
          <w:kern w:val="0"/>
          <w:sz w:val="24"/>
          <w:highlight w:val="none"/>
          <w:lang w:bidi="ar"/>
        </w:rPr>
        <w:br w:type="page"/>
      </w:r>
    </w:p>
    <w:p w14:paraId="26AEBD33">
      <w:pPr>
        <w:pStyle w:val="2"/>
        <w:spacing w:line="560" w:lineRule="exact"/>
        <w:jc w:val="center"/>
        <w:rPr>
          <w:color w:val="auto"/>
          <w:highlight w:val="none"/>
        </w:rPr>
      </w:pPr>
      <w:bookmarkStart w:id="11" w:name="_Toc23709"/>
      <w:r>
        <w:rPr>
          <w:rFonts w:hint="eastAsia"/>
          <w:color w:val="auto"/>
          <w:highlight w:val="none"/>
        </w:rPr>
        <w:t>第四章 采购项目的服务要求和数量等</w:t>
      </w:r>
      <w:bookmarkEnd w:id="11"/>
      <w:r>
        <w:rPr>
          <w:rFonts w:hint="eastAsia"/>
          <w:color w:val="auto"/>
          <w:highlight w:val="none"/>
        </w:rPr>
        <w:t xml:space="preserve"> </w:t>
      </w:r>
    </w:p>
    <w:p w14:paraId="6A4A96F8">
      <w:pPr>
        <w:widowControl/>
        <w:spacing w:line="560" w:lineRule="exact"/>
        <w:ind w:firstLine="562" w:firstLineChars="200"/>
        <w:outlineLvl w:val="1"/>
        <w:rPr>
          <w:rFonts w:ascii="Times New Roman" w:hAnsi="Times New Roman" w:cs="Times New Roman"/>
          <w:b/>
          <w:bCs/>
          <w:color w:val="auto"/>
          <w:kern w:val="0"/>
          <w:sz w:val="28"/>
          <w:szCs w:val="28"/>
          <w:highlight w:val="none"/>
          <w:lang w:val="zh-CN" w:bidi="ar"/>
        </w:rPr>
      </w:pPr>
      <w:bookmarkStart w:id="12" w:name="_Toc14979"/>
      <w:r>
        <w:rPr>
          <w:rFonts w:ascii="Times New Roman" w:hAnsi="Times New Roman" w:cs="Times New Roman"/>
          <w:b/>
          <w:bCs/>
          <w:color w:val="auto"/>
          <w:kern w:val="0"/>
          <w:sz w:val="28"/>
          <w:szCs w:val="28"/>
          <w:highlight w:val="none"/>
          <w:lang w:val="zh-CN" w:bidi="ar"/>
        </w:rPr>
        <w:t>一、项目基本情况</w:t>
      </w:r>
    </w:p>
    <w:p w14:paraId="75A7E45E">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1.项目编号：JSBY-FW-2026057  </w:t>
      </w:r>
    </w:p>
    <w:p w14:paraId="2841F102">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2.项目名称：残疾人社区康复服务项目（二次）   </w:t>
      </w:r>
    </w:p>
    <w:p w14:paraId="6D9934BD">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3.采购需求：南京市栖霞区八卦洲街道残疾人社区康复服务（详细内容见本磋商文件第四章）</w:t>
      </w:r>
    </w:p>
    <w:p w14:paraId="27C68397">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4.预算金额：</w:t>
      </w: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lang w:val="zh-CN"/>
        </w:rPr>
        <w:t>万元/年，三年共计</w:t>
      </w:r>
      <w:r>
        <w:rPr>
          <w:rFonts w:hint="eastAsia" w:ascii="宋体" w:hAnsi="宋体" w:eastAsia="宋体" w:cs="宋体"/>
          <w:color w:val="auto"/>
          <w:sz w:val="24"/>
          <w:highlight w:val="none"/>
          <w:lang w:val="en-US" w:eastAsia="zh-CN"/>
        </w:rPr>
        <w:t>45</w:t>
      </w:r>
      <w:r>
        <w:rPr>
          <w:rFonts w:hint="eastAsia" w:ascii="宋体" w:hAnsi="宋体" w:eastAsia="宋体" w:cs="宋体"/>
          <w:color w:val="auto"/>
          <w:sz w:val="24"/>
          <w:highlight w:val="none"/>
          <w:lang w:val="zh-CN"/>
        </w:rPr>
        <w:t>万元</w:t>
      </w:r>
    </w:p>
    <w:p w14:paraId="5DC5FC83">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5.最高限价：本项目设定最高限价为</w:t>
      </w:r>
      <w:r>
        <w:rPr>
          <w:rFonts w:hint="eastAsia" w:ascii="宋体" w:hAnsi="宋体" w:eastAsia="宋体" w:cs="宋体"/>
          <w:color w:val="auto"/>
          <w:sz w:val="24"/>
          <w:highlight w:val="none"/>
          <w:lang w:val="en-US" w:eastAsia="zh-CN"/>
        </w:rPr>
        <w:t>45</w:t>
      </w:r>
      <w:r>
        <w:rPr>
          <w:rFonts w:hint="eastAsia" w:ascii="宋体" w:hAnsi="宋体" w:eastAsia="宋体" w:cs="宋体"/>
          <w:color w:val="auto"/>
          <w:sz w:val="24"/>
          <w:highlight w:val="none"/>
          <w:lang w:val="zh-CN"/>
        </w:rPr>
        <w:t>万元。（报价超过最高限价作无效投标处理）</w:t>
      </w:r>
    </w:p>
    <w:p w14:paraId="1DC78E63">
      <w:pPr>
        <w:autoSpaceDE w:val="0"/>
        <w:autoSpaceDN w:val="0"/>
        <w:adjustRightInd w:val="0"/>
        <w:snapToGrid w:val="0"/>
        <w:spacing w:line="560" w:lineRule="exact"/>
        <w:ind w:firstLine="480" w:firstLineChars="200"/>
        <w:jc w:val="lef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6.合同履行期限：自合同签订之日起三年（具体时间进度安排可由采购人根据项目实际情况修改，双方在过程中可根据需要进行讨论确定。）</w:t>
      </w:r>
    </w:p>
    <w:p w14:paraId="466E8B98">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hint="eastAsia" w:ascii="宋体" w:hAnsi="宋体" w:eastAsia="宋体" w:cs="宋体"/>
          <w:color w:val="auto"/>
          <w:sz w:val="24"/>
          <w:highlight w:val="none"/>
        </w:rPr>
        <w:t>7.本项目</w:t>
      </w:r>
      <w:r>
        <w:rPr>
          <w:rFonts w:hint="eastAsia" w:ascii="宋体" w:hAnsi="宋体" w:eastAsia="宋体" w:cs="宋体"/>
          <w:color w:val="auto"/>
          <w:kern w:val="0"/>
          <w:sz w:val="24"/>
          <w:highlight w:val="none"/>
        </w:rPr>
        <w:t>不接受</w:t>
      </w:r>
      <w:r>
        <w:rPr>
          <w:rFonts w:hint="eastAsia" w:ascii="宋体" w:hAnsi="宋体" w:eastAsia="宋体" w:cs="宋体"/>
          <w:color w:val="auto"/>
          <w:sz w:val="24"/>
          <w:highlight w:val="none"/>
        </w:rPr>
        <w:t>联合体投标。</w:t>
      </w:r>
    </w:p>
    <w:p w14:paraId="2293EDF4">
      <w:pPr>
        <w:spacing w:line="560" w:lineRule="exact"/>
        <w:ind w:firstLine="482" w:firstLineChars="200"/>
        <w:outlineLvl w:val="1"/>
        <w:rPr>
          <w:rFonts w:ascii="Times New Roman" w:hAnsi="Times New Roman" w:eastAsia="宋体" w:cs="Times New Roman"/>
          <w:b/>
          <w:bCs/>
          <w:color w:val="auto"/>
          <w:sz w:val="28"/>
          <w:szCs w:val="28"/>
          <w:highlight w:val="none"/>
        </w:rPr>
      </w:pPr>
      <w:r>
        <w:rPr>
          <w:rFonts w:ascii="Times New Roman" w:hAnsi="Times New Roman" w:eastAsia="宋体" w:cs="Times New Roman"/>
          <w:b/>
          <w:bCs/>
          <w:color w:val="auto"/>
          <w:sz w:val="24"/>
          <w:highlight w:val="none"/>
        </w:rPr>
        <w:t>★</w:t>
      </w:r>
      <w:r>
        <w:rPr>
          <w:rFonts w:hint="eastAsia" w:ascii="Times New Roman" w:hAnsi="Times New Roman" w:eastAsia="宋体" w:cs="Times New Roman"/>
          <w:b/>
          <w:bCs/>
          <w:color w:val="auto"/>
          <w:sz w:val="28"/>
          <w:szCs w:val="28"/>
          <w:highlight w:val="none"/>
          <w:lang w:val="en-US" w:eastAsia="zh-CN"/>
        </w:rPr>
        <w:t>二</w:t>
      </w:r>
      <w:r>
        <w:rPr>
          <w:rFonts w:ascii="Times New Roman" w:hAnsi="Times New Roman" w:eastAsia="宋体" w:cs="Times New Roman"/>
          <w:b/>
          <w:bCs/>
          <w:color w:val="auto"/>
          <w:sz w:val="28"/>
          <w:szCs w:val="28"/>
          <w:highlight w:val="none"/>
        </w:rPr>
        <w:t>、拟采购标的需要满足的技术要求</w:t>
      </w:r>
    </w:p>
    <w:p w14:paraId="4BC13BB2">
      <w:pPr>
        <w:widowControl/>
        <w:spacing w:line="560" w:lineRule="exact"/>
        <w:ind w:firstLine="562" w:firstLineChars="200"/>
        <w:outlineLvl w:val="2"/>
        <w:rPr>
          <w:rFonts w:hint="eastAsia" w:ascii="Times New Roman" w:hAnsi="Times New Roman" w:cs="Times New Roman" w:eastAsiaTheme="minorEastAsia"/>
          <w:b/>
          <w:bCs/>
          <w:color w:val="auto"/>
          <w:kern w:val="0"/>
          <w:sz w:val="28"/>
          <w:szCs w:val="28"/>
          <w:highlight w:val="none"/>
          <w:lang w:val="zh-CN" w:eastAsia="zh-CN" w:bidi="ar"/>
        </w:rPr>
      </w:pPr>
      <w:r>
        <w:rPr>
          <w:rFonts w:hint="eastAsia" w:ascii="Times New Roman" w:hAnsi="Times New Roman" w:cs="Times New Roman"/>
          <w:b/>
          <w:bCs/>
          <w:color w:val="auto"/>
          <w:kern w:val="0"/>
          <w:sz w:val="28"/>
          <w:szCs w:val="28"/>
          <w:highlight w:val="none"/>
          <w:lang w:eastAsia="zh-CN" w:bidi="ar"/>
        </w:rPr>
        <w:t>（</w:t>
      </w:r>
      <w:r>
        <w:rPr>
          <w:rFonts w:hint="eastAsia" w:ascii="Times New Roman" w:hAnsi="Times New Roman" w:cs="Times New Roman"/>
          <w:b/>
          <w:bCs/>
          <w:color w:val="auto"/>
          <w:kern w:val="0"/>
          <w:sz w:val="28"/>
          <w:szCs w:val="28"/>
          <w:highlight w:val="none"/>
          <w:lang w:val="en-US" w:eastAsia="zh-CN" w:bidi="ar"/>
        </w:rPr>
        <w:t>一</w:t>
      </w:r>
      <w:r>
        <w:rPr>
          <w:rFonts w:hint="eastAsia" w:ascii="Times New Roman" w:hAnsi="Times New Roman" w:cs="Times New Roman"/>
          <w:b/>
          <w:bCs/>
          <w:color w:val="auto"/>
          <w:kern w:val="0"/>
          <w:sz w:val="28"/>
          <w:szCs w:val="28"/>
          <w:highlight w:val="none"/>
          <w:lang w:eastAsia="zh-CN" w:bidi="ar"/>
        </w:rPr>
        <w:t>）</w:t>
      </w:r>
      <w:r>
        <w:rPr>
          <w:rFonts w:ascii="Times New Roman" w:hAnsi="Times New Roman" w:cs="Times New Roman"/>
          <w:b/>
          <w:bCs/>
          <w:color w:val="auto"/>
          <w:kern w:val="0"/>
          <w:sz w:val="28"/>
          <w:szCs w:val="28"/>
          <w:highlight w:val="none"/>
          <w:lang w:val="zh-CN" w:bidi="ar"/>
        </w:rPr>
        <w:t>项目</w:t>
      </w:r>
      <w:r>
        <w:rPr>
          <w:rFonts w:hint="eastAsia" w:ascii="Times New Roman" w:hAnsi="Times New Roman" w:cs="Times New Roman"/>
          <w:b/>
          <w:bCs/>
          <w:color w:val="auto"/>
          <w:kern w:val="0"/>
          <w:sz w:val="28"/>
          <w:szCs w:val="28"/>
          <w:highlight w:val="none"/>
          <w:lang w:val="en-US" w:eastAsia="zh-CN" w:bidi="ar"/>
        </w:rPr>
        <w:t>内容</w:t>
      </w:r>
    </w:p>
    <w:bookmarkEnd w:id="12"/>
    <w:p w14:paraId="0C1C723F">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残疾人</w:t>
      </w:r>
      <w:r>
        <w:rPr>
          <w:rFonts w:hint="eastAsia" w:ascii="宋体" w:hAnsi="宋体" w:eastAsia="宋体" w:cs="宋体"/>
          <w:color w:val="auto"/>
          <w:kern w:val="0"/>
          <w:sz w:val="24"/>
          <w:highlight w:val="none"/>
          <w:lang w:val="en-US" w:eastAsia="zh-CN"/>
        </w:rPr>
        <w:t>社区</w:t>
      </w:r>
      <w:r>
        <w:rPr>
          <w:rFonts w:hint="eastAsia" w:ascii="宋体" w:hAnsi="宋体" w:eastAsia="宋体" w:cs="宋体"/>
          <w:color w:val="auto"/>
          <w:kern w:val="0"/>
          <w:sz w:val="24"/>
          <w:highlight w:val="none"/>
        </w:rPr>
        <w:t>康复服务是指基层医疗卫生机构和其它医疗机构，依照《南京市残疾人精准康复服务</w:t>
      </w:r>
      <w:r>
        <w:rPr>
          <w:rFonts w:hint="eastAsia" w:ascii="宋体" w:hAnsi="宋体" w:eastAsia="宋体" w:cs="宋体"/>
          <w:color w:val="auto"/>
          <w:kern w:val="0"/>
          <w:sz w:val="24"/>
          <w:highlight w:val="none"/>
          <w:lang w:val="en-US" w:eastAsia="zh-CN"/>
        </w:rPr>
        <w:t>实施办法（试行）</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服务包中</w:t>
      </w:r>
      <w:r>
        <w:rPr>
          <w:rFonts w:hint="eastAsia" w:ascii="宋体" w:hAnsi="宋体" w:eastAsia="宋体" w:cs="宋体"/>
          <w:color w:val="auto"/>
          <w:kern w:val="0"/>
          <w:sz w:val="24"/>
          <w:highlight w:val="none"/>
        </w:rPr>
        <w:t>的服务内容，通过对残疾人残疾等级、残损功能、家属照料、居家生活环境、辅助器具等多方因素进行评估，运用专业</w:t>
      </w:r>
      <w:r>
        <w:rPr>
          <w:rFonts w:hint="eastAsia" w:ascii="宋体" w:hAnsi="宋体" w:eastAsia="宋体" w:cs="宋体"/>
          <w:color w:val="auto"/>
          <w:kern w:val="0"/>
          <w:sz w:val="24"/>
          <w:highlight w:val="none"/>
          <w:lang w:eastAsia="zh-CN"/>
        </w:rPr>
        <w:t>康复</w:t>
      </w:r>
      <w:r>
        <w:rPr>
          <w:rFonts w:hint="eastAsia" w:ascii="宋体" w:hAnsi="宋体" w:eastAsia="宋体" w:cs="宋体"/>
          <w:color w:val="auto"/>
          <w:kern w:val="0"/>
          <w:sz w:val="24"/>
          <w:highlight w:val="none"/>
        </w:rPr>
        <w:t>医疗手段，为残疾人提供专业、个性、便捷的康复服务，将医疗和康复相融合，最大程度提高或改善残疾人生存、生活状况，在提高残疾人生活自理能力同时，减轻家属照护负担。</w:t>
      </w:r>
    </w:p>
    <w:p w14:paraId="57232739">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居家康复——针对</w:t>
      </w:r>
      <w:r>
        <w:rPr>
          <w:rFonts w:hint="eastAsia" w:ascii="宋体" w:hAnsi="宋体" w:eastAsia="宋体" w:cs="宋体"/>
          <w:color w:val="auto"/>
          <w:kern w:val="0"/>
          <w:sz w:val="24"/>
          <w:highlight w:val="none"/>
          <w:lang w:val="en-US" w:eastAsia="zh-CN"/>
        </w:rPr>
        <w:t>肢体</w:t>
      </w:r>
      <w:r>
        <w:rPr>
          <w:rFonts w:hint="eastAsia" w:ascii="宋体" w:hAnsi="宋体" w:eastAsia="宋体" w:cs="宋体"/>
          <w:color w:val="auto"/>
          <w:kern w:val="0"/>
          <w:sz w:val="24"/>
          <w:highlight w:val="none"/>
        </w:rPr>
        <w:t>功能障碍程度重、出行困难的残疾人，由康复治疗师提供定期上门的一对一康复服务。</w:t>
      </w:r>
    </w:p>
    <w:p w14:paraId="30C4507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站点康复——在社区设立的康复服务站点，为功能障碍较轻、能出行的残疾人提供便利的、集中的康复服务。</w:t>
      </w:r>
    </w:p>
    <w:p w14:paraId="1FBD3661">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转介服务——对于功能障碍复杂、康复潜力大、意愿强烈的残疾人，协助其转介至更专业的康复机构。</w:t>
      </w:r>
    </w:p>
    <w:p w14:paraId="2BA1B588">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eastAsia="zh-CN"/>
        </w:rPr>
        <w:t>网络服务</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利用多媒体设备，通过线上视频、语音等方式，提供远程康复指导、咨询和宣教。</w:t>
      </w:r>
    </w:p>
    <w:p w14:paraId="7A702A0C">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5.服务对象指标：结合街道残疾人前期调研，综合残疾人自身需求、功能障碍受损程度、居住情况，确保居家－站点精准康复训练服务对象不少于 20 人；服务对象覆盖所有类别残疾人。</w:t>
      </w:r>
    </w:p>
    <w:p w14:paraId="2F2EF275">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6.活动指标：项目执行周期内，每年需开展全年不少于 24 场主题活动，活动类型包含残疾人主题日活动、站点康复讲座、技能培训等。</w:t>
      </w:r>
    </w:p>
    <w:p w14:paraId="4534D05A">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7.人员硬性配置：成交供应商须为本项目配备全职康复治疗师不少于 2 名，专职负责本项目运作；所有聘用人员需完成系统专业培训，保障服务专业化高质量，负责调解项目实施过程矛盾纠纷。</w:t>
      </w:r>
    </w:p>
    <w:p w14:paraId="2547A55D">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8.站点建设：按照上级残联康复示范点绩效考评要求以及街道残疾人社区康复服务评估办法配合甲方完成康复站点打造，落实站点各项考核标准。</w:t>
      </w:r>
    </w:p>
    <w:p w14:paraId="2F7D9850">
      <w:pPr>
        <w:adjustRightInd w:val="0"/>
        <w:snapToGrid w:val="0"/>
        <w:spacing w:line="560" w:lineRule="exact"/>
        <w:ind w:firstLine="562" w:firstLineChars="200"/>
        <w:rPr>
          <w:rFonts w:hint="eastAsia" w:ascii="Times New Roman" w:hAnsi="Times New Roman" w:cs="Times New Roman" w:eastAsiaTheme="minorEastAsia"/>
          <w:b/>
          <w:bCs/>
          <w:color w:val="auto"/>
          <w:kern w:val="0"/>
          <w:sz w:val="28"/>
          <w:szCs w:val="28"/>
          <w:highlight w:val="none"/>
          <w:lang w:val="en-US" w:eastAsia="zh-CN" w:bidi="ar"/>
        </w:rPr>
      </w:pPr>
      <w:r>
        <w:rPr>
          <w:rFonts w:hint="eastAsia" w:ascii="Times New Roman" w:hAnsi="Times New Roman" w:cs="Times New Roman" w:eastAsiaTheme="minorEastAsia"/>
          <w:b/>
          <w:bCs/>
          <w:color w:val="auto"/>
          <w:kern w:val="0"/>
          <w:sz w:val="28"/>
          <w:szCs w:val="28"/>
          <w:highlight w:val="none"/>
          <w:lang w:val="en-US" w:eastAsia="zh-CN" w:bidi="ar"/>
        </w:rPr>
        <w:t>（二）服务要求</w:t>
      </w:r>
    </w:p>
    <w:p w14:paraId="19F397F1">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w:t>
      </w:r>
      <w:r>
        <w:rPr>
          <w:rFonts w:hint="default" w:ascii="宋体" w:hAnsi="宋体" w:eastAsia="宋体" w:cs="宋体"/>
          <w:color w:val="auto"/>
          <w:kern w:val="0"/>
          <w:sz w:val="24"/>
          <w:highlight w:val="none"/>
          <w:lang w:val="en-US" w:eastAsia="zh-CN"/>
        </w:rPr>
        <w:t>作为承接主体，成交供应商应全面完成各项任务要求，并接受街道的指导与监督。</w:t>
      </w:r>
    </w:p>
    <w:p w14:paraId="3FD88E33">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default" w:ascii="宋体" w:hAnsi="宋体" w:eastAsia="宋体" w:cs="宋体"/>
          <w:color w:val="auto"/>
          <w:kern w:val="0"/>
          <w:sz w:val="24"/>
          <w:highlight w:val="none"/>
          <w:lang w:val="en-US" w:eastAsia="zh-CN"/>
        </w:rPr>
        <w:t>成交供应商</w:t>
      </w:r>
      <w:r>
        <w:rPr>
          <w:rFonts w:hint="eastAsia" w:ascii="宋体" w:hAnsi="宋体" w:eastAsia="宋体" w:cs="宋体"/>
          <w:color w:val="auto"/>
          <w:kern w:val="0"/>
          <w:sz w:val="24"/>
          <w:highlight w:val="none"/>
          <w:lang w:val="en-US" w:eastAsia="zh-CN"/>
        </w:rPr>
        <w:t>每</w:t>
      </w:r>
      <w:r>
        <w:rPr>
          <w:rFonts w:hint="default" w:ascii="宋体" w:hAnsi="宋体" w:eastAsia="宋体" w:cs="宋体"/>
          <w:color w:val="auto"/>
          <w:kern w:val="0"/>
          <w:sz w:val="24"/>
          <w:highlight w:val="none"/>
          <w:lang w:val="en-US" w:eastAsia="zh-CN"/>
        </w:rPr>
        <w:t>月向采购人以书面形式上报项目进展及工作计划；定期主动向采购人以及资助单位汇报项目进展，撰写项目报告。</w:t>
      </w:r>
    </w:p>
    <w:p w14:paraId="3C513D37">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w:t>
      </w:r>
      <w:r>
        <w:rPr>
          <w:rFonts w:hint="default" w:ascii="宋体" w:hAnsi="宋体" w:eastAsia="宋体" w:cs="宋体"/>
          <w:color w:val="auto"/>
          <w:kern w:val="0"/>
          <w:sz w:val="24"/>
          <w:highlight w:val="none"/>
          <w:lang w:val="en-US" w:eastAsia="zh-CN"/>
        </w:rPr>
        <w:t>成交供应商在项目周期内享有服务设施使用权。需改变服务中心内部功能布局、硬件结构的，应获得街道的同意。</w:t>
      </w:r>
    </w:p>
    <w:p w14:paraId="42B0E017">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w:t>
      </w:r>
      <w:r>
        <w:rPr>
          <w:rFonts w:hint="default" w:ascii="宋体" w:hAnsi="宋体" w:eastAsia="宋体" w:cs="宋体"/>
          <w:color w:val="auto"/>
          <w:kern w:val="0"/>
          <w:sz w:val="24"/>
          <w:highlight w:val="none"/>
          <w:lang w:val="en-US" w:eastAsia="zh-CN"/>
        </w:rPr>
        <w:t>成交供应商需要接受项目督导，支持督导工作开展，对督导意见建议及时整改。</w:t>
      </w:r>
    </w:p>
    <w:p w14:paraId="668431CD">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5.</w:t>
      </w:r>
      <w:r>
        <w:rPr>
          <w:rFonts w:hint="default" w:ascii="宋体" w:hAnsi="宋体" w:eastAsia="宋体" w:cs="宋体"/>
          <w:color w:val="auto"/>
          <w:kern w:val="0"/>
          <w:sz w:val="24"/>
          <w:highlight w:val="none"/>
          <w:lang w:val="en-US" w:eastAsia="zh-CN"/>
        </w:rPr>
        <w:t>因重大事项或不可抗力因素，经街道及成交供应商协商并取得一致意见后，可变更、推迟或终止项目。</w:t>
      </w:r>
    </w:p>
    <w:p w14:paraId="435AB543">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6.</w:t>
      </w:r>
      <w:r>
        <w:rPr>
          <w:rFonts w:hint="default" w:ascii="宋体" w:hAnsi="宋体" w:eastAsia="宋体" w:cs="宋体"/>
          <w:color w:val="auto"/>
          <w:kern w:val="0"/>
          <w:sz w:val="24"/>
          <w:highlight w:val="none"/>
          <w:lang w:val="en-US" w:eastAsia="zh-CN"/>
        </w:rPr>
        <w:t>成交供应商在履行合同中产生的一切非因采购人过错导致的损失，均自行承担责任。</w:t>
      </w:r>
    </w:p>
    <w:p w14:paraId="67117513">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7.</w:t>
      </w:r>
      <w:r>
        <w:rPr>
          <w:rFonts w:hint="default" w:ascii="宋体" w:hAnsi="宋体" w:eastAsia="宋体" w:cs="宋体"/>
          <w:color w:val="auto"/>
          <w:kern w:val="0"/>
          <w:sz w:val="24"/>
          <w:highlight w:val="none"/>
          <w:lang w:val="en-US" w:eastAsia="zh-CN"/>
        </w:rPr>
        <w:t>供应商应编制合理的项目风险应急预案，不能因人员变化影响项目进度。</w:t>
      </w:r>
    </w:p>
    <w:p w14:paraId="1424192B">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8.</w:t>
      </w:r>
      <w:r>
        <w:rPr>
          <w:rFonts w:hint="default" w:ascii="宋体" w:hAnsi="宋体" w:eastAsia="宋体" w:cs="宋体"/>
          <w:color w:val="auto"/>
          <w:kern w:val="0"/>
          <w:sz w:val="24"/>
          <w:highlight w:val="none"/>
          <w:lang w:val="en-US" w:eastAsia="zh-CN"/>
        </w:rPr>
        <w:t>上门入户服务残疾人，须逐个签订康复服务协议，参考宁残字【2019】63 号文件模板；协议内容至少包含：服务内容、服务频次、服务时间、风险告知。</w:t>
      </w:r>
    </w:p>
    <w:p w14:paraId="5EEC2143">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9.</w:t>
      </w:r>
      <w:r>
        <w:rPr>
          <w:rFonts w:hint="default" w:ascii="宋体" w:hAnsi="宋体" w:eastAsia="宋体" w:cs="宋体"/>
          <w:color w:val="auto"/>
          <w:kern w:val="0"/>
          <w:sz w:val="24"/>
          <w:highlight w:val="none"/>
          <w:lang w:val="en-US" w:eastAsia="zh-CN"/>
        </w:rPr>
        <w:t>居家入户残疾人严格执行一人一档康复服务档案；每次入户服务记录必须由服务实施人员、服务对象双方共同签字确认；站点服务做好综合服务记录。</w:t>
      </w:r>
    </w:p>
    <w:p w14:paraId="106278B3">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10.</w:t>
      </w:r>
      <w:r>
        <w:rPr>
          <w:rFonts w:hint="default" w:ascii="宋体" w:hAnsi="宋体" w:eastAsia="宋体" w:cs="宋体"/>
          <w:color w:val="auto"/>
          <w:kern w:val="0"/>
          <w:sz w:val="24"/>
          <w:highlight w:val="none"/>
          <w:lang w:val="en-US" w:eastAsia="zh-CN"/>
        </w:rPr>
        <w:t>康复档案资料应当包含：精准康复手册、评估服务记录、康复训练记录、服务影像、体现康复效果相关资料；结项评估阶段居家入户服务对象需逐一汇报康复情况。</w:t>
      </w:r>
    </w:p>
    <w:p w14:paraId="11211775">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11.</w:t>
      </w:r>
      <w:r>
        <w:rPr>
          <w:rFonts w:hint="default" w:ascii="宋体" w:hAnsi="宋体" w:eastAsia="宋体" w:cs="宋体"/>
          <w:color w:val="auto"/>
          <w:kern w:val="0"/>
          <w:sz w:val="24"/>
          <w:highlight w:val="none"/>
          <w:lang w:val="en-US" w:eastAsia="zh-CN"/>
        </w:rPr>
        <w:t>全部服务数据必须完整录入 “栖小康” 平台。</w:t>
      </w:r>
    </w:p>
    <w:p w14:paraId="29C987F5">
      <w:pPr>
        <w:adjustRightInd w:val="0"/>
        <w:snapToGrid w:val="0"/>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12.</w:t>
      </w:r>
      <w:r>
        <w:rPr>
          <w:rFonts w:hint="default" w:ascii="宋体" w:hAnsi="宋体" w:eastAsia="宋体" w:cs="宋体"/>
          <w:color w:val="auto"/>
          <w:kern w:val="0"/>
          <w:sz w:val="24"/>
          <w:highlight w:val="none"/>
          <w:lang w:val="en-US" w:eastAsia="zh-CN"/>
        </w:rPr>
        <w:t>康复服务、康复主题活动均建立完整台账资料，做好服务资料存档；积极配合甲方开展项目检查、参观接待、第三方评估、创新项目创建等工作。</w:t>
      </w:r>
    </w:p>
    <w:p w14:paraId="19F2CED1">
      <w:pPr>
        <w:widowControl/>
        <w:spacing w:line="560" w:lineRule="exact"/>
        <w:ind w:firstLine="562" w:firstLineChars="200"/>
        <w:outlineLvl w:val="2"/>
        <w:rPr>
          <w:rFonts w:hint="eastAsia" w:ascii="Times New Roman" w:hAnsi="Times New Roman" w:cs="Times New Roman"/>
          <w:b/>
          <w:bCs/>
          <w:color w:val="auto"/>
          <w:kern w:val="0"/>
          <w:sz w:val="28"/>
          <w:szCs w:val="28"/>
          <w:highlight w:val="none"/>
          <w:lang w:val="zh-CN" w:bidi="ar"/>
        </w:rPr>
      </w:pPr>
      <w:r>
        <w:rPr>
          <w:rFonts w:hint="eastAsia" w:ascii="Times New Roman" w:hAnsi="Times New Roman" w:cs="Times New Roman"/>
          <w:b/>
          <w:bCs/>
          <w:color w:val="auto"/>
          <w:kern w:val="0"/>
          <w:sz w:val="28"/>
          <w:szCs w:val="28"/>
          <w:highlight w:val="none"/>
          <w:lang w:val="zh-CN" w:eastAsia="zh-CN" w:bidi="ar"/>
        </w:rPr>
        <w:t>（</w:t>
      </w:r>
      <w:r>
        <w:rPr>
          <w:rFonts w:hint="eastAsia" w:ascii="Times New Roman" w:hAnsi="Times New Roman" w:cs="Times New Roman"/>
          <w:b/>
          <w:bCs/>
          <w:color w:val="auto"/>
          <w:kern w:val="0"/>
          <w:sz w:val="28"/>
          <w:szCs w:val="28"/>
          <w:highlight w:val="none"/>
          <w:lang w:val="en-US" w:eastAsia="zh-CN" w:bidi="ar"/>
        </w:rPr>
        <w:t>三</w:t>
      </w:r>
      <w:r>
        <w:rPr>
          <w:rFonts w:hint="eastAsia" w:ascii="Times New Roman" w:hAnsi="Times New Roman" w:cs="Times New Roman"/>
          <w:b/>
          <w:bCs/>
          <w:color w:val="auto"/>
          <w:kern w:val="0"/>
          <w:sz w:val="28"/>
          <w:szCs w:val="28"/>
          <w:highlight w:val="none"/>
          <w:lang w:val="zh-CN" w:eastAsia="zh-CN" w:bidi="ar"/>
        </w:rPr>
        <w:t>）</w:t>
      </w:r>
      <w:r>
        <w:rPr>
          <w:rFonts w:hint="eastAsia" w:ascii="Times New Roman" w:hAnsi="Times New Roman" w:cs="Times New Roman"/>
          <w:b/>
          <w:bCs/>
          <w:color w:val="auto"/>
          <w:kern w:val="0"/>
          <w:sz w:val="28"/>
          <w:szCs w:val="28"/>
          <w:highlight w:val="none"/>
          <w:lang w:val="zh-CN" w:bidi="ar"/>
        </w:rPr>
        <w:t>服务保障和自罚承诺</w:t>
      </w:r>
    </w:p>
    <w:p w14:paraId="1300EA31">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1.</w:t>
      </w:r>
      <w:r>
        <w:rPr>
          <w:rFonts w:hint="eastAsia" w:ascii="宋体" w:hAnsi="宋体" w:eastAsia="宋体" w:cs="宋体"/>
          <w:color w:val="auto"/>
          <w:kern w:val="0"/>
          <w:sz w:val="24"/>
          <w:highlight w:val="none"/>
        </w:rPr>
        <w:t>供应商应对照</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文件要求，书面说明已对采购人的需求做出了实质性的响应，或申明与需求的偏差和例外。</w:t>
      </w:r>
    </w:p>
    <w:p w14:paraId="26E4ED8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2.</w:t>
      </w:r>
      <w:r>
        <w:rPr>
          <w:rFonts w:hint="eastAsia" w:ascii="宋体" w:hAnsi="宋体" w:eastAsia="宋体" w:cs="宋体"/>
          <w:color w:val="auto"/>
          <w:kern w:val="0"/>
          <w:sz w:val="24"/>
          <w:highlight w:val="none"/>
        </w:rPr>
        <w:t>如果发生因供应商安全措施不力造成的事故责任</w:t>
      </w:r>
      <w:r>
        <w:rPr>
          <w:rFonts w:hint="eastAsia" w:ascii="宋体" w:hAnsi="宋体" w:eastAsia="宋体" w:cs="宋体"/>
          <w:color w:val="auto"/>
          <w:kern w:val="0"/>
          <w:sz w:val="24"/>
          <w:highlight w:val="none"/>
          <w:lang w:eastAsia="zh-CN"/>
        </w:rPr>
        <w:t>，或者</w:t>
      </w:r>
      <w:r>
        <w:rPr>
          <w:rFonts w:hint="eastAsia" w:ascii="宋体" w:hAnsi="宋体" w:eastAsia="宋体" w:cs="宋体"/>
          <w:color w:val="auto"/>
          <w:kern w:val="0"/>
          <w:sz w:val="24"/>
          <w:highlight w:val="none"/>
        </w:rPr>
        <w:t>其他工作失误，由此所产生的一切责任由供应商承担。</w:t>
      </w:r>
    </w:p>
    <w:p w14:paraId="07CB5FA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3.</w:t>
      </w:r>
      <w:r>
        <w:rPr>
          <w:rFonts w:hint="eastAsia" w:ascii="宋体" w:hAnsi="宋体" w:eastAsia="宋体" w:cs="宋体"/>
          <w:color w:val="auto"/>
          <w:kern w:val="0"/>
          <w:sz w:val="24"/>
          <w:highlight w:val="none"/>
        </w:rPr>
        <w:t>如因供应商投入人员过少原因，造成无法在承诺期限内完成服务，由此产生的一切责任由供应商承担。</w:t>
      </w:r>
    </w:p>
    <w:p w14:paraId="0D7D47E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本项目接受</w:t>
      </w:r>
      <w:r>
        <w:rPr>
          <w:rFonts w:hint="eastAsia" w:ascii="宋体" w:hAnsi="宋体" w:eastAsia="宋体" w:cs="宋体"/>
          <w:color w:val="auto"/>
          <w:kern w:val="0"/>
          <w:sz w:val="24"/>
          <w:highlight w:val="none"/>
          <w:lang w:val="en-US" w:eastAsia="zh-CN"/>
        </w:rPr>
        <w:t>采购人</w:t>
      </w:r>
      <w:r>
        <w:rPr>
          <w:rFonts w:hint="eastAsia" w:ascii="宋体" w:hAnsi="宋体" w:eastAsia="宋体" w:cs="宋体"/>
          <w:color w:val="auto"/>
          <w:kern w:val="0"/>
          <w:sz w:val="24"/>
          <w:highlight w:val="none"/>
        </w:rPr>
        <w:t>组织专家、资助企业第三方考核评估；若第三方评估结果不达标，采购人有权单方解除协议，并扣除项目总金额 15%；</w:t>
      </w:r>
    </w:p>
    <w:p w14:paraId="00D6E80A">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如</w:t>
      </w:r>
      <w:r>
        <w:rPr>
          <w:rFonts w:hint="eastAsia" w:ascii="宋体" w:hAnsi="宋体" w:eastAsia="宋体" w:cs="宋体"/>
          <w:color w:val="auto"/>
          <w:kern w:val="0"/>
          <w:sz w:val="24"/>
          <w:highlight w:val="none"/>
          <w:lang w:val="en-US" w:eastAsia="zh-CN"/>
        </w:rPr>
        <w:t>成交供应商</w:t>
      </w:r>
      <w:r>
        <w:rPr>
          <w:rFonts w:hint="eastAsia" w:ascii="宋体" w:hAnsi="宋体" w:eastAsia="宋体" w:cs="宋体"/>
          <w:color w:val="auto"/>
          <w:kern w:val="0"/>
          <w:sz w:val="24"/>
          <w:highlight w:val="none"/>
        </w:rPr>
        <w:t>发生违背项目宗旨的违法活动，或是经查实为</w:t>
      </w:r>
      <w:r>
        <w:rPr>
          <w:rFonts w:hint="eastAsia" w:ascii="宋体" w:hAnsi="宋体" w:eastAsia="宋体" w:cs="宋体"/>
          <w:color w:val="auto"/>
          <w:kern w:val="0"/>
          <w:sz w:val="24"/>
          <w:highlight w:val="none"/>
          <w:lang w:val="en-US" w:eastAsia="zh-CN"/>
        </w:rPr>
        <w:t>成交供应商</w:t>
      </w:r>
      <w:r>
        <w:rPr>
          <w:rFonts w:hint="eastAsia" w:ascii="宋体" w:hAnsi="宋体" w:eastAsia="宋体" w:cs="宋体"/>
          <w:color w:val="auto"/>
          <w:kern w:val="0"/>
          <w:sz w:val="24"/>
          <w:highlight w:val="none"/>
        </w:rPr>
        <w:t>责任的服务对象有效投诉，采购人有权单方解除合同；</w:t>
      </w:r>
    </w:p>
    <w:p w14:paraId="34575C5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6.成交供应商</w:t>
      </w:r>
      <w:r>
        <w:rPr>
          <w:rFonts w:hint="eastAsia" w:ascii="宋体" w:hAnsi="宋体" w:eastAsia="宋体" w:cs="宋体"/>
          <w:color w:val="auto"/>
          <w:kern w:val="0"/>
          <w:sz w:val="24"/>
          <w:highlight w:val="none"/>
        </w:rPr>
        <w:t>开展服务应当保持项目领域的领先性与创新性。</w:t>
      </w:r>
    </w:p>
    <w:p w14:paraId="7DA62DA1">
      <w:pPr>
        <w:tabs>
          <w:tab w:val="left" w:pos="7005"/>
        </w:tabs>
        <w:autoSpaceDE w:val="0"/>
        <w:autoSpaceDN w:val="0"/>
        <w:adjustRightInd w:val="0"/>
        <w:snapToGrid w:val="0"/>
        <w:spacing w:line="560" w:lineRule="exact"/>
        <w:ind w:firstLine="482" w:firstLineChars="200"/>
        <w:outlineLvl w:val="1"/>
        <w:rPr>
          <w:rFonts w:ascii="Times New Roman" w:hAnsi="Times New Roman" w:eastAsia="宋体" w:cs="Times New Roman"/>
          <w:b/>
          <w:color w:val="auto"/>
          <w:sz w:val="32"/>
          <w:szCs w:val="32"/>
          <w:highlight w:val="none"/>
        </w:rPr>
      </w:pPr>
      <w:r>
        <w:rPr>
          <w:rFonts w:ascii="Times New Roman" w:hAnsi="Times New Roman" w:eastAsia="宋体" w:cs="Times New Roman"/>
          <w:b/>
          <w:bCs/>
          <w:color w:val="auto"/>
          <w:sz w:val="24"/>
          <w:highlight w:val="none"/>
        </w:rPr>
        <w:t>★</w:t>
      </w:r>
      <w:r>
        <w:rPr>
          <w:rFonts w:hint="eastAsia" w:ascii="Times New Roman" w:hAnsi="Times New Roman" w:eastAsia="宋体" w:cs="Times New Roman"/>
          <w:b/>
          <w:color w:val="auto"/>
          <w:sz w:val="28"/>
          <w:szCs w:val="28"/>
          <w:highlight w:val="none"/>
          <w:lang w:val="en-US" w:eastAsia="zh-CN"/>
        </w:rPr>
        <w:t>三</w:t>
      </w:r>
      <w:r>
        <w:rPr>
          <w:rFonts w:ascii="Times New Roman" w:hAnsi="Times New Roman" w:eastAsia="宋体" w:cs="Times New Roman"/>
          <w:b/>
          <w:color w:val="auto"/>
          <w:sz w:val="28"/>
          <w:szCs w:val="28"/>
          <w:highlight w:val="none"/>
        </w:rPr>
        <w:t>、拟采购标的需要满足的商务要求</w:t>
      </w:r>
    </w:p>
    <w:p w14:paraId="739776C9">
      <w:pPr>
        <w:widowControl/>
        <w:spacing w:line="560" w:lineRule="exact"/>
        <w:ind w:firstLine="562" w:firstLineChars="200"/>
        <w:outlineLvl w:val="2"/>
        <w:rPr>
          <w:rFonts w:hint="eastAsia" w:ascii="Times New Roman" w:hAnsi="Times New Roman" w:cs="Times New Roman"/>
          <w:b/>
          <w:bCs/>
          <w:color w:val="auto"/>
          <w:kern w:val="0"/>
          <w:sz w:val="28"/>
          <w:szCs w:val="28"/>
          <w:highlight w:val="none"/>
          <w:lang w:val="en-US" w:eastAsia="zh-CN" w:bidi="ar"/>
        </w:rPr>
      </w:pPr>
      <w:r>
        <w:rPr>
          <w:rFonts w:hint="eastAsia" w:ascii="Times New Roman" w:hAnsi="Times New Roman" w:cs="Times New Roman"/>
          <w:b/>
          <w:bCs/>
          <w:color w:val="auto"/>
          <w:kern w:val="0"/>
          <w:sz w:val="28"/>
          <w:szCs w:val="28"/>
          <w:highlight w:val="none"/>
          <w:lang w:val="en-US" w:eastAsia="zh-CN" w:bidi="ar"/>
        </w:rPr>
        <w:t>（一）报价说明</w:t>
      </w:r>
    </w:p>
    <w:p w14:paraId="168625E9">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供应商报价应包含与本次采购项目有关的所有费用。包含但不限于人员、</w:t>
      </w:r>
      <w:r>
        <w:rPr>
          <w:rFonts w:hint="eastAsia" w:ascii="宋体" w:hAnsi="宋体" w:eastAsia="宋体" w:cs="宋体"/>
          <w:color w:val="auto"/>
          <w:kern w:val="0"/>
          <w:sz w:val="24"/>
          <w:highlight w:val="none"/>
          <w:lang w:val="en-US" w:eastAsia="zh-CN"/>
        </w:rPr>
        <w:t>设备、宣传、</w:t>
      </w:r>
      <w:r>
        <w:rPr>
          <w:rFonts w:hint="eastAsia" w:ascii="宋体" w:hAnsi="宋体" w:eastAsia="宋体" w:cs="宋体"/>
          <w:color w:val="auto"/>
          <w:kern w:val="0"/>
          <w:sz w:val="24"/>
          <w:highlight w:val="none"/>
        </w:rPr>
        <w:t>耗材、误餐、住宿等伴随配套服务等所有含税费用。同时，还应包含支付给员工的工资和国家强制缴纳的各种社会保障资金，以及供应商认为需要的其他费用等。</w:t>
      </w:r>
    </w:p>
    <w:p w14:paraId="04B4656A">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供应商的任何错漏、优惠、竞争性报价不得作为减轻责任、减少服务、增加收费、降低服务质量的理由。</w:t>
      </w:r>
    </w:p>
    <w:p w14:paraId="7D820D9B">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供应商报价除包含采购文件中列明的项目外还应包括保障服务正常运行应当具有的物资和服务，对服务正常运行应当具有的物资和服务理解不一致的以采购人理解为准。</w:t>
      </w:r>
    </w:p>
    <w:p w14:paraId="3669D38E">
      <w:pPr>
        <w:widowControl/>
        <w:spacing w:line="560" w:lineRule="exact"/>
        <w:ind w:firstLine="562" w:firstLineChars="200"/>
        <w:outlineLvl w:val="2"/>
        <w:rPr>
          <w:rFonts w:hint="eastAsia" w:ascii="Times New Roman" w:hAnsi="Times New Roman" w:cs="Times New Roman"/>
          <w:b/>
          <w:bCs/>
          <w:color w:val="auto"/>
          <w:kern w:val="0"/>
          <w:sz w:val="28"/>
          <w:szCs w:val="28"/>
          <w:highlight w:val="none"/>
          <w:lang w:val="en-US" w:eastAsia="zh-CN" w:bidi="ar"/>
        </w:rPr>
      </w:pPr>
      <w:r>
        <w:rPr>
          <w:rFonts w:hint="eastAsia" w:ascii="Times New Roman" w:hAnsi="Times New Roman" w:cs="Times New Roman"/>
          <w:b/>
          <w:bCs/>
          <w:color w:val="auto"/>
          <w:kern w:val="0"/>
          <w:sz w:val="28"/>
          <w:szCs w:val="28"/>
          <w:highlight w:val="none"/>
          <w:lang w:val="en-US" w:eastAsia="zh-CN" w:bidi="ar"/>
        </w:rPr>
        <w:t>（二）付款方式及条件</w:t>
      </w:r>
    </w:p>
    <w:p w14:paraId="6E4C7B03">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1.</w:t>
      </w:r>
      <w:r>
        <w:rPr>
          <w:rFonts w:hint="eastAsia" w:ascii="宋体" w:hAnsi="宋体" w:eastAsia="宋体" w:cs="宋体"/>
          <w:color w:val="auto"/>
          <w:kern w:val="0"/>
          <w:sz w:val="24"/>
          <w:highlight w:val="none"/>
        </w:rPr>
        <w:t>本项目按照政府购买服务相关制度文件规定执行，服务周期为三年，按年度分三次支付当年度服务费用，每年度付款流程一致，具体付款节点及比例如下：</w:t>
      </w:r>
    </w:p>
    <w:p w14:paraId="4D061E33">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（1）首次付款：合同签订之日起15个工作日内，采购人向供应商支付当年度服务费用总额的40%；</w:t>
      </w:r>
    </w:p>
    <w:p w14:paraId="4F3806AF">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（2）第二次付款：合同签订满半年之日起，采购人向供应商支付当年度服务费用总额的30%；</w:t>
      </w:r>
    </w:p>
    <w:p w14:paraId="2CA25180">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（3）第三次付款：当年度服务期满，经采购人考核评估合格后，支付当年度服务费用剩余30%尾款。</w:t>
      </w:r>
    </w:p>
    <w:p w14:paraId="4F3943B8">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本付款方式按上述标准逐年执行，直至三年服务周期全部履约完毕。若年度服务考核不合格，采购人有权根据考核结果暂缓付款、扣除相应款项或要求供应商限期整改，整改合格后按规定支付尾款。</w:t>
      </w:r>
    </w:p>
    <w:p w14:paraId="1FFB6DA3">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2.</w:t>
      </w:r>
      <w:r>
        <w:rPr>
          <w:rFonts w:hint="eastAsia" w:ascii="宋体" w:hAnsi="宋体" w:eastAsia="宋体" w:cs="宋体"/>
          <w:color w:val="auto"/>
          <w:kern w:val="0"/>
          <w:sz w:val="24"/>
          <w:highlight w:val="none"/>
        </w:rPr>
        <w:t>要按照“量入为出、权责对等、投入与产出成比例”的原则使用。主要用于：</w:t>
      </w:r>
    </w:p>
    <w:p w14:paraId="52591C74">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（1）成交供应商的统筹策划、统一管理所需的人力成本和管理费用。管理费用包括日常办公、宣传、咨询、访谈接待等。</w:t>
      </w:r>
    </w:p>
    <w:p w14:paraId="234DF291">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（2）根据合同规定开展的培训、服务项目、服务活动等费用。</w:t>
      </w:r>
    </w:p>
    <w:p w14:paraId="67B4B2A1">
      <w:pPr>
        <w:autoSpaceDE w:val="0"/>
        <w:autoSpaceDN w:val="0"/>
        <w:adjustRightInd w:val="0"/>
        <w:snapToGrid w:val="0"/>
        <w:spacing w:line="5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（3）对项目资金使用、管理中存在擅自改变专项资金用途，或者骗取、挪用专项资金等行为，按有关规定进行处理并追究有关单位及其相关人员法律责任。</w:t>
      </w:r>
    </w:p>
    <w:p w14:paraId="093C357B">
      <w:pPr>
        <w:autoSpaceDE w:val="0"/>
        <w:autoSpaceDN w:val="0"/>
        <w:adjustRightInd w:val="0"/>
        <w:snapToGrid w:val="0"/>
        <w:spacing w:line="560" w:lineRule="exact"/>
        <w:ind w:firstLine="480" w:firstLineChars="200"/>
        <w:jc w:val="left"/>
        <w:rPr>
          <w:rFonts w:ascii="Times New Roman" w:hAnsi="Times New Roman" w:eastAsia="宋体" w:cs="Times New Roman"/>
          <w:b/>
          <w:bCs/>
          <w:color w:val="auto"/>
          <w:sz w:val="24"/>
          <w:highlight w:val="none"/>
        </w:rPr>
      </w:pPr>
      <w:r>
        <w:rPr>
          <w:rFonts w:hint="eastAsia" w:ascii="宋体" w:hAnsi="宋体" w:eastAsia="宋体" w:cs="宋体"/>
          <w:color w:val="auto"/>
          <w:kern w:val="0"/>
          <w:sz w:val="24"/>
          <w:highlight w:val="none"/>
          <w:lang w:eastAsia="zh-CN"/>
        </w:rPr>
        <w:t>3.</w:t>
      </w:r>
      <w:r>
        <w:rPr>
          <w:rFonts w:hint="eastAsia" w:ascii="宋体" w:hAnsi="宋体" w:eastAsia="宋体" w:cs="宋体"/>
          <w:color w:val="auto"/>
          <w:kern w:val="0"/>
          <w:sz w:val="24"/>
          <w:highlight w:val="none"/>
        </w:rPr>
        <w:t>每次付款前，供应商须提供等额发票，否则采购人有权拒绝付款。因预算政策影响以及财政资金未及时拨付到位导致的延迟支付采购人不承担相应的违约责任。</w:t>
      </w:r>
    </w:p>
    <w:p w14:paraId="60F7C3A2">
      <w:pPr>
        <w:autoSpaceDE w:val="0"/>
        <w:autoSpaceDN w:val="0"/>
        <w:adjustRightInd w:val="0"/>
        <w:snapToGrid w:val="0"/>
        <w:spacing w:line="560" w:lineRule="exact"/>
        <w:ind w:firstLine="482" w:firstLineChars="200"/>
        <w:jc w:val="left"/>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注：1.</w:t>
      </w:r>
      <w:r>
        <w:rPr>
          <w:rFonts w:ascii="Times New Roman" w:hAnsi="Times New Roman" w:eastAsia="宋体" w:cs="Times New Roman"/>
          <w:b/>
          <w:bCs/>
          <w:color w:val="auto"/>
          <w:sz w:val="24"/>
          <w:highlight w:val="none"/>
          <w:lang w:val="zh-CN"/>
        </w:rPr>
        <w:t>本章</w:t>
      </w:r>
      <w:r>
        <w:rPr>
          <w:rFonts w:ascii="Times New Roman" w:hAnsi="Times New Roman" w:eastAsia="宋体" w:cs="Times New Roman"/>
          <w:b/>
          <w:bCs/>
          <w:color w:val="auto"/>
          <w:sz w:val="24"/>
          <w:highlight w:val="none"/>
        </w:rPr>
        <w:t>加★项</w:t>
      </w:r>
      <w:r>
        <w:rPr>
          <w:rFonts w:ascii="Times New Roman" w:hAnsi="Times New Roman" w:eastAsia="宋体" w:cs="Times New Roman"/>
          <w:b/>
          <w:bCs/>
          <w:color w:val="auto"/>
          <w:sz w:val="24"/>
          <w:highlight w:val="none"/>
          <w:lang w:val="zh-CN"/>
        </w:rPr>
        <w:t>均为实质性要求，不允许负偏离，否则作无效响应处理，</w:t>
      </w:r>
      <w:r>
        <w:rPr>
          <w:rFonts w:ascii="Times New Roman" w:hAnsi="Times New Roman" w:eastAsia="宋体" w:cs="Times New Roman"/>
          <w:b/>
          <w:bCs/>
          <w:color w:val="auto"/>
          <w:sz w:val="24"/>
          <w:highlight w:val="none"/>
        </w:rPr>
        <w:t>供应商</w:t>
      </w:r>
      <w:r>
        <w:rPr>
          <w:rFonts w:ascii="Times New Roman" w:hAnsi="Times New Roman" w:eastAsia="宋体" w:cs="Times New Roman"/>
          <w:b/>
          <w:bCs/>
          <w:color w:val="auto"/>
          <w:sz w:val="24"/>
          <w:highlight w:val="none"/>
          <w:lang w:val="zh-CN"/>
        </w:rPr>
        <w:t>需在《技术条款偏离表》及《商务条款偏离表》中体现响应情况及偏离情况。</w:t>
      </w:r>
    </w:p>
    <w:p w14:paraId="04A4333B">
      <w:pPr>
        <w:autoSpaceDE w:val="0"/>
        <w:autoSpaceDN w:val="0"/>
        <w:adjustRightInd w:val="0"/>
        <w:snapToGrid w:val="0"/>
        <w:spacing w:line="560" w:lineRule="exact"/>
        <w:ind w:firstLine="482" w:firstLineChars="200"/>
        <w:jc w:val="left"/>
        <w:rPr>
          <w:rFonts w:ascii="宋体" w:hAnsi="宋体" w:eastAsia="宋体" w:cs="宋体"/>
          <w:color w:val="auto"/>
          <w:sz w:val="24"/>
          <w:highlight w:val="none"/>
        </w:rPr>
      </w:pPr>
      <w:r>
        <w:rPr>
          <w:rFonts w:ascii="Times New Roman" w:hAnsi="Times New Roman" w:eastAsia="宋体" w:cs="Times New Roman"/>
          <w:b/>
          <w:bCs/>
          <w:color w:val="auto"/>
          <w:sz w:val="24"/>
          <w:highlight w:val="none"/>
        </w:rPr>
        <w:t>2.如有疑问请及时与采购人、代理机构联系。</w:t>
      </w:r>
      <w:r>
        <w:rPr>
          <w:rFonts w:hint="eastAsia" w:ascii="宋体" w:hAnsi="宋体" w:eastAsia="宋体" w:cs="宋体"/>
          <w:color w:val="auto"/>
          <w:sz w:val="24"/>
          <w:highlight w:val="none"/>
        </w:rPr>
        <w:br w:type="page"/>
      </w:r>
    </w:p>
    <w:p w14:paraId="53091E9E">
      <w:pPr>
        <w:rPr>
          <w:color w:val="auto"/>
          <w:highlight w:val="none"/>
          <w:lang w:val="zh-CN"/>
        </w:rPr>
      </w:pPr>
      <w:bookmarkStart w:id="13" w:name="_Toc7949"/>
      <w:bookmarkStart w:id="14" w:name="_Toc127190483"/>
    </w:p>
    <w:p w14:paraId="4126AEB1">
      <w:pPr>
        <w:rPr>
          <w:color w:val="auto"/>
          <w:highlight w:val="none"/>
          <w:lang w:val="zh-CN"/>
        </w:rPr>
      </w:pPr>
    </w:p>
    <w:p w14:paraId="7EF0A2EB">
      <w:pPr>
        <w:rPr>
          <w:color w:val="auto"/>
          <w:highlight w:val="none"/>
          <w:lang w:val="zh-CN"/>
        </w:rPr>
      </w:pPr>
    </w:p>
    <w:bookmarkEnd w:id="13"/>
    <w:bookmarkEnd w:id="14"/>
    <w:p w14:paraId="050966EA">
      <w:pPr>
        <w:pStyle w:val="2"/>
        <w:spacing w:line="560" w:lineRule="exact"/>
        <w:jc w:val="center"/>
        <w:rPr>
          <w:rFonts w:ascii="宋体" w:hAnsi="宋体" w:cs="宋体"/>
          <w:color w:val="auto"/>
          <w:highlight w:val="none"/>
          <w:lang w:val="zh-CN"/>
        </w:rPr>
      </w:pPr>
      <w:bookmarkStart w:id="15" w:name="_Toc465785689"/>
      <w:r>
        <w:rPr>
          <w:rFonts w:hint="eastAsia" w:ascii="宋体" w:hAnsi="宋体" w:cs="宋体"/>
          <w:color w:val="auto"/>
          <w:highlight w:val="none"/>
          <w:lang w:val="zh-CN"/>
        </w:rPr>
        <w:t xml:space="preserve">第五章 合同草案条款 </w:t>
      </w:r>
    </w:p>
    <w:p w14:paraId="5865ACCB">
      <w:pPr>
        <w:spacing w:line="560" w:lineRule="exact"/>
        <w:jc w:val="center"/>
        <w:rPr>
          <w:rFonts w:ascii="宋体" w:hAnsi="宋体" w:cs="宋体"/>
          <w:b/>
          <w:color w:val="auto"/>
          <w:sz w:val="44"/>
          <w:szCs w:val="44"/>
          <w:highlight w:val="none"/>
        </w:rPr>
      </w:pPr>
    </w:p>
    <w:p w14:paraId="2A7250F8">
      <w:pPr>
        <w:spacing w:line="560" w:lineRule="exact"/>
        <w:jc w:val="center"/>
        <w:rPr>
          <w:rFonts w:ascii="宋体" w:hAnsi="宋体" w:cs="宋体"/>
          <w:b/>
          <w:color w:val="auto"/>
          <w:sz w:val="44"/>
          <w:szCs w:val="44"/>
          <w:highlight w:val="none"/>
        </w:rPr>
      </w:pPr>
    </w:p>
    <w:p w14:paraId="1B17BF56">
      <w:pPr>
        <w:widowControl w:val="0"/>
        <w:numPr>
          <w:ilvl w:val="0"/>
          <w:numId w:val="0"/>
        </w:numPr>
        <w:spacing w:line="360" w:lineRule="auto"/>
        <w:jc w:val="center"/>
        <w:rPr>
          <w:rFonts w:hint="eastAsia" w:ascii="宋体" w:hAnsi="宋体"/>
          <w:b/>
          <w:color w:val="auto"/>
          <w:sz w:val="48"/>
          <w:szCs w:val="48"/>
          <w:highlight w:val="none"/>
          <w:lang w:eastAsia="zh-CN"/>
        </w:rPr>
      </w:pPr>
      <w:r>
        <w:rPr>
          <w:rFonts w:hint="eastAsia" w:ascii="宋体" w:hAnsi="宋体"/>
          <w:b/>
          <w:color w:val="auto"/>
          <w:sz w:val="48"/>
          <w:szCs w:val="48"/>
          <w:highlight w:val="none"/>
          <w:lang w:eastAsia="zh-CN"/>
        </w:rPr>
        <w:t>2026-202</w:t>
      </w:r>
      <w:r>
        <w:rPr>
          <w:rFonts w:hint="eastAsia" w:ascii="宋体" w:hAnsi="宋体"/>
          <w:b/>
          <w:color w:val="auto"/>
          <w:sz w:val="48"/>
          <w:szCs w:val="48"/>
          <w:highlight w:val="none"/>
          <w:lang w:val="en-US" w:eastAsia="zh-CN"/>
        </w:rPr>
        <w:t>9</w:t>
      </w:r>
      <w:r>
        <w:rPr>
          <w:rFonts w:hint="eastAsia" w:ascii="宋体" w:hAnsi="宋体"/>
          <w:b/>
          <w:color w:val="auto"/>
          <w:sz w:val="48"/>
          <w:szCs w:val="48"/>
          <w:highlight w:val="none"/>
          <w:lang w:eastAsia="zh-CN"/>
        </w:rPr>
        <w:t>年度残疾人社区</w:t>
      </w:r>
    </w:p>
    <w:p w14:paraId="278C8B61">
      <w:pPr>
        <w:widowControl w:val="0"/>
        <w:numPr>
          <w:ilvl w:val="0"/>
          <w:numId w:val="0"/>
        </w:numPr>
        <w:spacing w:line="360" w:lineRule="auto"/>
        <w:jc w:val="center"/>
        <w:rPr>
          <w:rFonts w:hint="default"/>
          <w:color w:val="auto"/>
          <w:highlight w:val="none"/>
          <w:lang w:val="en-US"/>
        </w:rPr>
      </w:pPr>
      <w:r>
        <w:rPr>
          <w:rFonts w:hint="eastAsia" w:ascii="宋体" w:hAnsi="宋体"/>
          <w:b/>
          <w:color w:val="auto"/>
          <w:sz w:val="48"/>
          <w:szCs w:val="48"/>
          <w:highlight w:val="none"/>
          <w:lang w:eastAsia="zh-CN"/>
        </w:rPr>
        <w:t>康复</w:t>
      </w:r>
      <w:r>
        <w:rPr>
          <w:rFonts w:hint="eastAsia" w:ascii="宋体" w:hAnsi="宋体"/>
          <w:b/>
          <w:color w:val="auto"/>
          <w:sz w:val="48"/>
          <w:szCs w:val="48"/>
          <w:highlight w:val="none"/>
          <w:lang w:val="en-US" w:eastAsia="zh-CN"/>
        </w:rPr>
        <w:t>服务</w:t>
      </w:r>
      <w:r>
        <w:rPr>
          <w:rFonts w:hint="eastAsia" w:ascii="宋体" w:hAnsi="宋体"/>
          <w:b/>
          <w:color w:val="auto"/>
          <w:sz w:val="48"/>
          <w:szCs w:val="48"/>
          <w:highlight w:val="none"/>
          <w:lang w:eastAsia="zh-CN"/>
        </w:rPr>
        <w:t>项目</w:t>
      </w:r>
      <w:r>
        <w:rPr>
          <w:rFonts w:hint="eastAsia" w:ascii="宋体" w:hAnsi="宋体"/>
          <w:b/>
          <w:color w:val="auto"/>
          <w:sz w:val="48"/>
          <w:szCs w:val="48"/>
          <w:highlight w:val="none"/>
          <w:lang w:val="en-US" w:eastAsia="zh-CN"/>
        </w:rPr>
        <w:t>合同协议书</w:t>
      </w:r>
    </w:p>
    <w:p w14:paraId="5E62A14A">
      <w:pPr>
        <w:pStyle w:val="29"/>
        <w:spacing w:line="560" w:lineRule="exact"/>
        <w:ind w:firstLine="560"/>
        <w:rPr>
          <w:color w:val="auto"/>
          <w:highlight w:val="none"/>
        </w:rPr>
      </w:pPr>
    </w:p>
    <w:p w14:paraId="60D5895E">
      <w:pPr>
        <w:pStyle w:val="29"/>
        <w:spacing w:line="560" w:lineRule="exact"/>
        <w:ind w:firstLine="218" w:firstLineChars="78"/>
        <w:rPr>
          <w:color w:val="auto"/>
          <w:highlight w:val="none"/>
        </w:rPr>
      </w:pPr>
    </w:p>
    <w:p w14:paraId="21398368">
      <w:pPr>
        <w:pStyle w:val="29"/>
        <w:spacing w:line="560" w:lineRule="exact"/>
        <w:ind w:firstLine="218" w:firstLineChars="78"/>
        <w:rPr>
          <w:color w:val="auto"/>
          <w:highlight w:val="none"/>
        </w:rPr>
      </w:pPr>
    </w:p>
    <w:p w14:paraId="1F13C7E4">
      <w:pPr>
        <w:pStyle w:val="29"/>
        <w:spacing w:line="560" w:lineRule="exact"/>
        <w:ind w:firstLine="218" w:firstLineChars="78"/>
        <w:rPr>
          <w:color w:val="auto"/>
          <w:highlight w:val="none"/>
        </w:rPr>
      </w:pPr>
    </w:p>
    <w:p w14:paraId="14117F1A">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合同编号 ：</w:t>
      </w:r>
      <w:r>
        <w:rPr>
          <w:rFonts w:hint="eastAsia" w:ascii="宋体" w:hAnsi="宋体" w:cs="宋体"/>
          <w:color w:val="auto"/>
          <w:sz w:val="30"/>
          <w:szCs w:val="30"/>
          <w:highlight w:val="none"/>
          <w:u w:val="single"/>
        </w:rPr>
        <w:t xml:space="preserve">                               </w:t>
      </w:r>
    </w:p>
    <w:p w14:paraId="5B48B5F2">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项目名称 ：</w:t>
      </w:r>
      <w:r>
        <w:rPr>
          <w:rFonts w:hint="eastAsia" w:ascii="宋体" w:hAnsi="宋体" w:cs="宋体"/>
          <w:color w:val="auto"/>
          <w:sz w:val="30"/>
          <w:szCs w:val="30"/>
          <w:highlight w:val="none"/>
          <w:u w:val="single"/>
        </w:rPr>
        <w:t xml:space="preserve">                               </w:t>
      </w:r>
    </w:p>
    <w:p w14:paraId="24B45451">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采购单位 ：</w:t>
      </w:r>
      <w:r>
        <w:rPr>
          <w:rFonts w:hint="eastAsia" w:ascii="宋体" w:hAnsi="宋体" w:cs="宋体"/>
          <w:color w:val="auto"/>
          <w:sz w:val="30"/>
          <w:szCs w:val="30"/>
          <w:highlight w:val="none"/>
          <w:u w:val="single"/>
        </w:rPr>
        <w:t xml:space="preserve">                               </w:t>
      </w:r>
    </w:p>
    <w:p w14:paraId="3E881A57">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成交单位 ：</w:t>
      </w:r>
      <w:r>
        <w:rPr>
          <w:rFonts w:hint="eastAsia" w:ascii="宋体" w:hAnsi="宋体" w:cs="宋体"/>
          <w:color w:val="auto"/>
          <w:sz w:val="30"/>
          <w:szCs w:val="30"/>
          <w:highlight w:val="none"/>
          <w:u w:val="single"/>
        </w:rPr>
        <w:t xml:space="preserve">                               </w:t>
      </w:r>
    </w:p>
    <w:p w14:paraId="522D028C">
      <w:pPr>
        <w:spacing w:line="560" w:lineRule="exact"/>
        <w:rPr>
          <w:rFonts w:ascii="宋体" w:hAnsi="宋体" w:cs="宋体"/>
          <w:color w:val="auto"/>
          <w:sz w:val="30"/>
          <w:szCs w:val="30"/>
          <w:highlight w:val="none"/>
        </w:rPr>
      </w:pPr>
    </w:p>
    <w:p w14:paraId="05DB23DD">
      <w:pPr>
        <w:spacing w:line="560" w:lineRule="exact"/>
        <w:rPr>
          <w:rFonts w:ascii="宋体" w:hAnsi="宋体" w:cs="宋体"/>
          <w:color w:val="auto"/>
          <w:sz w:val="30"/>
          <w:szCs w:val="30"/>
          <w:highlight w:val="none"/>
        </w:rPr>
      </w:pPr>
    </w:p>
    <w:p w14:paraId="6B11C4E0">
      <w:pPr>
        <w:spacing w:line="560" w:lineRule="exact"/>
        <w:rPr>
          <w:rFonts w:ascii="宋体" w:hAnsi="宋体" w:cs="宋体"/>
          <w:color w:val="auto"/>
          <w:sz w:val="30"/>
          <w:szCs w:val="30"/>
          <w:highlight w:val="none"/>
        </w:rPr>
      </w:pPr>
    </w:p>
    <w:p w14:paraId="161F2232">
      <w:pPr>
        <w:spacing w:line="560" w:lineRule="exact"/>
        <w:rPr>
          <w:rFonts w:ascii="宋体" w:hAnsi="宋体" w:cs="宋体"/>
          <w:color w:val="auto"/>
          <w:sz w:val="30"/>
          <w:szCs w:val="30"/>
          <w:highlight w:val="none"/>
        </w:rPr>
      </w:pPr>
    </w:p>
    <w:p w14:paraId="373E6316">
      <w:pPr>
        <w:spacing w:line="560" w:lineRule="exact"/>
        <w:rPr>
          <w:rFonts w:ascii="宋体" w:hAnsi="宋体" w:cs="宋体"/>
          <w:color w:val="auto"/>
          <w:sz w:val="30"/>
          <w:szCs w:val="30"/>
          <w:highlight w:val="none"/>
        </w:rPr>
      </w:pPr>
    </w:p>
    <w:p w14:paraId="32AD51B6">
      <w:pPr>
        <w:spacing w:line="560" w:lineRule="exact"/>
        <w:jc w:val="center"/>
        <w:rPr>
          <w:rFonts w:ascii="宋体" w:hAnsi="宋体" w:cs="宋体"/>
          <w:color w:val="auto"/>
          <w:sz w:val="30"/>
          <w:szCs w:val="30"/>
          <w:highlight w:val="none"/>
        </w:rPr>
      </w:pPr>
      <w:r>
        <w:rPr>
          <w:rFonts w:hint="eastAsia" w:ascii="宋体" w:hAnsi="宋体" w:cs="宋体"/>
          <w:color w:val="auto"/>
          <w:sz w:val="30"/>
          <w:szCs w:val="30"/>
          <w:highlight w:val="none"/>
        </w:rPr>
        <w:t>签订日期 ：</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14:paraId="6BCFCC8C">
      <w:pPr>
        <w:rPr>
          <w:rFonts w:ascii="宋体" w:hAnsi="宋体" w:cs="宋体"/>
          <w:color w:val="auto"/>
          <w:sz w:val="30"/>
          <w:szCs w:val="30"/>
          <w:highlight w:val="none"/>
        </w:rPr>
      </w:pPr>
      <w:r>
        <w:rPr>
          <w:rFonts w:hint="eastAsia" w:ascii="宋体" w:hAnsi="宋体" w:cs="宋体"/>
          <w:color w:val="auto"/>
          <w:sz w:val="30"/>
          <w:szCs w:val="30"/>
          <w:highlight w:val="none"/>
        </w:rPr>
        <w:br w:type="page"/>
      </w:r>
    </w:p>
    <w:p w14:paraId="74BF4E60">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（以下为成交后签订本项目合同的通用条款，成交供应商不得提出实质性修改，关于专用条款将由采购人与成交供应商结合本项目具体情况协商后签订）</w:t>
      </w:r>
    </w:p>
    <w:p w14:paraId="043D581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 xml:space="preserve">合同编号： </w:t>
      </w:r>
    </w:p>
    <w:p w14:paraId="45B3C802">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政府采购计划号：</w:t>
      </w:r>
    </w:p>
    <w:tbl>
      <w:tblPr>
        <w:tblStyle w:val="19"/>
        <w:tblW w:w="5000" w:type="pct"/>
        <w:tblInd w:w="0" w:type="dxa"/>
        <w:tblLayout w:type="autofit"/>
        <w:tblCellMar>
          <w:top w:w="0" w:type="dxa"/>
          <w:left w:w="10" w:type="dxa"/>
          <w:bottom w:w="0" w:type="dxa"/>
          <w:right w:w="10" w:type="dxa"/>
        </w:tblCellMar>
      </w:tblPr>
      <w:tblGrid>
        <w:gridCol w:w="4870"/>
        <w:gridCol w:w="4870"/>
      </w:tblGrid>
      <w:tr w14:paraId="3F0F5399">
        <w:tblPrEx>
          <w:tblCellMar>
            <w:top w:w="0" w:type="dxa"/>
            <w:left w:w="10" w:type="dxa"/>
            <w:bottom w:w="0" w:type="dxa"/>
            <w:right w:w="10" w:type="dxa"/>
          </w:tblCellMar>
        </w:tblPrEx>
        <w:trPr>
          <w:trHeight w:val="741" w:hRule="atLeast"/>
        </w:trPr>
        <w:tc>
          <w:tcPr>
            <w:tcW w:w="2500" w:type="pct"/>
            <w:tcMar>
              <w:left w:w="0" w:type="dxa"/>
              <w:right w:w="0" w:type="dxa"/>
            </w:tcMar>
            <w:vAlign w:val="center"/>
          </w:tcPr>
          <w:p w14:paraId="3F597AF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采购人（以</w:t>
            </w:r>
            <w:r>
              <w:rPr>
                <w:rFonts w:hint="eastAsia" w:asciiTheme="minorEastAsia" w:hAnsiTheme="minorEastAsia" w:cstheme="minorEastAsia"/>
                <w:color w:val="auto"/>
                <w:sz w:val="24"/>
                <w:highlight w:val="none"/>
                <w:lang w:eastAsia="zh-CN"/>
              </w:rPr>
              <w:t>下简</w:t>
            </w:r>
            <w:r>
              <w:rPr>
                <w:rFonts w:hint="eastAsia" w:asciiTheme="minorEastAsia" w:hAnsiTheme="minorEastAsia" w:cstheme="minorEastAsia"/>
                <w:color w:val="auto"/>
                <w:sz w:val="24"/>
                <w:highlight w:val="none"/>
              </w:rPr>
              <w:t>称甲方）</w:t>
            </w:r>
          </w:p>
          <w:p w14:paraId="44572A44">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统一社会信用代码</w:t>
            </w:r>
            <w:r>
              <w:rPr>
                <w:rFonts w:hint="eastAsia" w:asciiTheme="minorEastAsia" w:hAnsiTheme="minorEastAsia" w:cstheme="minorEastAsia"/>
                <w:color w:val="auto"/>
                <w:sz w:val="24"/>
                <w:highlight w:val="none"/>
                <w:lang w:eastAsia="zh-CN"/>
              </w:rPr>
              <w:t>：</w:t>
            </w:r>
          </w:p>
        </w:tc>
        <w:tc>
          <w:tcPr>
            <w:tcW w:w="2500" w:type="pct"/>
            <w:tcMar>
              <w:left w:w="0" w:type="dxa"/>
              <w:right w:w="0" w:type="dxa"/>
            </w:tcMar>
            <w:vAlign w:val="center"/>
          </w:tcPr>
          <w:p w14:paraId="0A224012">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供应商：（以</w:t>
            </w:r>
            <w:r>
              <w:rPr>
                <w:rFonts w:hint="eastAsia" w:asciiTheme="minorEastAsia" w:hAnsiTheme="minorEastAsia" w:cstheme="minorEastAsia"/>
                <w:color w:val="auto"/>
                <w:sz w:val="24"/>
                <w:highlight w:val="none"/>
                <w:lang w:eastAsia="zh-CN"/>
              </w:rPr>
              <w:t>下简</w:t>
            </w:r>
            <w:r>
              <w:rPr>
                <w:rFonts w:hint="eastAsia" w:asciiTheme="minorEastAsia" w:hAnsiTheme="minorEastAsia" w:cstheme="minorEastAsia"/>
                <w:color w:val="auto"/>
                <w:sz w:val="24"/>
                <w:highlight w:val="none"/>
              </w:rPr>
              <w:t>称乙方）</w:t>
            </w:r>
          </w:p>
          <w:p w14:paraId="3838DF7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统一社会信用代码</w:t>
            </w:r>
            <w:r>
              <w:rPr>
                <w:rFonts w:hint="eastAsia" w:asciiTheme="minorEastAsia" w:hAnsiTheme="minorEastAsia" w:cstheme="minorEastAsia"/>
                <w:color w:val="auto"/>
                <w:sz w:val="24"/>
                <w:highlight w:val="none"/>
                <w:lang w:eastAsia="zh-CN"/>
              </w:rPr>
              <w:t>：</w:t>
            </w:r>
          </w:p>
        </w:tc>
      </w:tr>
      <w:tr w14:paraId="3689D606">
        <w:tblPrEx>
          <w:tblCellMar>
            <w:top w:w="0" w:type="dxa"/>
            <w:left w:w="10" w:type="dxa"/>
            <w:bottom w:w="0" w:type="dxa"/>
            <w:right w:w="10" w:type="dxa"/>
          </w:tblCellMar>
        </w:tblPrEx>
        <w:trPr>
          <w:trHeight w:val="424" w:hRule="atLeast"/>
        </w:trPr>
        <w:tc>
          <w:tcPr>
            <w:tcW w:w="2500" w:type="pct"/>
            <w:tcMar>
              <w:left w:w="0" w:type="dxa"/>
              <w:right w:w="0" w:type="dxa"/>
            </w:tcMar>
            <w:vAlign w:val="center"/>
          </w:tcPr>
          <w:p w14:paraId="2E14186C">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住所地：</w:t>
            </w:r>
          </w:p>
        </w:tc>
        <w:tc>
          <w:tcPr>
            <w:tcW w:w="2500" w:type="pct"/>
            <w:tcMar>
              <w:left w:w="0" w:type="dxa"/>
              <w:right w:w="0" w:type="dxa"/>
            </w:tcMar>
            <w:vAlign w:val="center"/>
          </w:tcPr>
          <w:p w14:paraId="37FF4F5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住所地</w:t>
            </w:r>
          </w:p>
        </w:tc>
      </w:tr>
    </w:tbl>
    <w:p w14:paraId="282364B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根据《中华人民共和国政府采购法》《中华人民共和国民法典》等法律法规的规定，甲乙双方按照代理机构的采购结果签订本合同。</w:t>
      </w:r>
    </w:p>
    <w:p w14:paraId="7E4EC603">
      <w:pPr>
        <w:spacing w:line="560" w:lineRule="exact"/>
        <w:jc w:val="left"/>
        <w:rPr>
          <w:rFonts w:hint="eastAsia" w:asciiTheme="minorEastAsia" w:hAnsiTheme="minorEastAsia" w:cstheme="minorEastAsia"/>
          <w:b/>
          <w:bCs/>
          <w:color w:val="auto"/>
          <w:sz w:val="24"/>
          <w:highlight w:val="none"/>
          <w:lang w:eastAsia="zh-CN"/>
        </w:rPr>
      </w:pPr>
      <w:r>
        <w:rPr>
          <w:rFonts w:hint="eastAsia" w:asciiTheme="minorEastAsia" w:hAnsiTheme="minorEastAsia" w:cstheme="minorEastAsia"/>
          <w:b/>
          <w:bCs/>
          <w:color w:val="auto"/>
          <w:sz w:val="24"/>
          <w:highlight w:val="none"/>
          <w:lang w:eastAsia="zh-CN"/>
        </w:rPr>
        <w:t>一、合作内容</w:t>
      </w:r>
    </w:p>
    <w:p w14:paraId="670B862E">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本项目主要合作内容：受甲方委托，乙方协同各社区做好街道辖区内的残疾人提供专业的康复服务。</w:t>
      </w:r>
    </w:p>
    <w:p w14:paraId="54E612C2">
      <w:pPr>
        <w:spacing w:line="560" w:lineRule="exact"/>
        <w:jc w:val="left"/>
        <w:rPr>
          <w:rFonts w:hint="eastAsia" w:asciiTheme="minorEastAsia" w:hAnsiTheme="minorEastAsia" w:cstheme="minorEastAsia"/>
          <w:b/>
          <w:bCs/>
          <w:color w:val="auto"/>
          <w:sz w:val="24"/>
          <w:highlight w:val="none"/>
          <w:lang w:eastAsia="zh-CN"/>
        </w:rPr>
      </w:pPr>
      <w:r>
        <w:rPr>
          <w:rFonts w:hint="eastAsia" w:asciiTheme="minorEastAsia" w:hAnsiTheme="minorEastAsia" w:cstheme="minorEastAsia"/>
          <w:b/>
          <w:bCs/>
          <w:color w:val="auto"/>
          <w:sz w:val="24"/>
          <w:highlight w:val="none"/>
          <w:lang w:eastAsia="zh-CN"/>
        </w:rPr>
        <w:t>二、双方权利和义务</w:t>
      </w:r>
    </w:p>
    <w:p w14:paraId="64A241FA">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（一）甲方的权利和义务</w:t>
      </w:r>
    </w:p>
    <w:p w14:paraId="263FFFA0">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1.负责项目总体策划，牵头协调项目的落实和推进，对乙方给予政策、工作、场地协调等支持。帮助落实项目实施所需服务经费及各社区对应的企业资助，并督促各社区项目执行情况。</w:t>
      </w:r>
    </w:p>
    <w:p w14:paraId="451D0CBE">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2.定期组织项目季度会议，听取乙方工作情况汇报；在不影响乙方正常业务和活动开展的前提下，有权以不同方式对乙方的工作进行监督和提出建议。</w:t>
      </w:r>
    </w:p>
    <w:p w14:paraId="0A75B52F">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3.有权对按协议内容拨付给乙方的资金使用情况进行监管，并要求乙方出具项目财务报告、年度财务审计报告。</w:t>
      </w:r>
    </w:p>
    <w:p w14:paraId="134E9690">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4.邀请相关专家、资助企业等第三方，对乙方项目开展情况进行考核评估。</w:t>
      </w:r>
    </w:p>
    <w:p w14:paraId="15C698BF">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（二）乙方的权利和义务</w:t>
      </w:r>
    </w:p>
    <w:p w14:paraId="3B366D1C">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val="en-US" w:eastAsia="zh-CN"/>
        </w:rPr>
        <w:t>1.</w:t>
      </w:r>
      <w:r>
        <w:rPr>
          <w:rFonts w:hint="eastAsia" w:asciiTheme="minorEastAsia" w:hAnsiTheme="minorEastAsia" w:cstheme="minorEastAsia"/>
          <w:color w:val="auto"/>
          <w:sz w:val="24"/>
          <w:highlight w:val="none"/>
          <w:lang w:eastAsia="zh-CN"/>
        </w:rPr>
        <w:t>根据工作量，有权自主招聘具体专业水平的工作人员，且专职负责该项目运作，须为本项目配备全职康复治疗师不少于 2 名，专职负责本项目运作；所有聘用人员需完成系统专业培训，保障服务专业化高质量，负责调解项目实施过程矛盾纠纷。</w:t>
      </w:r>
    </w:p>
    <w:p w14:paraId="4BBC101A">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val="en-US" w:eastAsia="zh-CN"/>
        </w:rPr>
        <w:t>2.</w:t>
      </w:r>
      <w:r>
        <w:rPr>
          <w:rFonts w:hint="eastAsia" w:asciiTheme="minorEastAsia" w:hAnsiTheme="minorEastAsia" w:cstheme="minorEastAsia"/>
          <w:color w:val="auto"/>
          <w:sz w:val="24"/>
          <w:highlight w:val="none"/>
          <w:lang w:eastAsia="zh-CN"/>
        </w:rPr>
        <w:t>结合前期对全街道残疾人调研情况，依据残疾人自身需求、功能障碍的受损程度、居住情况综合分析结果，确保获得居家-站点精准康复训练服务不少于2</w:t>
      </w:r>
      <w:r>
        <w:rPr>
          <w:rFonts w:hint="eastAsia" w:asciiTheme="minorEastAsia" w:hAnsiTheme="minorEastAsia" w:cstheme="minorEastAsia"/>
          <w:color w:val="auto"/>
          <w:sz w:val="24"/>
          <w:highlight w:val="none"/>
          <w:lang w:val="en-US" w:eastAsia="zh-CN"/>
        </w:rPr>
        <w:t>0</w:t>
      </w:r>
      <w:r>
        <w:rPr>
          <w:rFonts w:hint="eastAsia" w:asciiTheme="minorEastAsia" w:hAnsiTheme="minorEastAsia" w:cstheme="minorEastAsia"/>
          <w:color w:val="auto"/>
          <w:sz w:val="24"/>
          <w:highlight w:val="none"/>
          <w:lang w:eastAsia="zh-CN"/>
        </w:rPr>
        <w:t>人，具体服务方式根据服务对象实际情况而定，需要开展全年2</w:t>
      </w:r>
      <w:r>
        <w:rPr>
          <w:rFonts w:hint="eastAsia" w:asciiTheme="minorEastAsia" w:hAnsiTheme="minorEastAsia" w:cstheme="minorEastAsia"/>
          <w:color w:val="auto"/>
          <w:sz w:val="24"/>
          <w:highlight w:val="none"/>
          <w:lang w:val="en-US" w:eastAsia="zh-CN"/>
        </w:rPr>
        <w:t>4</w:t>
      </w:r>
      <w:r>
        <w:rPr>
          <w:rFonts w:hint="eastAsia" w:asciiTheme="minorEastAsia" w:hAnsiTheme="minorEastAsia" w:cstheme="minorEastAsia"/>
          <w:color w:val="auto"/>
          <w:sz w:val="24"/>
          <w:highlight w:val="none"/>
          <w:lang w:eastAsia="zh-CN"/>
        </w:rPr>
        <w:t>场主题活动，活动内容有残疾人主题日活动、站点康复讲座和技能培训等服务内容。康复服务、康复主题活动均应建立相应的台账资料。</w:t>
      </w:r>
    </w:p>
    <w:p w14:paraId="7401E376">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val="en-US" w:eastAsia="zh-CN"/>
        </w:rPr>
        <w:t>3.</w:t>
      </w:r>
      <w:r>
        <w:rPr>
          <w:rFonts w:hint="eastAsia" w:asciiTheme="minorEastAsia" w:hAnsiTheme="minorEastAsia" w:cstheme="minorEastAsia"/>
          <w:color w:val="auto"/>
          <w:sz w:val="24"/>
          <w:highlight w:val="none"/>
          <w:lang w:eastAsia="zh-CN"/>
        </w:rPr>
        <w:t>负责对协议项目保持领域中的领先性和创新性，在项目执行过程中应定期主动向甲方及资助单位汇报进展情况，撰写项目报告，跟进、督促项目服务资料存档，积极配合项目检查、学习参观及项目评估工作，配合甲方开展创新项目创建工作。</w:t>
      </w:r>
    </w:p>
    <w:p w14:paraId="6477D8F2">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val="en-US" w:eastAsia="zh-CN"/>
        </w:rPr>
        <w:t>4.按照上级残联关于康复示范点绩效考评要求和</w:t>
      </w:r>
      <w:r>
        <w:rPr>
          <w:rFonts w:hint="eastAsia" w:asciiTheme="minorEastAsia" w:hAnsiTheme="minorEastAsia" w:cstheme="minorEastAsia"/>
          <w:color w:val="auto"/>
          <w:sz w:val="24"/>
          <w:highlight w:val="none"/>
          <w:lang w:eastAsia="zh-CN"/>
        </w:rPr>
        <w:t>街道将出台残疾人社区康复服务评估办法，明确考核标准，乙方配合甲方按照相应的要求打造站点。</w:t>
      </w:r>
    </w:p>
    <w:p w14:paraId="38FA0545">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val="en-US" w:eastAsia="zh-CN"/>
        </w:rPr>
        <w:t>5.</w:t>
      </w:r>
      <w:r>
        <w:rPr>
          <w:rFonts w:hint="eastAsia" w:asciiTheme="minorEastAsia" w:hAnsiTheme="minorEastAsia" w:cstheme="minorEastAsia"/>
          <w:color w:val="auto"/>
          <w:sz w:val="24"/>
          <w:highlight w:val="none"/>
          <w:lang w:eastAsia="zh-CN"/>
        </w:rPr>
        <w:t>服务对象应覆盖所有类别残疾人，上门入户的应逐个签订康复服务协议，（可参考市残联“宁残字〔2019〕63号”文件中模板），内容包括便不限于：（1）服务内容（2）服务频次（3）服务时间（4）风险告知等事项。居家入户服务的残疾人需要“一人一档”建立康复服务档案，每次入户的服务记录，应经服务实施人员与服务对象双方共同签字确认，站点服务应做好综合服务记录。</w:t>
      </w:r>
      <w:r>
        <w:rPr>
          <w:rFonts w:hint="eastAsia" w:asciiTheme="minorEastAsia" w:hAnsiTheme="minorEastAsia" w:cstheme="minorEastAsia"/>
          <w:color w:val="auto"/>
          <w:sz w:val="24"/>
          <w:highlight w:val="none"/>
          <w:lang w:val="en-US" w:eastAsia="zh-CN"/>
        </w:rPr>
        <w:t>除此外所有服务数据应在“栖小康”平台录入。</w:t>
      </w:r>
      <w:r>
        <w:rPr>
          <w:rFonts w:hint="eastAsia" w:asciiTheme="minorEastAsia" w:hAnsiTheme="minorEastAsia" w:cstheme="minorEastAsia"/>
          <w:color w:val="auto"/>
          <w:sz w:val="24"/>
          <w:highlight w:val="none"/>
          <w:lang w:eastAsia="zh-CN"/>
        </w:rPr>
        <w:t>康复档案包含精准康复手册、评估服务、康复训练、服务影像等反映康复效果的资料，结项评估时居家入户服务的残疾人需逐一汇报。</w:t>
      </w:r>
    </w:p>
    <w:p w14:paraId="22360BE3">
      <w:pPr>
        <w:spacing w:line="560" w:lineRule="exact"/>
        <w:jc w:val="left"/>
        <w:rPr>
          <w:rFonts w:hint="eastAsia" w:asciiTheme="minorEastAsia" w:hAnsiTheme="minorEastAsia" w:cstheme="minorEastAsia"/>
          <w:b/>
          <w:bCs/>
          <w:color w:val="auto"/>
          <w:sz w:val="24"/>
          <w:highlight w:val="none"/>
          <w:lang w:eastAsia="zh-CN"/>
        </w:rPr>
      </w:pPr>
      <w:r>
        <w:rPr>
          <w:rFonts w:hint="eastAsia" w:asciiTheme="minorEastAsia" w:hAnsiTheme="minorEastAsia" w:cstheme="minorEastAsia"/>
          <w:b/>
          <w:bCs/>
          <w:color w:val="auto"/>
          <w:sz w:val="24"/>
          <w:highlight w:val="none"/>
          <w:lang w:eastAsia="zh-CN"/>
        </w:rPr>
        <w:t>三、合作经费</w:t>
      </w:r>
    </w:p>
    <w:p w14:paraId="5B6CEAB6">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1.费用核算：全年按居家康复、站点康复、康复台账、社区活动、以及站点内医疗消耗品等杂费，每年项目费用合计人民币</w:t>
      </w:r>
      <w:r>
        <w:rPr>
          <w:rFonts w:hint="eastAsia" w:asciiTheme="minorEastAsia" w:hAnsiTheme="minorEastAsia" w:cstheme="minorEastAsia"/>
          <w:color w:val="auto"/>
          <w:sz w:val="24"/>
          <w:highlight w:val="none"/>
          <w:u w:val="single"/>
          <w:lang w:val="en-US" w:eastAsia="zh-CN"/>
        </w:rPr>
        <w:t xml:space="preserve">        </w:t>
      </w:r>
      <w:r>
        <w:rPr>
          <w:rFonts w:hint="eastAsia" w:asciiTheme="minorEastAsia" w:hAnsiTheme="minorEastAsia" w:cstheme="minorEastAsia"/>
          <w:color w:val="auto"/>
          <w:sz w:val="24"/>
          <w:highlight w:val="none"/>
          <w:u w:val="none"/>
          <w:lang w:val="en-US" w:eastAsia="zh-CN"/>
        </w:rPr>
        <w:t>万</w:t>
      </w:r>
      <w:r>
        <w:rPr>
          <w:rFonts w:hint="eastAsia" w:asciiTheme="minorEastAsia" w:hAnsiTheme="minorEastAsia" w:cstheme="minorEastAsia"/>
          <w:color w:val="auto"/>
          <w:sz w:val="24"/>
          <w:highlight w:val="none"/>
          <w:lang w:eastAsia="zh-CN"/>
        </w:rPr>
        <w:t>圆整(￥</w:t>
      </w:r>
      <w:r>
        <w:rPr>
          <w:rFonts w:hint="eastAsia" w:asciiTheme="minorEastAsia" w:hAnsiTheme="minorEastAsia" w:cstheme="minorEastAsia"/>
          <w:color w:val="auto"/>
          <w:sz w:val="24"/>
          <w:highlight w:val="none"/>
          <w:u w:val="single"/>
          <w:lang w:val="en-US" w:eastAsia="zh-CN"/>
        </w:rPr>
        <w:t xml:space="preserve">     </w:t>
      </w:r>
      <w:r>
        <w:rPr>
          <w:rFonts w:hint="eastAsia" w:asciiTheme="minorEastAsia" w:hAnsiTheme="minorEastAsia" w:cstheme="minorEastAsia"/>
          <w:color w:val="auto"/>
          <w:sz w:val="24"/>
          <w:highlight w:val="none"/>
          <w:lang w:eastAsia="zh-CN"/>
        </w:rPr>
        <w:t>元），</w:t>
      </w:r>
      <w:r>
        <w:rPr>
          <w:rFonts w:hint="eastAsia" w:asciiTheme="minorEastAsia" w:hAnsiTheme="minorEastAsia" w:cstheme="minorEastAsia"/>
          <w:color w:val="auto"/>
          <w:sz w:val="24"/>
          <w:highlight w:val="none"/>
          <w:lang w:val="en-US" w:eastAsia="zh-CN"/>
        </w:rPr>
        <w:t>三年费用合计人民币</w:t>
      </w:r>
      <w:r>
        <w:rPr>
          <w:rFonts w:hint="eastAsia" w:asciiTheme="minorEastAsia" w:hAnsiTheme="minorEastAsia" w:cstheme="minorEastAsia"/>
          <w:color w:val="auto"/>
          <w:sz w:val="24"/>
          <w:highlight w:val="none"/>
          <w:u w:val="single"/>
          <w:lang w:val="en-US" w:eastAsia="zh-CN"/>
        </w:rPr>
        <w:t xml:space="preserve">      </w:t>
      </w:r>
      <w:r>
        <w:rPr>
          <w:rFonts w:hint="eastAsia" w:asciiTheme="minorEastAsia" w:hAnsiTheme="minorEastAsia" w:cstheme="minorEastAsia"/>
          <w:color w:val="auto"/>
          <w:sz w:val="24"/>
          <w:highlight w:val="none"/>
          <w:lang w:val="en-US" w:eastAsia="zh-CN"/>
        </w:rPr>
        <w:t>万圆整（</w:t>
      </w: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u w:val="single"/>
          <w:lang w:val="en-US" w:eastAsia="zh-CN"/>
        </w:rPr>
        <w:t xml:space="preserve">       </w:t>
      </w:r>
      <w:r>
        <w:rPr>
          <w:rFonts w:hint="eastAsia" w:asciiTheme="minorEastAsia" w:hAnsiTheme="minorEastAsia" w:cstheme="minorEastAsia"/>
          <w:color w:val="auto"/>
          <w:sz w:val="24"/>
          <w:highlight w:val="none"/>
          <w:lang w:eastAsia="zh-CN"/>
        </w:rPr>
        <w:t>元</w:t>
      </w:r>
      <w:r>
        <w:rPr>
          <w:rFonts w:hint="eastAsia" w:asciiTheme="minorEastAsia" w:hAnsiTheme="minorEastAsia" w:cstheme="minorEastAsia"/>
          <w:color w:val="auto"/>
          <w:sz w:val="24"/>
          <w:highlight w:val="none"/>
          <w:lang w:val="en-US" w:eastAsia="zh-CN"/>
        </w:rPr>
        <w:t>）</w:t>
      </w:r>
      <w:r>
        <w:rPr>
          <w:rFonts w:hint="eastAsia" w:asciiTheme="minorEastAsia" w:hAnsiTheme="minorEastAsia" w:cstheme="minorEastAsia"/>
          <w:color w:val="auto"/>
          <w:sz w:val="24"/>
          <w:highlight w:val="none"/>
          <w:lang w:eastAsia="zh-CN"/>
        </w:rPr>
        <w:t>。</w:t>
      </w:r>
    </w:p>
    <w:p w14:paraId="75E943CE">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2.</w:t>
      </w:r>
      <w:r>
        <w:rPr>
          <w:rFonts w:hint="eastAsia" w:asciiTheme="minorEastAsia" w:hAnsiTheme="minorEastAsia" w:cstheme="minorEastAsia"/>
          <w:color w:val="auto"/>
          <w:sz w:val="24"/>
          <w:highlight w:val="none"/>
          <w:lang w:val="en-US" w:eastAsia="zh-CN"/>
        </w:rPr>
        <w:t>合同付款</w:t>
      </w:r>
      <w:r>
        <w:rPr>
          <w:rFonts w:hint="eastAsia" w:asciiTheme="minorEastAsia" w:hAnsiTheme="minorEastAsia" w:cstheme="minorEastAsia"/>
          <w:color w:val="auto"/>
          <w:sz w:val="24"/>
          <w:highlight w:val="none"/>
          <w:lang w:eastAsia="zh-CN"/>
        </w:rPr>
        <w:t>方式：本项目按照政府购买服务相关制度文件规定执行，服务周期为三年，按年度分三次支付当年度服务费用，每年度付款流程一致，具体付款节点及比例如下：</w:t>
      </w:r>
    </w:p>
    <w:p w14:paraId="472BA69E">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lang w:val="en-US" w:eastAsia="zh-CN"/>
        </w:rPr>
        <w:t>1</w:t>
      </w:r>
      <w:r>
        <w:rPr>
          <w:rFonts w:hint="eastAsia" w:asciiTheme="minorEastAsia" w:hAnsiTheme="minorEastAsia" w:cstheme="minorEastAsia"/>
          <w:color w:val="auto"/>
          <w:sz w:val="24"/>
          <w:highlight w:val="none"/>
          <w:lang w:eastAsia="zh-CN"/>
        </w:rPr>
        <w:t>）首次付款：合同签订之日起15个工作日内，</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lang w:eastAsia="zh-CN"/>
        </w:rPr>
        <w:t>向</w:t>
      </w:r>
      <w:r>
        <w:rPr>
          <w:rFonts w:hint="eastAsia" w:asciiTheme="minorEastAsia" w:hAnsiTheme="minorEastAsia" w:cstheme="minorEastAsia"/>
          <w:color w:val="auto"/>
          <w:sz w:val="24"/>
          <w:highlight w:val="none"/>
          <w:lang w:val="en-US" w:eastAsia="zh-CN"/>
        </w:rPr>
        <w:t>乙方</w:t>
      </w:r>
      <w:r>
        <w:rPr>
          <w:rFonts w:hint="eastAsia" w:asciiTheme="minorEastAsia" w:hAnsiTheme="minorEastAsia" w:cstheme="minorEastAsia"/>
          <w:color w:val="auto"/>
          <w:sz w:val="24"/>
          <w:highlight w:val="none"/>
          <w:lang w:eastAsia="zh-CN"/>
        </w:rPr>
        <w:t>支付当年度服务费用总额的40%；</w:t>
      </w:r>
    </w:p>
    <w:p w14:paraId="140CB788">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lang w:val="en-US" w:eastAsia="zh-CN"/>
        </w:rPr>
        <w:t>2</w:t>
      </w:r>
      <w:r>
        <w:rPr>
          <w:rFonts w:hint="eastAsia" w:asciiTheme="minorEastAsia" w:hAnsiTheme="minorEastAsia" w:cstheme="minorEastAsia"/>
          <w:color w:val="auto"/>
          <w:sz w:val="24"/>
          <w:highlight w:val="none"/>
          <w:lang w:eastAsia="zh-CN"/>
        </w:rPr>
        <w:t>）第二次付款：合同签订满半年之日起，</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lang w:eastAsia="zh-CN"/>
        </w:rPr>
        <w:t>向</w:t>
      </w:r>
      <w:r>
        <w:rPr>
          <w:rFonts w:hint="eastAsia" w:asciiTheme="minorEastAsia" w:hAnsiTheme="minorEastAsia" w:cstheme="minorEastAsia"/>
          <w:color w:val="auto"/>
          <w:sz w:val="24"/>
          <w:highlight w:val="none"/>
          <w:lang w:val="en-US" w:eastAsia="zh-CN"/>
        </w:rPr>
        <w:t>乙方</w:t>
      </w:r>
      <w:r>
        <w:rPr>
          <w:rFonts w:hint="eastAsia" w:asciiTheme="minorEastAsia" w:hAnsiTheme="minorEastAsia" w:cstheme="minorEastAsia"/>
          <w:color w:val="auto"/>
          <w:sz w:val="24"/>
          <w:highlight w:val="none"/>
          <w:lang w:eastAsia="zh-CN"/>
        </w:rPr>
        <w:t>支付当年度服务费用总额的30%；</w:t>
      </w:r>
    </w:p>
    <w:p w14:paraId="68111A85">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lang w:val="en-US" w:eastAsia="zh-CN"/>
        </w:rPr>
        <w:t>3</w:t>
      </w:r>
      <w:r>
        <w:rPr>
          <w:rFonts w:hint="eastAsia" w:asciiTheme="minorEastAsia" w:hAnsiTheme="minorEastAsia" w:cstheme="minorEastAsia"/>
          <w:color w:val="auto"/>
          <w:sz w:val="24"/>
          <w:highlight w:val="none"/>
          <w:lang w:eastAsia="zh-CN"/>
        </w:rPr>
        <w:t>）第三次付款：当年度服务期满，经</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lang w:eastAsia="zh-CN"/>
        </w:rPr>
        <w:t>考核评估合格后，支付当年度服务费用剩余30%尾款。</w:t>
      </w:r>
    </w:p>
    <w:p w14:paraId="461D0818">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本付款方式按上述标准逐年执行，直至三年服务周期全部履约完毕。若年度服务考核不合格，</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lang w:eastAsia="zh-CN"/>
        </w:rPr>
        <w:t>有权根据考核结果暂缓付款、扣除相应款项或要求供应商限期整改，整改合格后按规定支付尾款。</w:t>
      </w:r>
    </w:p>
    <w:p w14:paraId="2D21E177">
      <w:pPr>
        <w:spacing w:line="560" w:lineRule="exact"/>
        <w:jc w:val="left"/>
        <w:rPr>
          <w:rFonts w:hint="eastAsia" w:asciiTheme="minorEastAsia" w:hAnsiTheme="minorEastAsia" w:cstheme="minorEastAsia"/>
          <w:b/>
          <w:bCs/>
          <w:color w:val="auto"/>
          <w:sz w:val="24"/>
          <w:highlight w:val="none"/>
          <w:lang w:eastAsia="zh-CN"/>
        </w:rPr>
      </w:pPr>
      <w:r>
        <w:rPr>
          <w:rFonts w:hint="eastAsia" w:asciiTheme="minorEastAsia" w:hAnsiTheme="minorEastAsia" w:cstheme="minorEastAsia"/>
          <w:b/>
          <w:bCs/>
          <w:color w:val="auto"/>
          <w:sz w:val="24"/>
          <w:highlight w:val="none"/>
          <w:lang w:eastAsia="zh-CN"/>
        </w:rPr>
        <w:t>四、协议生效</w:t>
      </w:r>
    </w:p>
    <w:p w14:paraId="110C25AC">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1.协议有效期</w:t>
      </w:r>
      <w:r>
        <w:rPr>
          <w:rFonts w:hint="eastAsia" w:asciiTheme="minorEastAsia" w:hAnsiTheme="minorEastAsia" w:cstheme="minorEastAsia"/>
          <w:color w:val="auto"/>
          <w:sz w:val="24"/>
          <w:highlight w:val="none"/>
          <w:lang w:val="en-US" w:eastAsia="zh-CN"/>
        </w:rPr>
        <w:t>36</w:t>
      </w:r>
      <w:r>
        <w:rPr>
          <w:rFonts w:hint="eastAsia" w:asciiTheme="minorEastAsia" w:hAnsiTheme="minorEastAsia" w:cstheme="minorEastAsia"/>
          <w:color w:val="auto"/>
          <w:sz w:val="24"/>
          <w:highlight w:val="none"/>
          <w:lang w:eastAsia="zh-CN"/>
        </w:rPr>
        <w:t>个月，自202</w:t>
      </w:r>
      <w:r>
        <w:rPr>
          <w:rFonts w:hint="eastAsia" w:asciiTheme="minorEastAsia" w:hAnsiTheme="minorEastAsia" w:cstheme="minorEastAsia"/>
          <w:color w:val="auto"/>
          <w:sz w:val="24"/>
          <w:highlight w:val="none"/>
          <w:lang w:val="en-US" w:eastAsia="zh-CN"/>
        </w:rPr>
        <w:t>6</w:t>
      </w:r>
      <w:r>
        <w:rPr>
          <w:rFonts w:hint="eastAsia" w:asciiTheme="minorEastAsia" w:hAnsiTheme="minorEastAsia" w:cstheme="minorEastAsia"/>
          <w:color w:val="auto"/>
          <w:sz w:val="24"/>
          <w:highlight w:val="none"/>
          <w:lang w:eastAsia="zh-CN"/>
        </w:rPr>
        <w:t>年</w:t>
      </w:r>
      <w:r>
        <w:rPr>
          <w:rFonts w:hint="eastAsia" w:asciiTheme="minorEastAsia" w:hAnsiTheme="minorEastAsia" w:cstheme="minorEastAsia"/>
          <w:color w:val="auto"/>
          <w:sz w:val="24"/>
          <w:highlight w:val="none"/>
          <w:lang w:val="en-US" w:eastAsia="zh-CN"/>
        </w:rPr>
        <w:t>10</w:t>
      </w:r>
      <w:r>
        <w:rPr>
          <w:rFonts w:hint="eastAsia" w:asciiTheme="minorEastAsia" w:hAnsiTheme="minorEastAsia" w:cstheme="minorEastAsia"/>
          <w:color w:val="auto"/>
          <w:sz w:val="24"/>
          <w:highlight w:val="none"/>
          <w:lang w:eastAsia="zh-CN"/>
        </w:rPr>
        <w:t>月</w:t>
      </w:r>
      <w:r>
        <w:rPr>
          <w:rFonts w:hint="eastAsia" w:asciiTheme="minorEastAsia" w:hAnsiTheme="minorEastAsia" w:cstheme="minorEastAsia"/>
          <w:color w:val="auto"/>
          <w:sz w:val="24"/>
          <w:highlight w:val="none"/>
          <w:lang w:val="en-US" w:eastAsia="zh-CN"/>
        </w:rPr>
        <w:t xml:space="preserve">  </w:t>
      </w:r>
      <w:r>
        <w:rPr>
          <w:rFonts w:hint="eastAsia" w:asciiTheme="minorEastAsia" w:hAnsiTheme="minorEastAsia" w:cstheme="minorEastAsia"/>
          <w:color w:val="auto"/>
          <w:sz w:val="24"/>
          <w:highlight w:val="none"/>
          <w:lang w:eastAsia="zh-CN"/>
        </w:rPr>
        <w:t>日起至202</w:t>
      </w:r>
      <w:r>
        <w:rPr>
          <w:rFonts w:hint="eastAsia" w:asciiTheme="minorEastAsia" w:hAnsiTheme="minorEastAsia" w:cstheme="minorEastAsia"/>
          <w:color w:val="auto"/>
          <w:sz w:val="24"/>
          <w:highlight w:val="none"/>
          <w:lang w:val="en-US" w:eastAsia="zh-CN"/>
        </w:rPr>
        <w:t>9</w:t>
      </w:r>
      <w:r>
        <w:rPr>
          <w:rFonts w:hint="eastAsia" w:asciiTheme="minorEastAsia" w:hAnsiTheme="minorEastAsia" w:cstheme="minorEastAsia"/>
          <w:color w:val="auto"/>
          <w:sz w:val="24"/>
          <w:highlight w:val="none"/>
          <w:lang w:eastAsia="zh-CN"/>
        </w:rPr>
        <w:t>年</w:t>
      </w:r>
      <w:r>
        <w:rPr>
          <w:rFonts w:hint="eastAsia" w:asciiTheme="minorEastAsia" w:hAnsiTheme="minorEastAsia" w:cstheme="minorEastAsia"/>
          <w:color w:val="auto"/>
          <w:sz w:val="24"/>
          <w:highlight w:val="none"/>
          <w:lang w:val="en-US" w:eastAsia="zh-CN"/>
        </w:rPr>
        <w:t>10</w:t>
      </w:r>
      <w:r>
        <w:rPr>
          <w:rFonts w:hint="eastAsia" w:asciiTheme="minorEastAsia" w:hAnsiTheme="minorEastAsia" w:cstheme="minorEastAsia"/>
          <w:color w:val="auto"/>
          <w:sz w:val="24"/>
          <w:highlight w:val="none"/>
          <w:lang w:eastAsia="zh-CN"/>
        </w:rPr>
        <w:t>月</w:t>
      </w:r>
      <w:r>
        <w:rPr>
          <w:rFonts w:hint="eastAsia" w:asciiTheme="minorEastAsia" w:hAnsiTheme="minorEastAsia" w:cstheme="minorEastAsia"/>
          <w:color w:val="auto"/>
          <w:sz w:val="24"/>
          <w:highlight w:val="none"/>
          <w:lang w:val="en-US" w:eastAsia="zh-CN"/>
        </w:rPr>
        <w:t xml:space="preserve">  </w:t>
      </w:r>
      <w:r>
        <w:rPr>
          <w:rFonts w:hint="eastAsia" w:asciiTheme="minorEastAsia" w:hAnsiTheme="minorEastAsia" w:cstheme="minorEastAsia"/>
          <w:color w:val="auto"/>
          <w:sz w:val="24"/>
          <w:highlight w:val="none"/>
          <w:lang w:eastAsia="zh-CN"/>
        </w:rPr>
        <w:t>日止，经双方签字盖章之日起生效。如因不可抗力因素，导致残疾人社区康复服务暂停，合同自暂停之日起顺延，费用不增加。</w:t>
      </w:r>
    </w:p>
    <w:p w14:paraId="478CF06E">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2.协议一式两份，甲乙双方各执一份，具有同等的法律效力。</w:t>
      </w:r>
    </w:p>
    <w:p w14:paraId="0E77BBB0">
      <w:pPr>
        <w:spacing w:line="560" w:lineRule="exact"/>
        <w:jc w:val="left"/>
        <w:rPr>
          <w:rFonts w:hint="eastAsia" w:asciiTheme="minorEastAsia" w:hAnsiTheme="minorEastAsia" w:cstheme="minorEastAsia"/>
          <w:b/>
          <w:bCs/>
          <w:color w:val="auto"/>
          <w:sz w:val="24"/>
          <w:highlight w:val="none"/>
          <w:lang w:eastAsia="zh-CN"/>
        </w:rPr>
      </w:pPr>
      <w:r>
        <w:rPr>
          <w:rFonts w:hint="eastAsia" w:asciiTheme="minorEastAsia" w:hAnsiTheme="minorEastAsia" w:cstheme="minorEastAsia"/>
          <w:b/>
          <w:bCs/>
          <w:color w:val="auto"/>
          <w:sz w:val="24"/>
          <w:highlight w:val="none"/>
          <w:lang w:eastAsia="zh-CN"/>
        </w:rPr>
        <w:t>五、协议终止与解除</w:t>
      </w:r>
    </w:p>
    <w:p w14:paraId="56A8DDA1">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1.协议时间到期，协议自动终止。</w:t>
      </w:r>
    </w:p>
    <w:p w14:paraId="5C5FADDC">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2.协议期间，在严格执行此协议的前提下，双方任何一方不得单方面解除合同（不可抗力因素除外）；如遇上级规章政策变化致使协议内容不再适用，双方经协商一致，可对本协议进行修改、调整。</w:t>
      </w:r>
    </w:p>
    <w:p w14:paraId="3FA8B2D2">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3.协议期内，乙方因不能达到协议承诺的工作成效，且在甲方委托的第三方评估中不达标的，甲方有权单方解除协议并扣除项目总金额的15%。</w:t>
      </w:r>
    </w:p>
    <w:p w14:paraId="5D099051">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4.乙方违背项目宗旨从事其他违法活动及发生服务对象有投诉事件，经查实为乙方责任的，甲方有权单方解除协议；甲方未按协议约定支付项目费用的，乙方有权单方解除协议，必要时双方可通过法律程序解决。</w:t>
      </w:r>
    </w:p>
    <w:p w14:paraId="6CDF9EAB">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5.甲乙双方任何一方如果没有按照本协议的约定履行责任义务，属于违约行为；另一方有权要求违约方承担相应的违约责任。双方都违约的，由各自承担违约责任。</w:t>
      </w:r>
    </w:p>
    <w:p w14:paraId="2E281601">
      <w:pPr>
        <w:spacing w:line="560" w:lineRule="exact"/>
        <w:jc w:val="left"/>
        <w:rPr>
          <w:rFonts w:hint="eastAsia" w:asciiTheme="minorEastAsia" w:hAnsi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6.双方因履行本协议发生争议的，应本着友好合作的目的协商解决，协商未达成一致的，双方均有权向当地人民法院提起诉讼。</w:t>
      </w:r>
    </w:p>
    <w:tbl>
      <w:tblPr>
        <w:tblStyle w:val="19"/>
        <w:tblW w:w="5000" w:type="pct"/>
        <w:tblInd w:w="0" w:type="dxa"/>
        <w:tblLayout w:type="autofit"/>
        <w:tblCellMar>
          <w:top w:w="0" w:type="dxa"/>
          <w:left w:w="10" w:type="dxa"/>
          <w:bottom w:w="0" w:type="dxa"/>
          <w:right w:w="10" w:type="dxa"/>
        </w:tblCellMar>
      </w:tblPr>
      <w:tblGrid>
        <w:gridCol w:w="4870"/>
        <w:gridCol w:w="4870"/>
      </w:tblGrid>
      <w:tr w14:paraId="0C3AD169">
        <w:tblPrEx>
          <w:tblCellMar>
            <w:top w:w="0" w:type="dxa"/>
            <w:left w:w="10" w:type="dxa"/>
            <w:bottom w:w="0" w:type="dxa"/>
            <w:right w:w="10" w:type="dxa"/>
          </w:tblCellMar>
        </w:tblPrEx>
        <w:trPr>
          <w:trHeight w:val="464" w:hRule="atLeast"/>
        </w:trPr>
        <w:tc>
          <w:tcPr>
            <w:tcW w:w="2500" w:type="pct"/>
            <w:tcMar>
              <w:left w:w="0" w:type="dxa"/>
              <w:right w:w="0" w:type="dxa"/>
            </w:tcMar>
            <w:vAlign w:val="center"/>
          </w:tcPr>
          <w:p w14:paraId="51A8B78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甲方（采购人）：（盖章）</w:t>
            </w:r>
          </w:p>
        </w:tc>
        <w:tc>
          <w:tcPr>
            <w:tcW w:w="2500" w:type="pct"/>
            <w:tcMar>
              <w:left w:w="0" w:type="dxa"/>
              <w:right w:w="0" w:type="dxa"/>
            </w:tcMar>
            <w:vAlign w:val="center"/>
          </w:tcPr>
          <w:p w14:paraId="6C80488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乙方（供应商）：（盖章）</w:t>
            </w:r>
          </w:p>
        </w:tc>
      </w:tr>
      <w:tr w14:paraId="005C205C">
        <w:tblPrEx>
          <w:tblCellMar>
            <w:top w:w="0" w:type="dxa"/>
            <w:left w:w="10" w:type="dxa"/>
            <w:bottom w:w="0" w:type="dxa"/>
            <w:right w:w="10" w:type="dxa"/>
          </w:tblCellMar>
        </w:tblPrEx>
        <w:trPr>
          <w:trHeight w:val="415" w:hRule="atLeast"/>
        </w:trPr>
        <w:tc>
          <w:tcPr>
            <w:tcW w:w="2500" w:type="pct"/>
            <w:tcMar>
              <w:left w:w="0" w:type="dxa"/>
              <w:right w:w="0" w:type="dxa"/>
            </w:tcMar>
            <w:vAlign w:val="center"/>
          </w:tcPr>
          <w:p w14:paraId="5CE1A0C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代表人：</w:t>
            </w:r>
          </w:p>
        </w:tc>
        <w:tc>
          <w:tcPr>
            <w:tcW w:w="2500" w:type="pct"/>
            <w:tcMar>
              <w:left w:w="0" w:type="dxa"/>
              <w:right w:w="0" w:type="dxa"/>
            </w:tcMar>
            <w:vAlign w:val="center"/>
          </w:tcPr>
          <w:p w14:paraId="1A870409">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代表人：</w:t>
            </w:r>
          </w:p>
        </w:tc>
      </w:tr>
      <w:tr w14:paraId="3ED89834">
        <w:tblPrEx>
          <w:tblCellMar>
            <w:top w:w="0" w:type="dxa"/>
            <w:left w:w="10" w:type="dxa"/>
            <w:bottom w:w="0" w:type="dxa"/>
            <w:right w:w="10" w:type="dxa"/>
          </w:tblCellMar>
        </w:tblPrEx>
        <w:trPr>
          <w:trHeight w:val="421" w:hRule="atLeast"/>
        </w:trPr>
        <w:tc>
          <w:tcPr>
            <w:tcW w:w="2500" w:type="pct"/>
            <w:tcMar>
              <w:left w:w="0" w:type="dxa"/>
              <w:right w:w="0" w:type="dxa"/>
            </w:tcMar>
            <w:vAlign w:val="center"/>
          </w:tcPr>
          <w:p w14:paraId="3B05CC2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电    话：</w:t>
            </w:r>
          </w:p>
        </w:tc>
        <w:tc>
          <w:tcPr>
            <w:tcW w:w="2500" w:type="pct"/>
            <w:tcMar>
              <w:left w:w="0" w:type="dxa"/>
              <w:right w:w="0" w:type="dxa"/>
            </w:tcMar>
            <w:vAlign w:val="center"/>
          </w:tcPr>
          <w:p w14:paraId="76F180E4">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电    话：</w:t>
            </w:r>
          </w:p>
        </w:tc>
      </w:tr>
      <w:tr w14:paraId="222B6B74">
        <w:tblPrEx>
          <w:tblCellMar>
            <w:top w:w="0" w:type="dxa"/>
            <w:left w:w="10" w:type="dxa"/>
            <w:bottom w:w="0" w:type="dxa"/>
            <w:right w:w="10" w:type="dxa"/>
          </w:tblCellMar>
        </w:tblPrEx>
        <w:trPr>
          <w:trHeight w:val="427" w:hRule="atLeast"/>
        </w:trPr>
        <w:tc>
          <w:tcPr>
            <w:tcW w:w="2500" w:type="pct"/>
            <w:tcMar>
              <w:left w:w="0" w:type="dxa"/>
              <w:right w:w="0" w:type="dxa"/>
            </w:tcMar>
            <w:vAlign w:val="center"/>
          </w:tcPr>
          <w:p w14:paraId="3F031EF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开户银行：</w:t>
            </w:r>
          </w:p>
        </w:tc>
        <w:tc>
          <w:tcPr>
            <w:tcW w:w="2500" w:type="pct"/>
            <w:tcMar>
              <w:left w:w="0" w:type="dxa"/>
              <w:right w:w="0" w:type="dxa"/>
            </w:tcMar>
            <w:vAlign w:val="center"/>
          </w:tcPr>
          <w:p w14:paraId="5210A6F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开户银行：</w:t>
            </w:r>
          </w:p>
        </w:tc>
      </w:tr>
      <w:tr w14:paraId="098793E4">
        <w:tblPrEx>
          <w:tblCellMar>
            <w:top w:w="0" w:type="dxa"/>
            <w:left w:w="10" w:type="dxa"/>
            <w:bottom w:w="0" w:type="dxa"/>
            <w:right w:w="10" w:type="dxa"/>
          </w:tblCellMar>
        </w:tblPrEx>
        <w:trPr>
          <w:trHeight w:val="432" w:hRule="atLeast"/>
        </w:trPr>
        <w:tc>
          <w:tcPr>
            <w:tcW w:w="2500" w:type="pct"/>
            <w:tcMar>
              <w:left w:w="0" w:type="dxa"/>
              <w:right w:w="0" w:type="dxa"/>
            </w:tcMar>
            <w:vAlign w:val="center"/>
          </w:tcPr>
          <w:p w14:paraId="36529794">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p>
        </w:tc>
        <w:tc>
          <w:tcPr>
            <w:tcW w:w="2500" w:type="pct"/>
            <w:tcMar>
              <w:left w:w="0" w:type="dxa"/>
              <w:right w:w="0" w:type="dxa"/>
            </w:tcMar>
            <w:vAlign w:val="center"/>
          </w:tcPr>
          <w:p w14:paraId="4DA37C4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p>
        </w:tc>
      </w:tr>
    </w:tbl>
    <w:p w14:paraId="04E0CDF3">
      <w:pPr>
        <w:spacing w:line="560" w:lineRule="exact"/>
        <w:jc w:val="left"/>
        <w:rPr>
          <w:rFonts w:asciiTheme="minorEastAsia" w:hAnsiTheme="minorEastAsia" w:cstheme="minorEastAsia"/>
          <w:color w:val="auto"/>
          <w:sz w:val="24"/>
          <w:highlight w:val="none"/>
        </w:rPr>
      </w:pPr>
    </w:p>
    <w:p w14:paraId="54A2B6CE">
      <w:pPr>
        <w:rPr>
          <w:color w:val="auto"/>
          <w:highlight w:val="none"/>
        </w:rPr>
      </w:pPr>
    </w:p>
    <w:p w14:paraId="47CBFAD2">
      <w:pPr>
        <w:pStyle w:val="2"/>
        <w:spacing w:before="312" w:beforeLines="100" w:after="312" w:afterLines="100" w:line="560" w:lineRule="exact"/>
        <w:jc w:val="center"/>
        <w:rPr>
          <w:rFonts w:ascii="宋体" w:hAnsi="宋体" w:eastAsia="宋体" w:cs="宋体"/>
          <w:color w:val="auto"/>
          <w:highlight w:val="none"/>
        </w:rPr>
      </w:pPr>
      <w:r>
        <w:rPr>
          <w:rFonts w:ascii="宋体" w:hAnsi="宋体" w:cs="宋体"/>
          <w:color w:val="auto"/>
          <w:highlight w:val="none"/>
          <w:lang w:val="zh-CN"/>
        </w:rPr>
        <w:br w:type="page"/>
      </w:r>
      <w:bookmarkEnd w:id="15"/>
      <w:bookmarkStart w:id="16" w:name="_Toc17041"/>
      <w:bookmarkStart w:id="17" w:name="_Toc29724"/>
      <w:bookmarkStart w:id="18" w:name="_Toc12597"/>
      <w:r>
        <w:rPr>
          <w:rFonts w:hint="eastAsia" w:ascii="宋体" w:hAnsi="宋体" w:eastAsia="宋体" w:cs="宋体"/>
          <w:color w:val="auto"/>
          <w:highlight w:val="none"/>
        </w:rPr>
        <w:t>第六章 响应文件格式及附件</w:t>
      </w:r>
      <w:bookmarkEnd w:id="16"/>
      <w:bookmarkEnd w:id="17"/>
      <w:bookmarkEnd w:id="18"/>
    </w:p>
    <w:p w14:paraId="09F300DA">
      <w:pPr>
        <w:spacing w:line="560" w:lineRule="exact"/>
        <w:ind w:firstLine="723" w:firstLineChars="200"/>
        <w:rPr>
          <w:rFonts w:ascii="宋体" w:hAnsi="宋体" w:eastAsia="宋体" w:cs="宋体"/>
          <w:b/>
          <w:color w:val="auto"/>
          <w:sz w:val="36"/>
          <w:szCs w:val="36"/>
          <w:highlight w:val="none"/>
        </w:rPr>
      </w:pPr>
    </w:p>
    <w:p w14:paraId="65EEDAA2">
      <w:pPr>
        <w:spacing w:line="560" w:lineRule="exact"/>
        <w:ind w:firstLine="723" w:firstLineChars="200"/>
        <w:rPr>
          <w:rFonts w:ascii="宋体" w:hAnsi="宋体" w:eastAsia="宋体" w:cs="宋体"/>
          <w:b/>
          <w:color w:val="auto"/>
          <w:sz w:val="36"/>
          <w:szCs w:val="36"/>
          <w:highlight w:val="none"/>
        </w:rPr>
      </w:pPr>
    </w:p>
    <w:p w14:paraId="3C05E6DB">
      <w:pPr>
        <w:spacing w:line="560" w:lineRule="exact"/>
        <w:ind w:firstLine="723" w:firstLineChars="200"/>
        <w:rPr>
          <w:rFonts w:ascii="宋体" w:hAnsi="宋体" w:eastAsia="宋体" w:cs="宋体"/>
          <w:b/>
          <w:color w:val="auto"/>
          <w:sz w:val="36"/>
          <w:szCs w:val="36"/>
          <w:highlight w:val="none"/>
        </w:rPr>
      </w:pPr>
    </w:p>
    <w:p w14:paraId="51C28768">
      <w:pPr>
        <w:spacing w:line="560" w:lineRule="exact"/>
        <w:ind w:firstLine="723" w:firstLineChars="200"/>
        <w:rPr>
          <w:rFonts w:ascii="宋体" w:hAnsi="宋体" w:eastAsia="宋体" w:cs="宋体"/>
          <w:b/>
          <w:color w:val="auto"/>
          <w:sz w:val="36"/>
          <w:szCs w:val="36"/>
          <w:highlight w:val="none"/>
        </w:rPr>
      </w:pPr>
    </w:p>
    <w:p w14:paraId="4BFEB3B5">
      <w:pPr>
        <w:spacing w:line="1000" w:lineRule="exact"/>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响  应  文  件</w:t>
      </w:r>
    </w:p>
    <w:p w14:paraId="1AABB167">
      <w:pPr>
        <w:spacing w:line="560" w:lineRule="exact"/>
        <w:ind w:firstLine="723" w:firstLineChars="200"/>
        <w:rPr>
          <w:rFonts w:ascii="宋体" w:hAnsi="宋体" w:eastAsia="宋体" w:cs="宋体"/>
          <w:b/>
          <w:color w:val="auto"/>
          <w:sz w:val="36"/>
          <w:highlight w:val="none"/>
        </w:rPr>
      </w:pPr>
    </w:p>
    <w:p w14:paraId="62205BF5">
      <w:pPr>
        <w:spacing w:line="560" w:lineRule="exact"/>
        <w:ind w:firstLine="723" w:firstLineChars="200"/>
        <w:rPr>
          <w:rFonts w:ascii="宋体" w:hAnsi="宋体" w:eastAsia="宋体" w:cs="宋体"/>
          <w:b/>
          <w:color w:val="auto"/>
          <w:sz w:val="36"/>
          <w:highlight w:val="none"/>
        </w:rPr>
      </w:pPr>
    </w:p>
    <w:p w14:paraId="49195F55">
      <w:pPr>
        <w:spacing w:line="560" w:lineRule="exact"/>
        <w:ind w:firstLine="723" w:firstLineChars="200"/>
        <w:rPr>
          <w:rFonts w:ascii="宋体" w:hAnsi="宋体" w:eastAsia="宋体" w:cs="宋体"/>
          <w:b/>
          <w:color w:val="auto"/>
          <w:sz w:val="36"/>
          <w:highlight w:val="none"/>
        </w:rPr>
      </w:pPr>
    </w:p>
    <w:p w14:paraId="715C3829">
      <w:pPr>
        <w:spacing w:line="560" w:lineRule="exact"/>
        <w:rPr>
          <w:rFonts w:ascii="宋体" w:hAnsi="宋体" w:eastAsia="宋体" w:cs="宋体"/>
          <w:b/>
          <w:color w:val="auto"/>
          <w:sz w:val="36"/>
          <w:highlight w:val="none"/>
        </w:rPr>
      </w:pPr>
    </w:p>
    <w:p w14:paraId="7AAE8CC5">
      <w:pPr>
        <w:pStyle w:val="26"/>
        <w:rPr>
          <w:color w:val="auto"/>
          <w:highlight w:val="none"/>
        </w:rPr>
      </w:pPr>
    </w:p>
    <w:p w14:paraId="4765314F">
      <w:pPr>
        <w:spacing w:line="560" w:lineRule="exact"/>
        <w:rPr>
          <w:rFonts w:ascii="宋体" w:hAnsi="宋体" w:eastAsia="宋体" w:cs="宋体"/>
          <w:b/>
          <w:color w:val="auto"/>
          <w:sz w:val="36"/>
          <w:highlight w:val="none"/>
        </w:rPr>
      </w:pPr>
      <w:r>
        <w:rPr>
          <w:rFonts w:hint="eastAsia" w:ascii="宋体" w:hAnsi="宋体" w:eastAsia="宋体" w:cs="宋体"/>
          <w:b/>
          <w:color w:val="auto"/>
          <w:spacing w:val="60"/>
          <w:kern w:val="0"/>
          <w:sz w:val="36"/>
          <w:highlight w:val="none"/>
          <w:fitText w:val="1800" w:id="1532760070"/>
        </w:rPr>
        <w:t>项目编</w:t>
      </w:r>
      <w:r>
        <w:rPr>
          <w:rFonts w:hint="eastAsia" w:ascii="宋体" w:hAnsi="宋体" w:eastAsia="宋体" w:cs="宋体"/>
          <w:b/>
          <w:color w:val="auto"/>
          <w:spacing w:val="0"/>
          <w:kern w:val="0"/>
          <w:sz w:val="36"/>
          <w:highlight w:val="none"/>
          <w:fitText w:val="1800" w:id="1532760070"/>
        </w:rPr>
        <w:t>号</w:t>
      </w:r>
      <w:r>
        <w:rPr>
          <w:rFonts w:hint="eastAsia" w:ascii="宋体" w:hAnsi="宋体" w:eastAsia="宋体" w:cs="宋体"/>
          <w:b/>
          <w:color w:val="auto"/>
          <w:sz w:val="36"/>
          <w:highlight w:val="none"/>
        </w:rPr>
        <w:t>：</w:t>
      </w:r>
    </w:p>
    <w:p w14:paraId="01DCF2CB">
      <w:pPr>
        <w:spacing w:line="560" w:lineRule="exact"/>
        <w:rPr>
          <w:rFonts w:ascii="宋体" w:hAnsi="宋体" w:eastAsia="宋体" w:cs="宋体"/>
          <w:b/>
          <w:color w:val="auto"/>
          <w:spacing w:val="1440"/>
          <w:kern w:val="0"/>
          <w:sz w:val="36"/>
          <w:highlight w:val="none"/>
        </w:rPr>
      </w:pPr>
    </w:p>
    <w:p w14:paraId="4699E355">
      <w:pPr>
        <w:pStyle w:val="26"/>
        <w:rPr>
          <w:color w:val="auto"/>
          <w:highlight w:val="none"/>
        </w:rPr>
      </w:pPr>
    </w:p>
    <w:p w14:paraId="07A01EAF">
      <w:pPr>
        <w:spacing w:line="560" w:lineRule="exact"/>
        <w:rPr>
          <w:rFonts w:ascii="宋体" w:hAnsi="宋体" w:eastAsia="宋体" w:cs="宋体"/>
          <w:b/>
          <w:color w:val="auto"/>
          <w:sz w:val="36"/>
          <w:highlight w:val="none"/>
          <w:u w:val="single"/>
        </w:rPr>
      </w:pPr>
      <w:r>
        <w:rPr>
          <w:rFonts w:hint="eastAsia" w:ascii="宋体" w:hAnsi="宋体" w:eastAsia="宋体" w:cs="宋体"/>
          <w:b/>
          <w:color w:val="auto"/>
          <w:spacing w:val="60"/>
          <w:kern w:val="0"/>
          <w:sz w:val="36"/>
          <w:highlight w:val="none"/>
          <w:fitText w:val="1800" w:id="805591351"/>
        </w:rPr>
        <w:t>项目名</w:t>
      </w:r>
      <w:r>
        <w:rPr>
          <w:rFonts w:hint="eastAsia" w:ascii="宋体" w:hAnsi="宋体" w:eastAsia="宋体" w:cs="宋体"/>
          <w:b/>
          <w:color w:val="auto"/>
          <w:spacing w:val="0"/>
          <w:kern w:val="0"/>
          <w:sz w:val="36"/>
          <w:highlight w:val="none"/>
          <w:fitText w:val="1800" w:id="805591351"/>
        </w:rPr>
        <w:t>称</w:t>
      </w:r>
      <w:r>
        <w:rPr>
          <w:rFonts w:hint="eastAsia" w:ascii="宋体" w:hAnsi="宋体" w:eastAsia="宋体" w:cs="宋体"/>
          <w:b/>
          <w:color w:val="auto"/>
          <w:sz w:val="36"/>
          <w:highlight w:val="none"/>
        </w:rPr>
        <w:t>：</w:t>
      </w:r>
    </w:p>
    <w:p w14:paraId="2444C045">
      <w:pPr>
        <w:spacing w:line="560" w:lineRule="exact"/>
        <w:ind w:firstLine="723" w:firstLineChars="200"/>
        <w:rPr>
          <w:rFonts w:ascii="宋体" w:hAnsi="宋体" w:eastAsia="宋体" w:cs="宋体"/>
          <w:b/>
          <w:color w:val="auto"/>
          <w:sz w:val="36"/>
          <w:highlight w:val="none"/>
        </w:rPr>
      </w:pPr>
    </w:p>
    <w:p w14:paraId="598BF0A5">
      <w:pPr>
        <w:spacing w:line="560" w:lineRule="exact"/>
        <w:rPr>
          <w:rFonts w:ascii="宋体" w:hAnsi="宋体" w:eastAsia="宋体" w:cs="宋体"/>
          <w:b/>
          <w:color w:val="auto"/>
          <w:sz w:val="36"/>
          <w:highlight w:val="none"/>
        </w:rPr>
      </w:pPr>
    </w:p>
    <w:p w14:paraId="6FCF5C77">
      <w:pPr>
        <w:spacing w:line="560" w:lineRule="exact"/>
        <w:rPr>
          <w:rFonts w:ascii="宋体" w:hAnsi="宋体" w:eastAsia="宋体" w:cs="宋体"/>
          <w:b/>
          <w:color w:val="auto"/>
          <w:sz w:val="36"/>
          <w:highlight w:val="none"/>
        </w:rPr>
      </w:pPr>
      <w:r>
        <w:rPr>
          <w:rFonts w:hint="eastAsia" w:ascii="宋体" w:hAnsi="宋体" w:eastAsia="宋体" w:cs="宋体"/>
          <w:b/>
          <w:color w:val="auto"/>
          <w:sz w:val="36"/>
          <w:highlight w:val="none"/>
        </w:rPr>
        <w:t>供应商名称：</w:t>
      </w:r>
    </w:p>
    <w:p w14:paraId="5E2FB149">
      <w:pPr>
        <w:spacing w:line="560" w:lineRule="exact"/>
        <w:rPr>
          <w:rFonts w:ascii="宋体" w:hAnsi="宋体" w:eastAsia="宋体" w:cs="宋体"/>
          <w:b/>
          <w:color w:val="auto"/>
          <w:sz w:val="36"/>
          <w:highlight w:val="none"/>
        </w:rPr>
      </w:pPr>
    </w:p>
    <w:p w14:paraId="5740FAEF">
      <w:pPr>
        <w:pStyle w:val="26"/>
        <w:rPr>
          <w:color w:val="auto"/>
          <w:highlight w:val="none"/>
        </w:rPr>
      </w:pPr>
    </w:p>
    <w:p w14:paraId="2B50AFB1">
      <w:pPr>
        <w:spacing w:line="560" w:lineRule="exact"/>
        <w:rPr>
          <w:rFonts w:ascii="宋体" w:hAnsi="宋体" w:eastAsia="宋体" w:cs="宋体"/>
          <w:b/>
          <w:color w:val="auto"/>
          <w:sz w:val="36"/>
          <w:highlight w:val="none"/>
        </w:rPr>
      </w:pPr>
      <w:r>
        <w:rPr>
          <w:rFonts w:hint="eastAsia" w:ascii="宋体" w:hAnsi="宋体" w:eastAsia="宋体" w:cs="宋体"/>
          <w:b/>
          <w:color w:val="auto"/>
          <w:sz w:val="36"/>
          <w:highlight w:val="none"/>
        </w:rPr>
        <w:t>日      期：</w:t>
      </w:r>
    </w:p>
    <w:p w14:paraId="715BDE75">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430F8FC9">
      <w:pPr>
        <w:widowControl/>
        <w:spacing w:line="560" w:lineRule="exact"/>
        <w:jc w:val="center"/>
        <w:rPr>
          <w:rFonts w:ascii="宋体" w:hAnsi="宋体" w:eastAsia="宋体" w:cs="宋体"/>
          <w:b/>
          <w:bCs/>
          <w:color w:val="auto"/>
          <w:sz w:val="36"/>
          <w:szCs w:val="36"/>
          <w:highlight w:val="none"/>
        </w:rPr>
      </w:pPr>
      <w:r>
        <w:rPr>
          <w:rFonts w:hint="eastAsia" w:ascii="宋体" w:hAnsi="宋体" w:eastAsia="宋体" w:cs="宋体"/>
          <w:b/>
          <w:bCs/>
          <w:color w:val="auto"/>
          <w:sz w:val="28"/>
          <w:szCs w:val="28"/>
          <w:highlight w:val="none"/>
        </w:rPr>
        <w:t>目  录</w:t>
      </w:r>
    </w:p>
    <w:p w14:paraId="13B459BE">
      <w:pPr>
        <w:widowControl/>
        <w:spacing w:line="560" w:lineRule="exact"/>
        <w:jc w:val="center"/>
        <w:rPr>
          <w:rFonts w:ascii="宋体" w:hAnsi="宋体" w:eastAsia="宋体" w:cs="宋体"/>
          <w:color w:val="auto"/>
          <w:highlight w:val="none"/>
        </w:rPr>
      </w:pPr>
    </w:p>
    <w:p w14:paraId="2816BC96">
      <w:pPr>
        <w:widowControl/>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t>（供应商自行编制响应文件并制作目录）</w:t>
      </w:r>
    </w:p>
    <w:p w14:paraId="7FF7B726">
      <w:pPr>
        <w:spacing w:line="560" w:lineRule="exact"/>
        <w:ind w:firstLine="420" w:firstLineChars="200"/>
        <w:rPr>
          <w:rFonts w:ascii="宋体" w:hAnsi="宋体" w:eastAsia="宋体" w:cs="宋体"/>
          <w:color w:val="auto"/>
          <w:highlight w:val="none"/>
          <w:lang w:val="zh-CN"/>
        </w:rPr>
      </w:pPr>
    </w:p>
    <w:p w14:paraId="2634EDAD">
      <w:pPr>
        <w:spacing w:line="560" w:lineRule="exact"/>
        <w:ind w:firstLine="560" w:firstLineChars="200"/>
        <w:rPr>
          <w:rFonts w:ascii="宋体" w:hAnsi="宋体" w:eastAsia="宋体" w:cs="宋体"/>
          <w:color w:val="auto"/>
          <w:sz w:val="28"/>
          <w:szCs w:val="28"/>
          <w:highlight w:val="none"/>
        </w:rPr>
      </w:pPr>
    </w:p>
    <w:p w14:paraId="46EF4A2C">
      <w:pPr>
        <w:spacing w:line="560" w:lineRule="exact"/>
        <w:ind w:firstLine="562" w:firstLineChars="200"/>
        <w:jc w:val="center"/>
        <w:rPr>
          <w:rFonts w:ascii="宋体" w:hAnsi="宋体" w:eastAsia="宋体" w:cs="宋体"/>
          <w:b/>
          <w:color w:val="auto"/>
          <w:sz w:val="32"/>
          <w:highlight w:val="none"/>
        </w:rPr>
      </w:pPr>
      <w:r>
        <w:rPr>
          <w:rFonts w:hint="eastAsia" w:ascii="宋体" w:hAnsi="宋体" w:eastAsia="宋体" w:cs="宋体"/>
          <w:b/>
          <w:color w:val="auto"/>
          <w:sz w:val="28"/>
          <w:highlight w:val="none"/>
        </w:rPr>
        <w:br w:type="page"/>
      </w:r>
    </w:p>
    <w:p w14:paraId="4D27111E">
      <w:pPr>
        <w:spacing w:line="560" w:lineRule="exact"/>
        <w:jc w:val="center"/>
        <w:rPr>
          <w:rFonts w:ascii="宋体" w:hAnsi="宋体" w:eastAsia="宋体" w:cs="宋体"/>
          <w:b/>
          <w:color w:val="auto"/>
          <w:sz w:val="28"/>
          <w:highlight w:val="none"/>
        </w:rPr>
      </w:pPr>
      <w:r>
        <w:rPr>
          <w:rFonts w:hint="eastAsia" w:ascii="宋体" w:hAnsi="宋体" w:eastAsia="宋体" w:cs="宋体"/>
          <w:b/>
          <w:color w:val="auto"/>
          <w:sz w:val="28"/>
          <w:szCs w:val="28"/>
          <w:highlight w:val="none"/>
        </w:rPr>
        <w:t>评审索引表</w:t>
      </w:r>
    </w:p>
    <w:tbl>
      <w:tblPr>
        <w:tblStyle w:val="19"/>
        <w:tblpPr w:leftFromText="180" w:rightFromText="180" w:vertAnchor="text" w:horzAnchor="page" w:tblpX="1712" w:tblpY="485"/>
        <w:tblOverlap w:val="never"/>
        <w:tblW w:w="8515" w:type="dxa"/>
        <w:tblInd w:w="0" w:type="dxa"/>
        <w:tblLayout w:type="fixed"/>
        <w:tblCellMar>
          <w:top w:w="0" w:type="dxa"/>
          <w:left w:w="10" w:type="dxa"/>
          <w:bottom w:w="0" w:type="dxa"/>
          <w:right w:w="10" w:type="dxa"/>
        </w:tblCellMar>
      </w:tblPr>
      <w:tblGrid>
        <w:gridCol w:w="775"/>
        <w:gridCol w:w="4968"/>
        <w:gridCol w:w="2772"/>
      </w:tblGrid>
      <w:tr w14:paraId="643C6BAB">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1B325E">
            <w:pPr>
              <w:spacing w:line="560" w:lineRule="exact"/>
              <w:jc w:val="center"/>
              <w:rPr>
                <w:rFonts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序号</w:t>
            </w: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A5C002">
            <w:pPr>
              <w:spacing w:line="560" w:lineRule="exact"/>
              <w:jc w:val="center"/>
              <w:rPr>
                <w:rFonts w:ascii="宋体" w:hAnsi="宋体" w:eastAsia="宋体" w:cs="宋体"/>
                <w:color w:val="auto"/>
                <w:highlight w:val="none"/>
              </w:rPr>
            </w:pPr>
            <w:r>
              <w:rPr>
                <w:rFonts w:hint="eastAsia" w:ascii="宋体" w:hAnsi="宋体" w:eastAsia="宋体" w:cs="宋体"/>
                <w:b/>
                <w:color w:val="auto"/>
                <w:highlight w:val="none"/>
                <w:shd w:val="clear" w:color="auto" w:fill="FFFFFF"/>
              </w:rPr>
              <w:t>评审项目</w:t>
            </w: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041364">
            <w:pPr>
              <w:spacing w:line="560" w:lineRule="exact"/>
              <w:jc w:val="center"/>
              <w:rPr>
                <w:rFonts w:ascii="宋体" w:hAnsi="宋体" w:eastAsia="宋体" w:cs="宋体"/>
                <w:color w:val="auto"/>
                <w:highlight w:val="none"/>
              </w:rPr>
            </w:pPr>
            <w:r>
              <w:rPr>
                <w:rFonts w:hint="eastAsia" w:ascii="宋体" w:hAnsi="宋体" w:eastAsia="宋体" w:cs="宋体"/>
                <w:b/>
                <w:color w:val="auto"/>
                <w:highlight w:val="none"/>
              </w:rPr>
              <w:t>在响应文件中的页码位置</w:t>
            </w:r>
          </w:p>
        </w:tc>
      </w:tr>
      <w:tr w14:paraId="0495B49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64B6AA">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9ACE890">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C4706C">
            <w:pPr>
              <w:spacing w:line="560" w:lineRule="exact"/>
              <w:jc w:val="center"/>
              <w:rPr>
                <w:rFonts w:ascii="宋体" w:hAnsi="宋体" w:eastAsia="宋体" w:cs="宋体"/>
                <w:color w:val="auto"/>
                <w:sz w:val="22"/>
                <w:highlight w:val="none"/>
              </w:rPr>
            </w:pPr>
          </w:p>
        </w:tc>
      </w:tr>
      <w:tr w14:paraId="569FDF93">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C318C">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BD5152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DAE98D">
            <w:pPr>
              <w:spacing w:line="560" w:lineRule="exact"/>
              <w:jc w:val="center"/>
              <w:rPr>
                <w:rFonts w:ascii="宋体" w:hAnsi="宋体" w:eastAsia="宋体" w:cs="宋体"/>
                <w:color w:val="auto"/>
                <w:sz w:val="22"/>
                <w:highlight w:val="none"/>
              </w:rPr>
            </w:pPr>
          </w:p>
        </w:tc>
      </w:tr>
      <w:tr w14:paraId="16A6569A">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C0B383F">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B20A8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B7D2F3">
            <w:pPr>
              <w:spacing w:line="560" w:lineRule="exact"/>
              <w:jc w:val="center"/>
              <w:rPr>
                <w:rFonts w:ascii="宋体" w:hAnsi="宋体" w:eastAsia="宋体" w:cs="宋体"/>
                <w:color w:val="auto"/>
                <w:sz w:val="22"/>
                <w:highlight w:val="none"/>
              </w:rPr>
            </w:pPr>
          </w:p>
        </w:tc>
      </w:tr>
      <w:tr w14:paraId="202FA9F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2109172">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DA5D9A">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FAD2F0">
            <w:pPr>
              <w:spacing w:line="560" w:lineRule="exact"/>
              <w:jc w:val="center"/>
              <w:rPr>
                <w:rFonts w:ascii="宋体" w:hAnsi="宋体" w:eastAsia="宋体" w:cs="宋体"/>
                <w:color w:val="auto"/>
                <w:sz w:val="22"/>
                <w:highlight w:val="none"/>
              </w:rPr>
            </w:pPr>
          </w:p>
        </w:tc>
      </w:tr>
      <w:tr w14:paraId="55EEA434">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C7B778">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FA28B2">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2B5DF64">
            <w:pPr>
              <w:spacing w:line="560" w:lineRule="exact"/>
              <w:jc w:val="center"/>
              <w:rPr>
                <w:rFonts w:ascii="宋体" w:hAnsi="宋体" w:eastAsia="宋体" w:cs="宋体"/>
                <w:color w:val="auto"/>
                <w:sz w:val="22"/>
                <w:highlight w:val="none"/>
              </w:rPr>
            </w:pPr>
          </w:p>
        </w:tc>
      </w:tr>
      <w:tr w14:paraId="2724309C">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6B6A8D">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84C654">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2CF164">
            <w:pPr>
              <w:spacing w:line="560" w:lineRule="exact"/>
              <w:jc w:val="center"/>
              <w:rPr>
                <w:rFonts w:ascii="宋体" w:hAnsi="宋体" w:eastAsia="宋体" w:cs="宋体"/>
                <w:color w:val="auto"/>
                <w:sz w:val="22"/>
                <w:highlight w:val="none"/>
              </w:rPr>
            </w:pPr>
          </w:p>
        </w:tc>
      </w:tr>
      <w:tr w14:paraId="381EF79D">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A55483">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1E87EA">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F56A229">
            <w:pPr>
              <w:spacing w:line="560" w:lineRule="exact"/>
              <w:jc w:val="center"/>
              <w:rPr>
                <w:rFonts w:ascii="宋体" w:hAnsi="宋体" w:eastAsia="宋体" w:cs="宋体"/>
                <w:color w:val="auto"/>
                <w:sz w:val="22"/>
                <w:highlight w:val="none"/>
              </w:rPr>
            </w:pPr>
          </w:p>
        </w:tc>
      </w:tr>
      <w:tr w14:paraId="4D8C97B1">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8C0EA5">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EE5090">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F375BA">
            <w:pPr>
              <w:spacing w:line="560" w:lineRule="exact"/>
              <w:jc w:val="center"/>
              <w:rPr>
                <w:rFonts w:ascii="宋体" w:hAnsi="宋体" w:eastAsia="宋体" w:cs="宋体"/>
                <w:color w:val="auto"/>
                <w:sz w:val="22"/>
                <w:highlight w:val="none"/>
              </w:rPr>
            </w:pPr>
          </w:p>
        </w:tc>
      </w:tr>
      <w:tr w14:paraId="194ED588">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76D6C7">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83DB9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E911FB4">
            <w:pPr>
              <w:spacing w:line="560" w:lineRule="exact"/>
              <w:jc w:val="center"/>
              <w:rPr>
                <w:rFonts w:ascii="宋体" w:hAnsi="宋体" w:eastAsia="宋体" w:cs="宋体"/>
                <w:color w:val="auto"/>
                <w:sz w:val="22"/>
                <w:highlight w:val="none"/>
              </w:rPr>
            </w:pPr>
          </w:p>
        </w:tc>
      </w:tr>
      <w:tr w14:paraId="3E2B53FF">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39FE7C">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802D95">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D65CDAF">
            <w:pPr>
              <w:spacing w:line="560" w:lineRule="exact"/>
              <w:jc w:val="center"/>
              <w:rPr>
                <w:rFonts w:ascii="宋体" w:hAnsi="宋体" w:eastAsia="宋体" w:cs="宋体"/>
                <w:color w:val="auto"/>
                <w:sz w:val="22"/>
                <w:highlight w:val="none"/>
              </w:rPr>
            </w:pPr>
          </w:p>
        </w:tc>
      </w:tr>
    </w:tbl>
    <w:p w14:paraId="02AAC26E">
      <w:pPr>
        <w:pStyle w:val="6"/>
        <w:spacing w:line="560" w:lineRule="exact"/>
        <w:ind w:firstLine="560" w:firstLineChars="200"/>
        <w:rPr>
          <w:rFonts w:ascii="宋体" w:hAnsi="宋体" w:eastAsia="宋体" w:cs="宋体"/>
          <w:color w:val="auto"/>
          <w:highlight w:val="none"/>
        </w:rPr>
      </w:pPr>
    </w:p>
    <w:p w14:paraId="11370B98">
      <w:pPr>
        <w:spacing w:line="560" w:lineRule="exact"/>
        <w:ind w:firstLine="560" w:firstLineChars="200"/>
        <w:rPr>
          <w:rFonts w:ascii="宋体" w:hAnsi="宋体" w:eastAsia="宋体" w:cs="宋体"/>
          <w:color w:val="auto"/>
          <w:sz w:val="28"/>
          <w:szCs w:val="28"/>
          <w:highlight w:val="none"/>
        </w:rPr>
      </w:pPr>
    </w:p>
    <w:p w14:paraId="12C4CEC6">
      <w:pPr>
        <w:widowControl/>
        <w:spacing w:line="560" w:lineRule="exact"/>
        <w:jc w:val="left"/>
        <w:rPr>
          <w:rFonts w:ascii="宋体" w:hAnsi="宋体" w:eastAsia="宋体" w:cs="宋体"/>
          <w:b/>
          <w:color w:val="auto"/>
          <w:sz w:val="32"/>
          <w:highlight w:val="none"/>
        </w:rPr>
      </w:pPr>
      <w:r>
        <w:rPr>
          <w:rFonts w:hint="eastAsia" w:ascii="宋体" w:hAnsi="宋体" w:eastAsia="宋体" w:cs="宋体"/>
          <w:b/>
          <w:color w:val="auto"/>
          <w:sz w:val="32"/>
          <w:highlight w:val="none"/>
        </w:rPr>
        <w:br w:type="page"/>
      </w:r>
    </w:p>
    <w:p w14:paraId="3F27A4C2">
      <w:pPr>
        <w:spacing w:line="560" w:lineRule="exact"/>
        <w:jc w:val="left"/>
        <w:outlineLvl w:val="1"/>
        <w:rPr>
          <w:rFonts w:ascii="宋体" w:hAnsi="宋体" w:eastAsia="宋体" w:cs="宋体"/>
          <w:b/>
          <w:color w:val="auto"/>
          <w:sz w:val="28"/>
          <w:szCs w:val="28"/>
          <w:highlight w:val="none"/>
        </w:rPr>
      </w:pPr>
      <w:bookmarkStart w:id="19" w:name="_Toc19197"/>
      <w:r>
        <w:rPr>
          <w:rFonts w:hint="eastAsia" w:ascii="宋体" w:hAnsi="宋体" w:eastAsia="宋体" w:cs="宋体"/>
          <w:b/>
          <w:color w:val="auto"/>
          <w:sz w:val="28"/>
          <w:szCs w:val="28"/>
          <w:highlight w:val="none"/>
        </w:rPr>
        <w:t>附件一、</w:t>
      </w:r>
      <w:r>
        <w:rPr>
          <w:rFonts w:hint="eastAsia" w:ascii="宋体" w:hAnsi="宋体"/>
          <w:b/>
          <w:color w:val="auto"/>
          <w:sz w:val="28"/>
          <w:highlight w:val="none"/>
        </w:rPr>
        <w:t>竞争性磋商申请及声明</w:t>
      </w:r>
      <w:r>
        <w:rPr>
          <w:rFonts w:hint="eastAsia" w:ascii="宋体" w:hAnsi="宋体" w:eastAsia="宋体" w:cs="宋体"/>
          <w:b/>
          <w:color w:val="auto"/>
          <w:sz w:val="28"/>
          <w:szCs w:val="28"/>
          <w:highlight w:val="none"/>
        </w:rPr>
        <w:t>格式</w:t>
      </w:r>
      <w:bookmarkEnd w:id="19"/>
    </w:p>
    <w:p w14:paraId="37030308">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b/>
          <w:color w:val="auto"/>
          <w:sz w:val="28"/>
          <w:highlight w:val="none"/>
        </w:rPr>
        <w:t>竞争性磋商申请及声明</w:t>
      </w:r>
    </w:p>
    <w:p w14:paraId="2CFEB600">
      <w:pPr>
        <w:autoSpaceDE w:val="0"/>
        <w:autoSpaceDN w:val="0"/>
        <w:adjustRightInd w:val="0"/>
        <w:spacing w:line="560" w:lineRule="exact"/>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cstheme="minorEastAsia"/>
          <w:color w:val="auto"/>
          <w:sz w:val="24"/>
          <w:highlight w:val="none"/>
          <w:lang w:val="zh-CN"/>
        </w:rPr>
        <w:t>致：南京市栖霞区人民政府八卦洲街道办事处</w:t>
      </w:r>
      <w:r>
        <w:rPr>
          <w:rFonts w:hint="eastAsia" w:ascii="宋体" w:hAnsi="宋体" w:eastAsia="宋体" w:cs="宋体"/>
          <w:color w:val="auto"/>
          <w:kern w:val="0"/>
          <w:sz w:val="24"/>
          <w:highlight w:val="none"/>
          <w:lang w:val="en-US" w:eastAsia="zh-CN"/>
        </w:rPr>
        <w:t xml:space="preserve"> </w:t>
      </w:r>
    </w:p>
    <w:p w14:paraId="3FFF718F">
      <w:pPr>
        <w:autoSpaceDE w:val="0"/>
        <w:autoSpaceDN w:val="0"/>
        <w:adjustRightInd w:val="0"/>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江苏本誉项目管理有限公司</w:t>
      </w:r>
    </w:p>
    <w:p w14:paraId="14FFE80E">
      <w:pPr>
        <w:autoSpaceDE w:val="0"/>
        <w:autoSpaceDN w:val="0"/>
        <w:adjustRightInd w:val="0"/>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根据贵方</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 xml:space="preserve">（项目名称） </w:t>
      </w:r>
      <w:r>
        <w:rPr>
          <w:rFonts w:hint="eastAsia" w:asciiTheme="minorEastAsia" w:hAnsiTheme="minorEastAsia" w:cstheme="minorEastAsia"/>
          <w:b/>
          <w:color w:val="auto"/>
          <w:sz w:val="24"/>
          <w:highlight w:val="none"/>
          <w:u w:val="single"/>
          <w:lang w:val="zh-CN"/>
        </w:rPr>
        <w:t xml:space="preserve">           </w:t>
      </w:r>
      <w:r>
        <w:rPr>
          <w:rFonts w:hint="eastAsia" w:asciiTheme="minorEastAsia" w:hAnsiTheme="minorEastAsia" w:cstheme="minorEastAsia"/>
          <w:color w:val="auto"/>
          <w:sz w:val="24"/>
          <w:highlight w:val="none"/>
          <w:lang w:val="zh-CN"/>
        </w:rPr>
        <w:t>（项目编号）竞争性磋商邀请，正式授权下述签字人</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(姓名和职务)代表</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（供应商名称），提交响应文件并参加磋商。</w:t>
      </w:r>
    </w:p>
    <w:p w14:paraId="47445459">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据此函，签字人兹宣布同意如下：</w:t>
      </w:r>
    </w:p>
    <w:p w14:paraId="3FFE83D9">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w:t>
      </w:r>
      <w:r>
        <w:rPr>
          <w:rFonts w:hint="eastAsia" w:asciiTheme="minorEastAsia" w:hAnsiTheme="minorEastAsia" w:cstheme="minorEastAsia"/>
          <w:color w:val="auto"/>
          <w:sz w:val="24"/>
          <w:highlight w:val="none"/>
          <w:lang w:val="zh-CN"/>
        </w:rPr>
        <w:t>我公司的资格条件完全符合政府采购法和本次采购要求，</w:t>
      </w:r>
      <w:r>
        <w:rPr>
          <w:rFonts w:hint="eastAsia" w:asciiTheme="minorEastAsia" w:hAnsiTheme="minorEastAsia" w:cstheme="minorEastAsia"/>
          <w:color w:val="auto"/>
          <w:sz w:val="24"/>
          <w:highlight w:val="none"/>
        </w:rPr>
        <w:t>我</w:t>
      </w:r>
      <w:r>
        <w:rPr>
          <w:rFonts w:hint="eastAsia" w:asciiTheme="minorEastAsia" w:hAnsiTheme="minorEastAsia" w:cstheme="minorEastAsia"/>
          <w:color w:val="auto"/>
          <w:sz w:val="24"/>
          <w:highlight w:val="none"/>
          <w:lang w:val="zh-CN"/>
        </w:rPr>
        <w:t>公司同意并向贵方提供了与本次采购活动有关的所有证据和资料</w:t>
      </w:r>
      <w:r>
        <w:rPr>
          <w:rFonts w:hint="eastAsia" w:asciiTheme="minorEastAsia" w:hAnsiTheme="minorEastAsia" w:cstheme="minorEastAsia"/>
          <w:color w:val="auto"/>
          <w:sz w:val="24"/>
          <w:highlight w:val="none"/>
        </w:rPr>
        <w:t>。</w:t>
      </w:r>
    </w:p>
    <w:p w14:paraId="16853820">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rPr>
        <w:t>2.项目名称：</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w:t>
      </w:r>
    </w:p>
    <w:p w14:paraId="395657C4">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w:t>
      </w:r>
      <w:r>
        <w:rPr>
          <w:rFonts w:hint="eastAsia" w:ascii="宋体" w:hAnsi="宋体" w:eastAsia="宋体" w:cs="宋体"/>
          <w:color w:val="auto"/>
          <w:sz w:val="24"/>
          <w:highlight w:val="none"/>
        </w:rPr>
        <w:t>我方的总报价为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（大写）。</w:t>
      </w:r>
    </w:p>
    <w:p w14:paraId="2879812A">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4.</w:t>
      </w:r>
      <w:r>
        <w:rPr>
          <w:rFonts w:hint="eastAsia" w:asciiTheme="minorEastAsia" w:hAnsiTheme="minorEastAsia" w:cstheme="minorEastAsia"/>
          <w:color w:val="auto"/>
          <w:sz w:val="24"/>
          <w:highlight w:val="none"/>
          <w:lang w:val="zh-CN"/>
        </w:rPr>
        <w:t>我公司已详细审核全部</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及其有效补充文件，我公司放弃对</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任何误解的权利，</w:t>
      </w:r>
      <w:r>
        <w:rPr>
          <w:rFonts w:hint="eastAsia" w:asciiTheme="minorEastAsia" w:hAnsiTheme="minorEastAsia" w:cstheme="minorEastAsia"/>
          <w:color w:val="auto"/>
          <w:sz w:val="24"/>
          <w:highlight w:val="none"/>
          <w:lang w:val="en-US" w:eastAsia="zh-CN"/>
        </w:rPr>
        <w:t>在</w:t>
      </w:r>
      <w:r>
        <w:rPr>
          <w:rFonts w:hint="eastAsia" w:asciiTheme="minorEastAsia" w:hAnsiTheme="minorEastAsia" w:cstheme="minorEastAsia"/>
          <w:color w:val="auto"/>
          <w:sz w:val="24"/>
          <w:highlight w:val="none"/>
          <w:lang w:val="zh-CN"/>
        </w:rPr>
        <w:t>提交响应文件后，不对</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本身提出质疑。否则，属于不诚信和故意扰乱政府采购活动行为，我公司将无条件接受处罚。</w:t>
      </w:r>
    </w:p>
    <w:p w14:paraId="277B8D78">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5.一旦我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成交，我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将根据磋商文件的规定，严格履行合同，保证于承诺的时间内完成本项目规定的服务内容。</w:t>
      </w:r>
    </w:p>
    <w:p w14:paraId="19FD8201">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6.我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决不提供虚假材料谋取成交、决不采取不正当手段诋毁、排挤其他供应商、决不与采购人、</w:t>
      </w:r>
      <w:r>
        <w:rPr>
          <w:rFonts w:hint="eastAsia" w:asciiTheme="minorEastAsia" w:hAnsiTheme="minorEastAsia" w:cstheme="minorEastAsia"/>
          <w:color w:val="auto"/>
          <w:sz w:val="24"/>
          <w:highlight w:val="none"/>
          <w:lang w:eastAsia="zh-CN"/>
        </w:rPr>
        <w:t>其他</w:t>
      </w:r>
      <w:r>
        <w:rPr>
          <w:rFonts w:hint="eastAsia" w:asciiTheme="minorEastAsia" w:hAnsiTheme="minorEastAsia" w:cstheme="minorEastAsia"/>
          <w:color w:val="auto"/>
          <w:sz w:val="24"/>
          <w:highlight w:val="none"/>
        </w:rPr>
        <w:t>供应商或者代理机构恶意串通、决不向采购人、代理机构工作人员和磋商小组进行商业贿赂、决不拒绝有关部门监督检查或提供虚假情况，如有违反，无条件接受贵方及相关管理部门的处罚。</w:t>
      </w:r>
    </w:p>
    <w:p w14:paraId="7CFEC1E7">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7.我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正式通讯方式为：</w:t>
      </w:r>
    </w:p>
    <w:p w14:paraId="76D29BD7">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地   址：</w:t>
      </w:r>
      <w:r>
        <w:rPr>
          <w:rFonts w:hint="eastAsia" w:asciiTheme="minorEastAsia" w:hAnsiTheme="minorEastAsia" w:cstheme="minorEastAsia"/>
          <w:color w:val="auto"/>
          <w:sz w:val="24"/>
          <w:highlight w:val="none"/>
          <w:u w:val="single"/>
        </w:rPr>
        <w:t xml:space="preserve">                        </w:t>
      </w:r>
    </w:p>
    <w:p w14:paraId="439F00FD">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电   话：</w:t>
      </w:r>
      <w:r>
        <w:rPr>
          <w:rFonts w:hint="eastAsia" w:asciiTheme="minorEastAsia" w:hAnsiTheme="minorEastAsia" w:cstheme="minorEastAsia"/>
          <w:color w:val="auto"/>
          <w:sz w:val="24"/>
          <w:highlight w:val="none"/>
          <w:u w:val="single"/>
        </w:rPr>
        <w:t xml:space="preserve">                        </w:t>
      </w:r>
    </w:p>
    <w:p w14:paraId="34E87D12">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传   真：</w:t>
      </w:r>
      <w:r>
        <w:rPr>
          <w:rFonts w:hint="eastAsia" w:asciiTheme="minorEastAsia" w:hAnsiTheme="minorEastAsia" w:cstheme="minorEastAsia"/>
          <w:color w:val="auto"/>
          <w:sz w:val="24"/>
          <w:highlight w:val="none"/>
          <w:u w:val="single"/>
        </w:rPr>
        <w:t xml:space="preserve">                        </w:t>
      </w:r>
    </w:p>
    <w:p w14:paraId="5CA9C5F8">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8.我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正式开户银行和</w:t>
      </w:r>
      <w:r>
        <w:rPr>
          <w:rFonts w:hint="eastAsia" w:asciiTheme="minorEastAsia" w:hAnsiTheme="minorEastAsia" w:cstheme="minorEastAsia"/>
          <w:color w:val="auto"/>
          <w:sz w:val="24"/>
          <w:highlight w:val="none"/>
          <w:lang w:eastAsia="zh-CN"/>
        </w:rPr>
        <w:t>账号为</w:t>
      </w:r>
      <w:r>
        <w:rPr>
          <w:rFonts w:hint="eastAsia" w:asciiTheme="minorEastAsia" w:hAnsiTheme="minorEastAsia" w:cstheme="minorEastAsia"/>
          <w:color w:val="auto"/>
          <w:sz w:val="24"/>
          <w:highlight w:val="none"/>
        </w:rPr>
        <w:t>：</w:t>
      </w:r>
    </w:p>
    <w:p w14:paraId="4CF7419C">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开户银行：</w:t>
      </w:r>
      <w:r>
        <w:rPr>
          <w:rFonts w:hint="eastAsia" w:asciiTheme="minorEastAsia" w:hAnsiTheme="minorEastAsia" w:cstheme="minorEastAsia"/>
          <w:color w:val="auto"/>
          <w:sz w:val="24"/>
          <w:highlight w:val="none"/>
          <w:u w:val="single"/>
        </w:rPr>
        <w:t xml:space="preserve">                       </w:t>
      </w:r>
    </w:p>
    <w:p w14:paraId="02FE3558">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r>
        <w:rPr>
          <w:rFonts w:hint="eastAsia" w:asciiTheme="minorEastAsia" w:hAnsiTheme="minorEastAsia" w:cstheme="minorEastAsia"/>
          <w:color w:val="auto"/>
          <w:sz w:val="24"/>
          <w:highlight w:val="none"/>
          <w:u w:val="single"/>
        </w:rPr>
        <w:t xml:space="preserve">                       </w:t>
      </w:r>
    </w:p>
    <w:p w14:paraId="1E5D00FC">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供应商授权代表姓名（签字）：</w:t>
      </w:r>
      <w:r>
        <w:rPr>
          <w:rFonts w:hint="eastAsia" w:asciiTheme="minorEastAsia" w:hAnsiTheme="minorEastAsia" w:cstheme="minorEastAsia"/>
          <w:color w:val="auto"/>
          <w:sz w:val="24"/>
          <w:highlight w:val="none"/>
          <w:u w:val="single"/>
        </w:rPr>
        <w:t xml:space="preserve">     </w:t>
      </w:r>
    </w:p>
    <w:p w14:paraId="5AF1FA8F">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供应商名称（公章）：</w:t>
      </w:r>
      <w:r>
        <w:rPr>
          <w:rFonts w:hint="eastAsia" w:asciiTheme="minorEastAsia" w:hAnsiTheme="minorEastAsia" w:cstheme="minorEastAsia"/>
          <w:color w:val="auto"/>
          <w:sz w:val="24"/>
          <w:highlight w:val="none"/>
          <w:u w:val="single"/>
        </w:rPr>
        <w:t xml:space="preserve">             </w:t>
      </w:r>
    </w:p>
    <w:p w14:paraId="3DA15FC5">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Theme="minorEastAsia" w:hAnsiTheme="minorEastAsia" w:cstheme="minorEastAsia"/>
          <w:color w:val="auto"/>
          <w:sz w:val="24"/>
          <w:highlight w:val="none"/>
        </w:rPr>
        <w:t>日    期：</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年</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月</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日</w:t>
      </w:r>
    </w:p>
    <w:p w14:paraId="114FAA43">
      <w:pPr>
        <w:spacing w:line="560" w:lineRule="exact"/>
        <w:ind w:firstLine="560" w:firstLineChars="200"/>
        <w:jc w:val="left"/>
        <w:rPr>
          <w:rFonts w:ascii="宋体" w:hAnsi="宋体" w:eastAsia="宋体" w:cs="宋体"/>
          <w:color w:val="auto"/>
          <w:sz w:val="28"/>
          <w:szCs w:val="28"/>
          <w:highlight w:val="none"/>
        </w:rPr>
      </w:pPr>
    </w:p>
    <w:p w14:paraId="733B2DF2">
      <w:pPr>
        <w:widowControl/>
        <w:spacing w:line="560" w:lineRule="exact"/>
        <w:ind w:firstLine="562" w:firstLineChars="200"/>
        <w:jc w:val="left"/>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70E9DC5A">
      <w:pPr>
        <w:spacing w:line="560" w:lineRule="exact"/>
        <w:jc w:val="left"/>
        <w:outlineLvl w:val="1"/>
        <w:rPr>
          <w:rFonts w:ascii="宋体" w:hAnsi="宋体" w:eastAsia="宋体" w:cs="宋体"/>
          <w:b/>
          <w:color w:val="auto"/>
          <w:sz w:val="28"/>
          <w:szCs w:val="28"/>
          <w:highlight w:val="none"/>
        </w:rPr>
      </w:pPr>
      <w:bookmarkStart w:id="20" w:name="_Toc3986"/>
      <w:r>
        <w:rPr>
          <w:rFonts w:hint="eastAsia" w:ascii="宋体" w:hAnsi="宋体" w:eastAsia="宋体" w:cs="宋体"/>
          <w:b/>
          <w:color w:val="auto"/>
          <w:sz w:val="28"/>
          <w:szCs w:val="28"/>
          <w:highlight w:val="none"/>
        </w:rPr>
        <w:t>附件二、法定代表人授权书格式</w:t>
      </w:r>
      <w:bookmarkEnd w:id="20"/>
    </w:p>
    <w:p w14:paraId="237A3BFE">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法定代表人授权委托书</w:t>
      </w:r>
    </w:p>
    <w:p w14:paraId="11F9C981">
      <w:pPr>
        <w:adjustRightInd w:val="0"/>
        <w:snapToGrid w:val="0"/>
        <w:spacing w:line="560" w:lineRule="exact"/>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w:t>
      </w:r>
      <w:r>
        <w:rPr>
          <w:rFonts w:hint="eastAsia" w:asciiTheme="minorEastAsia" w:hAnsiTheme="minorEastAsia" w:cstheme="minorEastAsia"/>
          <w:color w:val="auto"/>
          <w:sz w:val="24"/>
          <w:highlight w:val="none"/>
          <w:lang w:val="zh-CN"/>
        </w:rPr>
        <w:t>南京市栖霞区人民政府八卦洲街道办事处</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 xml:space="preserve"> </w:t>
      </w:r>
    </w:p>
    <w:p w14:paraId="784104F9">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7E3772EC">
      <w:pPr>
        <w:pStyle w:val="9"/>
        <w:adjustRightInd w:val="0"/>
        <w:snapToGrid w:val="0"/>
        <w:spacing w:line="560" w:lineRule="exact"/>
        <w:ind w:firstLine="480" w:firstLineChars="200"/>
        <w:jc w:val="left"/>
        <w:rPr>
          <w:rFonts w:hAnsi="宋体" w:eastAsia="宋体" w:cs="宋体"/>
          <w:color w:val="auto"/>
          <w:sz w:val="24"/>
          <w:szCs w:val="24"/>
          <w:highlight w:val="none"/>
        </w:rPr>
      </w:pPr>
      <w:r>
        <w:rPr>
          <w:rFonts w:hint="eastAsia" w:hAnsi="宋体" w:eastAsia="宋体" w:cs="宋体"/>
          <w:color w:val="auto"/>
          <w:sz w:val="24"/>
          <w:szCs w:val="24"/>
          <w:highlight w:val="none"/>
        </w:rPr>
        <w:t>本授权书声明：注册于</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 xml:space="preserve">（供应商住址）的 </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（供应商名称）法定代表人（法定代表人姓名、职务）代表本公司授权在下面签字的（供应商代表姓名、职务）为本公司的合法代理人，就贵方组织的</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（项目名称），</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（项目编号）采购项目，以本公司名义处理一切与之有关的事务。</w:t>
      </w:r>
    </w:p>
    <w:p w14:paraId="43D29244">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本授权书于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日签字生效，特此声明。</w:t>
      </w:r>
    </w:p>
    <w:p w14:paraId="5D74C8BB">
      <w:pPr>
        <w:adjustRightInd w:val="0"/>
        <w:snapToGrid w:val="0"/>
        <w:spacing w:line="560" w:lineRule="exact"/>
        <w:ind w:firstLine="480" w:firstLineChars="200"/>
        <w:jc w:val="left"/>
        <w:rPr>
          <w:rFonts w:ascii="宋体" w:hAnsi="宋体" w:eastAsia="宋体" w:cs="宋体"/>
          <w:color w:val="auto"/>
          <w:sz w:val="24"/>
          <w:highlight w:val="none"/>
        </w:rPr>
      </w:pPr>
    </w:p>
    <w:p w14:paraId="3378144B">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法定代表人签字：</w:t>
      </w:r>
      <w:r>
        <w:rPr>
          <w:rFonts w:hint="eastAsia" w:ascii="宋体" w:hAnsi="宋体" w:eastAsia="宋体" w:cs="宋体"/>
          <w:color w:val="auto"/>
          <w:sz w:val="24"/>
          <w:highlight w:val="none"/>
          <w:u w:val="single"/>
        </w:rPr>
        <w:t xml:space="preserve">                    </w:t>
      </w:r>
    </w:p>
    <w:p w14:paraId="59EA9E63">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授权委托人签字：</w:t>
      </w:r>
      <w:r>
        <w:rPr>
          <w:rFonts w:hint="eastAsia" w:ascii="宋体" w:hAnsi="宋体" w:eastAsia="宋体" w:cs="宋体"/>
          <w:color w:val="auto"/>
          <w:sz w:val="24"/>
          <w:highlight w:val="none"/>
          <w:u w:val="single"/>
        </w:rPr>
        <w:t xml:space="preserve">                    </w:t>
      </w:r>
    </w:p>
    <w:p w14:paraId="3F9F9259">
      <w:pPr>
        <w:tabs>
          <w:tab w:val="left" w:pos="1440"/>
        </w:tabs>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7A3BD786">
      <w:pPr>
        <w:pStyle w:val="7"/>
        <w:spacing w:line="560" w:lineRule="exact"/>
        <w:ind w:firstLine="480" w:firstLineChars="200"/>
        <w:jc w:val="left"/>
        <w:rPr>
          <w:rFonts w:ascii="宋体" w:hAnsi="宋体" w:eastAsia="宋体" w:cs="宋体"/>
          <w:color w:val="auto"/>
          <w:sz w:val="24"/>
          <w:highlight w:val="none"/>
        </w:rPr>
      </w:pPr>
    </w:p>
    <w:p w14:paraId="4B730F61">
      <w:pPr>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法定代表人身份证：</w:t>
      </w:r>
    </w:p>
    <w:p w14:paraId="2A2B9C45">
      <w:pPr>
        <w:autoSpaceDE w:val="0"/>
        <w:autoSpaceDN w:val="0"/>
        <w:adjustRightInd w:val="0"/>
        <w:spacing w:line="560" w:lineRule="exact"/>
        <w:ind w:firstLine="480" w:firstLineChars="200"/>
        <w:jc w:val="left"/>
        <w:rPr>
          <w:rFonts w:ascii="宋体" w:hAnsi="宋体" w:eastAsia="宋体" w:cs="宋体"/>
          <w:color w:val="auto"/>
          <w:sz w:val="24"/>
          <w:highlight w:val="none"/>
          <w:lang w:val="zh-CN"/>
        </w:rPr>
      </w:pPr>
    </w:p>
    <w:p w14:paraId="5015A838">
      <w:pPr>
        <w:autoSpaceDE w:val="0"/>
        <w:autoSpaceDN w:val="0"/>
        <w:adjustRightInd w:val="0"/>
        <w:spacing w:line="560" w:lineRule="exact"/>
        <w:ind w:firstLine="480" w:firstLineChars="200"/>
        <w:jc w:val="left"/>
        <w:rPr>
          <w:rFonts w:ascii="宋体" w:hAnsi="宋体" w:eastAsia="宋体" w:cs="宋体"/>
          <w:color w:val="auto"/>
          <w:sz w:val="24"/>
          <w:highlight w:val="none"/>
          <w:lang w:val="zh-CN"/>
        </w:rPr>
      </w:pPr>
    </w:p>
    <w:p w14:paraId="14A0ADD5">
      <w:pPr>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授权</w:t>
      </w:r>
      <w:r>
        <w:rPr>
          <w:rFonts w:hint="eastAsia" w:ascii="宋体" w:hAnsi="宋体" w:eastAsia="宋体" w:cs="宋体"/>
          <w:color w:val="auto"/>
          <w:sz w:val="24"/>
          <w:highlight w:val="none"/>
          <w:lang w:val="zh-CN"/>
        </w:rPr>
        <w:t>代理人身份证：</w:t>
      </w:r>
    </w:p>
    <w:p w14:paraId="5E5944A2">
      <w:pPr>
        <w:pStyle w:val="7"/>
        <w:spacing w:line="560" w:lineRule="exact"/>
        <w:ind w:left="0" w:leftChars="0" w:firstLine="560" w:firstLineChars="200"/>
        <w:rPr>
          <w:rFonts w:ascii="宋体" w:hAnsi="宋体" w:eastAsia="宋体" w:cs="宋体"/>
          <w:color w:val="auto"/>
          <w:sz w:val="28"/>
          <w:szCs w:val="28"/>
          <w:highlight w:val="none"/>
        </w:rPr>
      </w:pPr>
    </w:p>
    <w:p w14:paraId="71A24453">
      <w:pPr>
        <w:pStyle w:val="7"/>
        <w:spacing w:line="560" w:lineRule="exact"/>
        <w:ind w:left="0" w:leftChars="0" w:firstLine="560" w:firstLineChars="200"/>
        <w:rPr>
          <w:rFonts w:ascii="宋体" w:hAnsi="宋体" w:eastAsia="宋体" w:cs="宋体"/>
          <w:color w:val="auto"/>
          <w:sz w:val="28"/>
          <w:szCs w:val="28"/>
          <w:highlight w:val="none"/>
        </w:rPr>
      </w:pPr>
    </w:p>
    <w:p w14:paraId="3BA287B1">
      <w:pPr>
        <w:spacing w:line="560" w:lineRule="exact"/>
        <w:ind w:firstLine="562" w:firstLineChars="200"/>
        <w:rPr>
          <w:rFonts w:ascii="宋体" w:hAnsi="宋体" w:eastAsia="宋体" w:cs="宋体"/>
          <w:b/>
          <w:color w:val="auto"/>
          <w:sz w:val="28"/>
          <w:highlight w:val="none"/>
        </w:rPr>
      </w:pPr>
      <w:r>
        <w:rPr>
          <w:rFonts w:hint="eastAsia" w:ascii="宋体" w:hAnsi="宋体" w:eastAsia="宋体" w:cs="宋体"/>
          <w:b/>
          <w:color w:val="auto"/>
          <w:sz w:val="28"/>
          <w:szCs w:val="28"/>
          <w:highlight w:val="none"/>
        </w:rPr>
        <w:br w:type="page"/>
      </w:r>
    </w:p>
    <w:p w14:paraId="089711E0">
      <w:pPr>
        <w:spacing w:line="560" w:lineRule="exact"/>
        <w:jc w:val="left"/>
        <w:outlineLvl w:val="1"/>
        <w:rPr>
          <w:rFonts w:ascii="宋体" w:hAnsi="宋体" w:eastAsia="宋体" w:cs="宋体"/>
          <w:b/>
          <w:color w:val="auto"/>
          <w:sz w:val="28"/>
          <w:highlight w:val="none"/>
        </w:rPr>
      </w:pPr>
      <w:bookmarkStart w:id="21" w:name="_Toc2785"/>
      <w:r>
        <w:rPr>
          <w:rFonts w:hint="eastAsia" w:ascii="宋体" w:hAnsi="宋体" w:eastAsia="宋体" w:cs="宋体"/>
          <w:b/>
          <w:color w:val="auto"/>
          <w:sz w:val="28"/>
          <w:highlight w:val="none"/>
        </w:rPr>
        <w:t>附件三、报价表</w:t>
      </w:r>
      <w:bookmarkEnd w:id="21"/>
    </w:p>
    <w:p w14:paraId="55396E09">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报价表</w:t>
      </w:r>
    </w:p>
    <w:tbl>
      <w:tblPr>
        <w:tblStyle w:val="19"/>
        <w:tblW w:w="9736" w:type="dxa"/>
        <w:tblInd w:w="85" w:type="dxa"/>
        <w:tblLayout w:type="fixed"/>
        <w:tblCellMar>
          <w:top w:w="0" w:type="dxa"/>
          <w:left w:w="10" w:type="dxa"/>
          <w:bottom w:w="0" w:type="dxa"/>
          <w:right w:w="10" w:type="dxa"/>
        </w:tblCellMar>
      </w:tblPr>
      <w:tblGrid>
        <w:gridCol w:w="3736"/>
        <w:gridCol w:w="6000"/>
      </w:tblGrid>
      <w:tr w14:paraId="32BDB979">
        <w:tblPrEx>
          <w:tblCellMar>
            <w:top w:w="0" w:type="dxa"/>
            <w:left w:w="10" w:type="dxa"/>
            <w:bottom w:w="0" w:type="dxa"/>
            <w:right w:w="10" w:type="dxa"/>
          </w:tblCellMar>
        </w:tblPrEx>
        <w:trPr>
          <w:trHeight w:val="737" w:hRule="atLeast"/>
        </w:trPr>
        <w:tc>
          <w:tcPr>
            <w:tcW w:w="9736" w:type="dxa"/>
            <w:gridSpan w:val="2"/>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75BB64B">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项目名称：                                                            项目编号：</w:t>
            </w:r>
          </w:p>
        </w:tc>
      </w:tr>
      <w:tr w14:paraId="516E23F2">
        <w:tblPrEx>
          <w:tblCellMar>
            <w:top w:w="0" w:type="dxa"/>
            <w:left w:w="10" w:type="dxa"/>
            <w:bottom w:w="0" w:type="dxa"/>
            <w:right w:w="10" w:type="dxa"/>
          </w:tblCellMar>
        </w:tblPrEx>
        <w:trPr>
          <w:trHeight w:val="737" w:hRule="atLeast"/>
        </w:trPr>
        <w:tc>
          <w:tcPr>
            <w:tcW w:w="3736" w:type="dxa"/>
            <w:vMerge w:val="restart"/>
            <w:tcBorders>
              <w:top w:val="single" w:color="000000" w:sz="6" w:space="0"/>
              <w:left w:val="single" w:color="000000" w:sz="6" w:space="0"/>
              <w:right w:val="single" w:color="000000" w:sz="6" w:space="0"/>
            </w:tcBorders>
            <w:shd w:val="clear" w:color="000000" w:fill="FFFFFF"/>
            <w:tcMar>
              <w:left w:w="108" w:type="dxa"/>
              <w:right w:w="108" w:type="dxa"/>
            </w:tcMar>
            <w:vAlign w:val="center"/>
          </w:tcPr>
          <w:p w14:paraId="32ABD7FC">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投标总报价</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A94A6D4">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bCs/>
                <w:color w:val="auto"/>
                <w:szCs w:val="21"/>
                <w:highlight w:val="none"/>
              </w:rPr>
              <w:t xml:space="preserve">小写：人民币                     </w:t>
            </w:r>
          </w:p>
        </w:tc>
      </w:tr>
      <w:tr w14:paraId="1F223640">
        <w:tblPrEx>
          <w:tblCellMar>
            <w:top w:w="0" w:type="dxa"/>
            <w:left w:w="10" w:type="dxa"/>
            <w:bottom w:w="0" w:type="dxa"/>
            <w:right w:w="10" w:type="dxa"/>
          </w:tblCellMar>
        </w:tblPrEx>
        <w:trPr>
          <w:trHeight w:val="737" w:hRule="atLeast"/>
        </w:trPr>
        <w:tc>
          <w:tcPr>
            <w:tcW w:w="3736" w:type="dxa"/>
            <w:vMerge w:val="continue"/>
            <w:tcBorders>
              <w:left w:val="single" w:color="000000" w:sz="6" w:space="0"/>
              <w:bottom w:val="single" w:color="000000" w:sz="6" w:space="0"/>
              <w:right w:val="single" w:color="000000" w:sz="6" w:space="0"/>
            </w:tcBorders>
            <w:shd w:val="clear" w:color="000000" w:fill="FFFFFF"/>
            <w:tcMar>
              <w:left w:w="108" w:type="dxa"/>
              <w:right w:w="108" w:type="dxa"/>
            </w:tcMar>
            <w:vAlign w:val="center"/>
          </w:tcPr>
          <w:p w14:paraId="19DB6E50">
            <w:pPr>
              <w:adjustRightInd w:val="0"/>
              <w:snapToGrid w:val="0"/>
              <w:spacing w:line="560" w:lineRule="exact"/>
              <w:jc w:val="center"/>
              <w:rPr>
                <w:rFonts w:ascii="宋体" w:hAnsi="宋体" w:eastAsia="宋体" w:cs="宋体"/>
                <w:color w:val="auto"/>
                <w:szCs w:val="21"/>
                <w:highlight w:val="none"/>
              </w:rPr>
            </w:pP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D1A25CD">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bCs/>
                <w:color w:val="auto"/>
                <w:szCs w:val="21"/>
                <w:highlight w:val="none"/>
              </w:rPr>
              <w:t xml:space="preserve">大写：人民币                         </w:t>
            </w:r>
          </w:p>
        </w:tc>
      </w:tr>
      <w:tr w14:paraId="225D8564">
        <w:tblPrEx>
          <w:tblCellMar>
            <w:top w:w="0" w:type="dxa"/>
            <w:left w:w="10" w:type="dxa"/>
            <w:bottom w:w="0" w:type="dxa"/>
            <w:right w:w="10" w:type="dxa"/>
          </w:tblCellMar>
        </w:tblPrEx>
        <w:trPr>
          <w:trHeight w:val="737" w:hRule="atLeast"/>
        </w:trPr>
        <w:tc>
          <w:tcPr>
            <w:tcW w:w="3736" w:type="dxa"/>
            <w:tcBorders>
              <w:left w:val="single" w:color="000000" w:sz="6" w:space="0"/>
              <w:bottom w:val="single" w:color="000000" w:sz="6" w:space="0"/>
              <w:right w:val="single" w:color="000000" w:sz="6" w:space="0"/>
            </w:tcBorders>
            <w:tcMar>
              <w:left w:w="108" w:type="dxa"/>
              <w:right w:w="108" w:type="dxa"/>
            </w:tcMar>
            <w:vAlign w:val="center"/>
          </w:tcPr>
          <w:p w14:paraId="5BC621AA">
            <w:pPr>
              <w:pStyle w:val="4"/>
              <w:spacing w:line="560" w:lineRule="exact"/>
              <w:ind w:firstLine="0"/>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服务时间</w:t>
            </w:r>
          </w:p>
        </w:tc>
        <w:tc>
          <w:tcPr>
            <w:tcW w:w="6000"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030B2EE">
            <w:pPr>
              <w:pStyle w:val="4"/>
              <w:tabs>
                <w:tab w:val="left" w:pos="3624"/>
              </w:tabs>
              <w:spacing w:line="560" w:lineRule="exact"/>
              <w:ind w:firstLine="0"/>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满足磋商文件要求</w:t>
            </w:r>
          </w:p>
        </w:tc>
      </w:tr>
      <w:tr w14:paraId="22A71A71">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8593E93">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9D5B35B">
            <w:pPr>
              <w:adjustRightInd w:val="0"/>
              <w:snapToGrid w:val="0"/>
              <w:spacing w:line="560" w:lineRule="exact"/>
              <w:jc w:val="center"/>
              <w:rPr>
                <w:rFonts w:ascii="宋体" w:hAnsi="宋体" w:eastAsia="宋体" w:cs="宋体"/>
                <w:color w:val="auto"/>
                <w:szCs w:val="21"/>
                <w:highlight w:val="none"/>
              </w:rPr>
            </w:pPr>
          </w:p>
        </w:tc>
      </w:tr>
      <w:tr w14:paraId="46D2C94F">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8A73932">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供应商是否属于小微型企业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286B084">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r w14:paraId="77C40F2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6CA6DC3">
            <w:pPr>
              <w:pStyle w:val="4"/>
              <w:spacing w:line="560" w:lineRule="exact"/>
              <w:ind w:firstLine="0"/>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供应商是否属于残疾人福利性单位</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51A3BCD">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r w14:paraId="6981BD8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1062649">
            <w:pPr>
              <w:pStyle w:val="4"/>
              <w:spacing w:line="560" w:lineRule="exact"/>
              <w:ind w:firstLine="0"/>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供应商是否属于监狱企业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FD28EDC">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bl>
    <w:p w14:paraId="3C8BB541">
      <w:pPr>
        <w:widowControl/>
        <w:spacing w:line="560" w:lineRule="exact"/>
        <w:ind w:firstLine="560" w:firstLineChars="200"/>
        <w:jc w:val="left"/>
        <w:rPr>
          <w:rFonts w:ascii="宋体" w:hAnsi="宋体" w:eastAsia="宋体" w:cs="宋体"/>
          <w:color w:val="auto"/>
          <w:sz w:val="28"/>
          <w:highlight w:val="none"/>
        </w:rPr>
      </w:pPr>
    </w:p>
    <w:p w14:paraId="4342EBBA">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5ECA1388">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3EE959CD">
      <w:pPr>
        <w:adjustRightInd w:val="0"/>
        <w:snapToGrid w:val="0"/>
        <w:spacing w:line="560" w:lineRule="exact"/>
        <w:ind w:firstLine="560" w:firstLineChars="200"/>
        <w:jc w:val="left"/>
        <w:rPr>
          <w:rFonts w:ascii="宋体" w:hAnsi="宋体" w:eastAsia="宋体" w:cs="宋体"/>
          <w:color w:val="auto"/>
          <w:sz w:val="28"/>
          <w:highlight w:val="none"/>
        </w:rPr>
      </w:pPr>
    </w:p>
    <w:p w14:paraId="75DC39A2">
      <w:pPr>
        <w:adjustRightInd w:val="0"/>
        <w:snapToGrid w:val="0"/>
        <w:spacing w:line="560" w:lineRule="exact"/>
        <w:ind w:firstLine="482" w:firstLineChars="200"/>
        <w:jc w:val="left"/>
        <w:rPr>
          <w:rFonts w:asciiTheme="minorEastAsia" w:hAnsiTheme="minorEastAsia" w:cstheme="minorEastAsia"/>
          <w:b/>
          <w:bCs/>
          <w:color w:val="auto"/>
          <w:sz w:val="24"/>
          <w:highlight w:val="none"/>
        </w:rPr>
      </w:pPr>
      <w:r>
        <w:rPr>
          <w:rFonts w:hint="eastAsia" w:asciiTheme="minorEastAsia" w:hAnsiTheme="minorEastAsia" w:cstheme="minorEastAsia"/>
          <w:b/>
          <w:bCs/>
          <w:color w:val="auto"/>
          <w:sz w:val="24"/>
          <w:highlight w:val="none"/>
        </w:rPr>
        <w:t>注：1.“供应商是否属于小微型企业</w:t>
      </w:r>
      <w:r>
        <w:rPr>
          <w:rFonts w:hint="eastAsia" w:asciiTheme="minorEastAsia" w:hAnsiTheme="minorEastAsia" w:cstheme="minorEastAsia"/>
          <w:b/>
          <w:bCs/>
          <w:color w:val="auto"/>
          <w:sz w:val="24"/>
          <w:highlight w:val="none"/>
          <w:lang w:val="zh-CN"/>
        </w:rPr>
        <w:t>”</w:t>
      </w:r>
      <w:r>
        <w:rPr>
          <w:rFonts w:hint="eastAsia" w:asciiTheme="minorEastAsia" w:hAnsiTheme="minorEastAsia" w:cstheme="minorEastAsia"/>
          <w:b/>
          <w:bCs/>
          <w:color w:val="auto"/>
          <w:sz w:val="24"/>
          <w:highlight w:val="none"/>
        </w:rPr>
        <w:t xml:space="preserve"> “供应商</w:t>
      </w:r>
      <w:r>
        <w:rPr>
          <w:rFonts w:hint="eastAsia" w:asciiTheme="minorEastAsia" w:hAnsiTheme="minorEastAsia" w:cstheme="minorEastAsia"/>
          <w:b/>
          <w:bCs/>
          <w:color w:val="auto"/>
          <w:sz w:val="24"/>
          <w:highlight w:val="none"/>
          <w:lang w:val="zh-CN"/>
        </w:rPr>
        <w:t>是否属于残疾人福利性单位</w:t>
      </w:r>
      <w:r>
        <w:rPr>
          <w:rFonts w:hint="eastAsia" w:asciiTheme="minorEastAsia" w:hAnsiTheme="minorEastAsia" w:cstheme="minorEastAsia"/>
          <w:b/>
          <w:bCs/>
          <w:color w:val="auto"/>
          <w:sz w:val="24"/>
          <w:highlight w:val="none"/>
        </w:rPr>
        <w:t>” “供应商是否属于监狱企业”栏后“是”或“否”前（打“√”）</w:t>
      </w:r>
      <w:r>
        <w:rPr>
          <w:rFonts w:hint="eastAsia" w:asciiTheme="minorEastAsia" w:hAnsiTheme="minorEastAsia" w:cstheme="minorEastAsia"/>
          <w:b/>
          <w:bCs/>
          <w:color w:val="auto"/>
          <w:sz w:val="24"/>
          <w:highlight w:val="none"/>
          <w:lang w:val="zh-CN"/>
        </w:rPr>
        <w:t>。如“是”，</w:t>
      </w:r>
      <w:r>
        <w:rPr>
          <w:rFonts w:hint="eastAsia" w:asciiTheme="minorEastAsia" w:hAnsiTheme="minorEastAsia" w:cstheme="minorEastAsia"/>
          <w:b/>
          <w:bCs/>
          <w:color w:val="auto"/>
          <w:sz w:val="24"/>
          <w:highlight w:val="none"/>
        </w:rPr>
        <w:t>供应商需提供《中小企业声明函》、《残疾人福利性单位声明函》、属于监狱企业的证明文件，如未按要求提供、填写，或相关内容表述不清前后矛盾的，不享受价格扣除。</w:t>
      </w:r>
    </w:p>
    <w:p w14:paraId="243395A4">
      <w:pPr>
        <w:adjustRightInd w:val="0"/>
        <w:snapToGrid w:val="0"/>
        <w:spacing w:line="560" w:lineRule="exact"/>
        <w:ind w:firstLine="482" w:firstLineChars="200"/>
        <w:jc w:val="left"/>
        <w:rPr>
          <w:rFonts w:asciiTheme="minorEastAsia" w:hAnsiTheme="minorEastAsia" w:cstheme="minorEastAsia"/>
          <w:b/>
          <w:bCs/>
          <w:color w:val="auto"/>
          <w:sz w:val="24"/>
          <w:highlight w:val="none"/>
        </w:rPr>
      </w:pPr>
      <w:r>
        <w:rPr>
          <w:rFonts w:hint="eastAsia" w:asciiTheme="minorEastAsia" w:hAnsiTheme="minorEastAsia" w:cstheme="minorEastAsia"/>
          <w:b/>
          <w:bCs/>
          <w:color w:val="auto"/>
          <w:sz w:val="24"/>
          <w:highlight w:val="none"/>
        </w:rPr>
        <w:t>2.磋商结束后，磋商小组将要求所有实质性响应的供应商在规定时间内提交最后报价。</w:t>
      </w:r>
    </w:p>
    <w:p w14:paraId="6BAD5B90">
      <w:pPr>
        <w:pStyle w:val="26"/>
        <w:rPr>
          <w:color w:val="auto"/>
          <w:highlight w:val="none"/>
        </w:rPr>
      </w:pPr>
    </w:p>
    <w:p w14:paraId="05681C7A">
      <w:pPr>
        <w:spacing w:line="560" w:lineRule="exact"/>
        <w:ind w:firstLine="562" w:firstLineChars="200"/>
        <w:rPr>
          <w:rFonts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1310C80C">
      <w:pPr>
        <w:spacing w:line="560" w:lineRule="exact"/>
        <w:jc w:val="left"/>
        <w:outlineLvl w:val="1"/>
        <w:rPr>
          <w:rFonts w:ascii="宋体" w:hAnsi="宋体" w:eastAsia="宋体" w:cs="宋体"/>
          <w:b/>
          <w:color w:val="auto"/>
          <w:sz w:val="28"/>
          <w:szCs w:val="28"/>
          <w:highlight w:val="none"/>
        </w:rPr>
      </w:pPr>
      <w:bookmarkStart w:id="22" w:name="_Toc19323"/>
      <w:r>
        <w:rPr>
          <w:rFonts w:hint="eastAsia" w:ascii="宋体" w:hAnsi="宋体" w:eastAsia="宋体" w:cs="宋体"/>
          <w:b/>
          <w:color w:val="auto"/>
          <w:sz w:val="28"/>
          <w:szCs w:val="28"/>
          <w:highlight w:val="none"/>
        </w:rPr>
        <w:t>附件四、分项报价表</w:t>
      </w:r>
      <w:bookmarkEnd w:id="22"/>
    </w:p>
    <w:p w14:paraId="4F4363B7">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分项报价表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471"/>
        <w:gridCol w:w="819"/>
        <w:gridCol w:w="1074"/>
        <w:gridCol w:w="1504"/>
        <w:gridCol w:w="1504"/>
        <w:gridCol w:w="1603"/>
      </w:tblGrid>
      <w:tr w14:paraId="064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Pr>
          <w:p w14:paraId="2CFCFEA2">
            <w:pPr>
              <w:widowControl/>
              <w:adjustRightInd w:val="0"/>
              <w:spacing w:line="56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项目名称：                                  项目编号：</w:t>
            </w:r>
          </w:p>
        </w:tc>
      </w:tr>
      <w:tr w14:paraId="35B4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57E0DC5F">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序号</w:t>
            </w:r>
          </w:p>
        </w:tc>
        <w:tc>
          <w:tcPr>
            <w:tcW w:w="1270" w:type="pct"/>
            <w:vAlign w:val="center"/>
          </w:tcPr>
          <w:p w14:paraId="68B5A552">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服务分项</w:t>
            </w:r>
          </w:p>
        </w:tc>
        <w:tc>
          <w:tcPr>
            <w:tcW w:w="421" w:type="pct"/>
            <w:vAlign w:val="center"/>
          </w:tcPr>
          <w:p w14:paraId="3F03CA43">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数量</w:t>
            </w:r>
          </w:p>
        </w:tc>
        <w:tc>
          <w:tcPr>
            <w:tcW w:w="552" w:type="pct"/>
            <w:vAlign w:val="center"/>
          </w:tcPr>
          <w:p w14:paraId="3DAA1BC8">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单位</w:t>
            </w:r>
          </w:p>
        </w:tc>
        <w:tc>
          <w:tcPr>
            <w:tcW w:w="773" w:type="pct"/>
            <w:vAlign w:val="center"/>
          </w:tcPr>
          <w:p w14:paraId="09C02F4C">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单价</w:t>
            </w:r>
            <w:r>
              <w:rPr>
                <w:rFonts w:hint="eastAsia" w:ascii="宋体" w:hAnsi="宋体" w:eastAsia="宋体" w:cs="宋体"/>
                <w:color w:val="auto"/>
                <w:kern w:val="0"/>
                <w:szCs w:val="21"/>
                <w:highlight w:val="none"/>
              </w:rPr>
              <w:t>（元）</w:t>
            </w:r>
          </w:p>
        </w:tc>
        <w:tc>
          <w:tcPr>
            <w:tcW w:w="773" w:type="pct"/>
            <w:vAlign w:val="center"/>
          </w:tcPr>
          <w:p w14:paraId="382A58CB">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总价（元）</w:t>
            </w:r>
          </w:p>
        </w:tc>
        <w:tc>
          <w:tcPr>
            <w:tcW w:w="820" w:type="pct"/>
            <w:vAlign w:val="center"/>
          </w:tcPr>
          <w:p w14:paraId="59795C2D">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是否属于小、微型企业的服务</w:t>
            </w:r>
          </w:p>
        </w:tc>
      </w:tr>
      <w:tr w14:paraId="1C62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12E63693">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270" w:type="pct"/>
          </w:tcPr>
          <w:p w14:paraId="58E6B3F1">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例：人员费用</w:t>
            </w:r>
          </w:p>
        </w:tc>
        <w:tc>
          <w:tcPr>
            <w:tcW w:w="421" w:type="pct"/>
          </w:tcPr>
          <w:p w14:paraId="3FBEBDDA">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552" w:type="pct"/>
          </w:tcPr>
          <w:p w14:paraId="424AA6CD">
            <w:pPr>
              <w:widowControl/>
              <w:adjustRightInd w:val="0"/>
              <w:spacing w:line="560" w:lineRule="exact"/>
              <w:jc w:val="center"/>
              <w:rPr>
                <w:rFonts w:ascii="宋体" w:hAnsi="宋体" w:eastAsia="宋体" w:cs="宋体"/>
                <w:color w:val="auto"/>
                <w:kern w:val="0"/>
                <w:szCs w:val="21"/>
                <w:highlight w:val="none"/>
              </w:rPr>
            </w:pPr>
          </w:p>
        </w:tc>
        <w:tc>
          <w:tcPr>
            <w:tcW w:w="773" w:type="pct"/>
          </w:tcPr>
          <w:p w14:paraId="133FA32B">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xx</w:t>
            </w:r>
          </w:p>
        </w:tc>
        <w:tc>
          <w:tcPr>
            <w:tcW w:w="773" w:type="pct"/>
          </w:tcPr>
          <w:p w14:paraId="4BED0BC9">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xx</w:t>
            </w:r>
          </w:p>
        </w:tc>
        <w:tc>
          <w:tcPr>
            <w:tcW w:w="820" w:type="pct"/>
          </w:tcPr>
          <w:p w14:paraId="3F6DAC30">
            <w:pPr>
              <w:widowControl/>
              <w:adjustRightInd w:val="0"/>
              <w:spacing w:line="560" w:lineRule="exact"/>
              <w:jc w:val="center"/>
              <w:rPr>
                <w:rFonts w:ascii="宋体" w:hAnsi="宋体" w:eastAsia="宋体" w:cs="宋体"/>
                <w:color w:val="auto"/>
                <w:kern w:val="0"/>
                <w:szCs w:val="21"/>
                <w:highlight w:val="none"/>
                <w:lang w:val="zh-CN"/>
              </w:rPr>
            </w:pPr>
          </w:p>
        </w:tc>
      </w:tr>
      <w:tr w14:paraId="24EF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23E1CCB">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1270" w:type="pct"/>
          </w:tcPr>
          <w:p w14:paraId="4CFED247">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6D740DAB">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745CDA5E">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2333ED76">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7E142483">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0543B64C">
            <w:pPr>
              <w:widowControl/>
              <w:adjustRightInd w:val="0"/>
              <w:spacing w:line="560" w:lineRule="exact"/>
              <w:jc w:val="center"/>
              <w:rPr>
                <w:rFonts w:ascii="宋体" w:hAnsi="宋体" w:eastAsia="宋体" w:cs="宋体"/>
                <w:color w:val="auto"/>
                <w:kern w:val="0"/>
                <w:szCs w:val="21"/>
                <w:highlight w:val="none"/>
                <w:lang w:val="zh-CN"/>
              </w:rPr>
            </w:pPr>
          </w:p>
        </w:tc>
      </w:tr>
      <w:tr w14:paraId="35B5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23F1D9E2">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1270" w:type="pct"/>
          </w:tcPr>
          <w:p w14:paraId="53545EC1">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4AE25BFB">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3C7C60C9">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4BEE58D6">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BAC3599">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039D976A">
            <w:pPr>
              <w:widowControl/>
              <w:adjustRightInd w:val="0"/>
              <w:spacing w:line="560" w:lineRule="exact"/>
              <w:jc w:val="center"/>
              <w:rPr>
                <w:rFonts w:ascii="宋体" w:hAnsi="宋体" w:eastAsia="宋体" w:cs="宋体"/>
                <w:color w:val="auto"/>
                <w:kern w:val="0"/>
                <w:szCs w:val="21"/>
                <w:highlight w:val="none"/>
                <w:lang w:val="zh-CN"/>
              </w:rPr>
            </w:pPr>
          </w:p>
        </w:tc>
      </w:tr>
      <w:tr w14:paraId="21B5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0B99A54">
            <w:pPr>
              <w:widowControl/>
              <w:adjustRightInd w:val="0"/>
              <w:spacing w:line="560" w:lineRule="exact"/>
              <w:jc w:val="center"/>
              <w:rPr>
                <w:rFonts w:ascii="宋体" w:hAnsi="宋体" w:eastAsia="宋体" w:cs="宋体"/>
                <w:color w:val="auto"/>
                <w:kern w:val="0"/>
                <w:szCs w:val="21"/>
                <w:highlight w:val="none"/>
              </w:rPr>
            </w:pPr>
          </w:p>
        </w:tc>
        <w:tc>
          <w:tcPr>
            <w:tcW w:w="1270" w:type="pct"/>
          </w:tcPr>
          <w:p w14:paraId="04227FB4">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1F4FC265">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3D92ABAB">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64CA6B2">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59A3293D">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702D9743">
            <w:pPr>
              <w:widowControl/>
              <w:adjustRightInd w:val="0"/>
              <w:spacing w:line="560" w:lineRule="exact"/>
              <w:jc w:val="center"/>
              <w:rPr>
                <w:rFonts w:ascii="宋体" w:hAnsi="宋体" w:eastAsia="宋体" w:cs="宋体"/>
                <w:color w:val="auto"/>
                <w:kern w:val="0"/>
                <w:szCs w:val="21"/>
                <w:highlight w:val="none"/>
                <w:lang w:val="zh-CN"/>
              </w:rPr>
            </w:pPr>
          </w:p>
        </w:tc>
      </w:tr>
      <w:tr w14:paraId="4265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73F6D282">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tc>
        <w:tc>
          <w:tcPr>
            <w:tcW w:w="1270" w:type="pct"/>
          </w:tcPr>
          <w:p w14:paraId="4BB6F694">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5243F525">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6E56C58F">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450ADFA8">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610CF57">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1844F9E3">
            <w:pPr>
              <w:widowControl/>
              <w:adjustRightInd w:val="0"/>
              <w:spacing w:line="560" w:lineRule="exact"/>
              <w:jc w:val="center"/>
              <w:rPr>
                <w:rFonts w:ascii="宋体" w:hAnsi="宋体" w:eastAsia="宋体" w:cs="宋体"/>
                <w:color w:val="auto"/>
                <w:kern w:val="0"/>
                <w:szCs w:val="21"/>
                <w:highlight w:val="none"/>
                <w:lang w:val="zh-CN"/>
              </w:rPr>
            </w:pPr>
          </w:p>
        </w:tc>
      </w:tr>
      <w:tr w14:paraId="518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58" w:type="pct"/>
            <w:gridSpan w:val="2"/>
            <w:vAlign w:val="center"/>
          </w:tcPr>
          <w:p w14:paraId="7305E4C3">
            <w:pPr>
              <w:widowControl/>
              <w:snapToGri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w:t>
            </w:r>
            <w:r>
              <w:rPr>
                <w:rFonts w:hint="eastAsia" w:ascii="宋体" w:hAnsi="宋体" w:eastAsia="宋体" w:cs="宋体"/>
                <w:color w:val="auto"/>
                <w:kern w:val="0"/>
                <w:szCs w:val="21"/>
                <w:highlight w:val="none"/>
                <w:lang w:val="zh-CN"/>
              </w:rPr>
              <w:t>总价（人民币，大写）</w:t>
            </w:r>
          </w:p>
        </w:tc>
        <w:tc>
          <w:tcPr>
            <w:tcW w:w="3341" w:type="pct"/>
            <w:gridSpan w:val="5"/>
          </w:tcPr>
          <w:p w14:paraId="24979EEA">
            <w:pPr>
              <w:widowControl/>
              <w:snapToGrid w:val="0"/>
              <w:spacing w:line="560" w:lineRule="exact"/>
              <w:ind w:firstLine="1470" w:firstLineChars="7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圆</w:t>
            </w:r>
          </w:p>
        </w:tc>
      </w:tr>
    </w:tbl>
    <w:p w14:paraId="3B7ABF3A">
      <w:pPr>
        <w:adjustRightInd w:val="0"/>
        <w:snapToGrid w:val="0"/>
        <w:spacing w:line="560" w:lineRule="exact"/>
        <w:ind w:firstLine="560" w:firstLineChars="200"/>
        <w:jc w:val="left"/>
        <w:rPr>
          <w:rFonts w:ascii="宋体" w:hAnsi="宋体" w:eastAsia="宋体" w:cs="宋体"/>
          <w:color w:val="auto"/>
          <w:sz w:val="28"/>
          <w:highlight w:val="none"/>
        </w:rPr>
      </w:pPr>
    </w:p>
    <w:p w14:paraId="32393AA9">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19983296">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4ABC0A88">
      <w:pPr>
        <w:adjustRightInd w:val="0"/>
        <w:snapToGrid w:val="0"/>
        <w:spacing w:line="560" w:lineRule="exact"/>
        <w:ind w:firstLine="480" w:firstLineChars="200"/>
        <w:jc w:val="left"/>
        <w:rPr>
          <w:rFonts w:ascii="宋体" w:hAnsi="宋体" w:eastAsia="宋体" w:cs="宋体"/>
          <w:color w:val="auto"/>
          <w:sz w:val="24"/>
          <w:szCs w:val="22"/>
          <w:highlight w:val="none"/>
        </w:rPr>
      </w:pPr>
    </w:p>
    <w:p w14:paraId="175FAC81">
      <w:pPr>
        <w:adjustRightInd w:val="0"/>
        <w:snapToGrid w:val="0"/>
        <w:spacing w:line="560" w:lineRule="exact"/>
        <w:ind w:firstLine="482" w:firstLineChars="200"/>
        <w:jc w:val="left"/>
        <w:rPr>
          <w:rFonts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注：1.</w:t>
      </w:r>
      <w:r>
        <w:rPr>
          <w:rFonts w:hint="eastAsia" w:ascii="宋体" w:hAnsi="宋体" w:eastAsia="宋体" w:cs="宋体"/>
          <w:b/>
          <w:bCs/>
          <w:color w:val="auto"/>
          <w:sz w:val="24"/>
          <w:highlight w:val="none"/>
        </w:rPr>
        <w:t>在“是否属于小、微型企业的服务”栏内，填写“是”或“否”，如果小微型企业的服务报价无法划分计算的，评审时将不予认可。小型和微型企业服务是指供应商为小企业，且符合中小企业划分标准，提供本企业提供的服务。</w:t>
      </w:r>
    </w:p>
    <w:p w14:paraId="7FC885E8">
      <w:pPr>
        <w:pStyle w:val="38"/>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行数不够，供应商可自行增加。</w:t>
      </w:r>
    </w:p>
    <w:p w14:paraId="2A78656C">
      <w:pPr>
        <w:spacing w:line="560" w:lineRule="exact"/>
        <w:ind w:firstLine="420" w:firstLineChars="200"/>
        <w:jc w:val="left"/>
        <w:rPr>
          <w:rFonts w:ascii="宋体" w:hAnsi="宋体" w:eastAsia="宋体" w:cs="宋体"/>
          <w:color w:val="auto"/>
          <w:highlight w:val="none"/>
        </w:rPr>
      </w:pPr>
    </w:p>
    <w:p w14:paraId="605F9498">
      <w:pPr>
        <w:widowControl/>
        <w:spacing w:line="560" w:lineRule="exact"/>
        <w:ind w:firstLine="422" w:firstLineChars="200"/>
        <w:jc w:val="left"/>
        <w:rPr>
          <w:rFonts w:ascii="宋体" w:hAnsi="宋体" w:eastAsia="宋体" w:cs="宋体"/>
          <w:b/>
          <w:color w:val="auto"/>
          <w:highlight w:val="none"/>
        </w:rPr>
      </w:pPr>
      <w:r>
        <w:rPr>
          <w:rFonts w:hint="eastAsia" w:ascii="宋体" w:hAnsi="宋体" w:eastAsia="宋体" w:cs="宋体"/>
          <w:b/>
          <w:color w:val="auto"/>
          <w:highlight w:val="none"/>
        </w:rPr>
        <w:br w:type="page"/>
      </w:r>
    </w:p>
    <w:p w14:paraId="6BD05B69">
      <w:pPr>
        <w:spacing w:line="560" w:lineRule="exact"/>
        <w:jc w:val="left"/>
        <w:outlineLvl w:val="1"/>
        <w:rPr>
          <w:rFonts w:ascii="宋体" w:hAnsi="宋体" w:eastAsia="宋体" w:cs="宋体"/>
          <w:b/>
          <w:color w:val="auto"/>
          <w:sz w:val="28"/>
          <w:szCs w:val="28"/>
          <w:highlight w:val="none"/>
        </w:rPr>
      </w:pPr>
      <w:bookmarkStart w:id="23" w:name="_Toc10016"/>
      <w:bookmarkStart w:id="24" w:name="_Toc13917"/>
      <w:bookmarkStart w:id="25" w:name="_Toc10329"/>
      <w:r>
        <w:rPr>
          <w:rFonts w:hint="eastAsia" w:ascii="宋体" w:hAnsi="宋体" w:eastAsia="宋体" w:cs="宋体"/>
          <w:b/>
          <w:color w:val="auto"/>
          <w:sz w:val="28"/>
          <w:szCs w:val="28"/>
          <w:highlight w:val="none"/>
        </w:rPr>
        <w:t>附件五、技术要求响应及偏离表</w:t>
      </w:r>
      <w:bookmarkEnd w:id="23"/>
      <w:bookmarkEnd w:id="24"/>
      <w:bookmarkEnd w:id="25"/>
    </w:p>
    <w:p w14:paraId="5541E8E2">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技术要求响应及偏离表</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5DD3D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1663EA5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280" w:type="dxa"/>
            <w:vAlign w:val="center"/>
          </w:tcPr>
          <w:p w14:paraId="1884B03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磋商文件中的技术要求</w:t>
            </w:r>
          </w:p>
        </w:tc>
        <w:tc>
          <w:tcPr>
            <w:tcW w:w="2627" w:type="dxa"/>
            <w:vAlign w:val="center"/>
          </w:tcPr>
          <w:p w14:paraId="660DEABE">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磋商响应</w:t>
            </w:r>
          </w:p>
        </w:tc>
        <w:tc>
          <w:tcPr>
            <w:tcW w:w="1745" w:type="dxa"/>
            <w:vAlign w:val="center"/>
          </w:tcPr>
          <w:p w14:paraId="0A3A2C28">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偏离</w:t>
            </w:r>
          </w:p>
        </w:tc>
      </w:tr>
      <w:tr w14:paraId="644FF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44C2B54">
            <w:pPr>
              <w:spacing w:line="560" w:lineRule="exact"/>
              <w:jc w:val="center"/>
              <w:rPr>
                <w:rFonts w:ascii="宋体" w:hAnsi="宋体" w:eastAsia="宋体" w:cs="宋体"/>
                <w:color w:val="auto"/>
                <w:sz w:val="24"/>
                <w:highlight w:val="none"/>
              </w:rPr>
            </w:pPr>
          </w:p>
        </w:tc>
        <w:tc>
          <w:tcPr>
            <w:tcW w:w="4280" w:type="dxa"/>
          </w:tcPr>
          <w:p w14:paraId="593B75FE">
            <w:pPr>
              <w:spacing w:line="560" w:lineRule="exact"/>
              <w:jc w:val="center"/>
              <w:rPr>
                <w:rFonts w:ascii="宋体" w:hAnsi="宋体" w:eastAsia="宋体" w:cs="宋体"/>
                <w:color w:val="auto"/>
                <w:sz w:val="24"/>
                <w:highlight w:val="none"/>
              </w:rPr>
            </w:pPr>
          </w:p>
        </w:tc>
        <w:tc>
          <w:tcPr>
            <w:tcW w:w="2627" w:type="dxa"/>
          </w:tcPr>
          <w:p w14:paraId="4E04A403">
            <w:pPr>
              <w:spacing w:line="560" w:lineRule="exact"/>
              <w:jc w:val="center"/>
              <w:rPr>
                <w:rFonts w:ascii="宋体" w:hAnsi="宋体" w:eastAsia="宋体" w:cs="宋体"/>
                <w:color w:val="auto"/>
                <w:sz w:val="24"/>
                <w:highlight w:val="none"/>
              </w:rPr>
            </w:pPr>
          </w:p>
        </w:tc>
        <w:tc>
          <w:tcPr>
            <w:tcW w:w="1745" w:type="dxa"/>
          </w:tcPr>
          <w:p w14:paraId="48D533D3">
            <w:pPr>
              <w:spacing w:line="560" w:lineRule="exact"/>
              <w:jc w:val="center"/>
              <w:rPr>
                <w:rFonts w:ascii="宋体" w:hAnsi="宋体" w:eastAsia="宋体" w:cs="宋体"/>
                <w:color w:val="auto"/>
                <w:sz w:val="24"/>
                <w:highlight w:val="none"/>
              </w:rPr>
            </w:pPr>
          </w:p>
        </w:tc>
      </w:tr>
      <w:tr w14:paraId="4B556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614D45C1">
            <w:pPr>
              <w:spacing w:line="560" w:lineRule="exact"/>
              <w:jc w:val="center"/>
              <w:rPr>
                <w:rFonts w:ascii="宋体" w:hAnsi="宋体" w:eastAsia="宋体" w:cs="宋体"/>
                <w:color w:val="auto"/>
                <w:sz w:val="24"/>
                <w:highlight w:val="none"/>
              </w:rPr>
            </w:pPr>
          </w:p>
        </w:tc>
        <w:tc>
          <w:tcPr>
            <w:tcW w:w="4280" w:type="dxa"/>
          </w:tcPr>
          <w:p w14:paraId="7C426105">
            <w:pPr>
              <w:spacing w:line="560" w:lineRule="exact"/>
              <w:jc w:val="center"/>
              <w:rPr>
                <w:rFonts w:ascii="宋体" w:hAnsi="宋体" w:eastAsia="宋体" w:cs="宋体"/>
                <w:color w:val="auto"/>
                <w:sz w:val="24"/>
                <w:highlight w:val="none"/>
              </w:rPr>
            </w:pPr>
          </w:p>
        </w:tc>
        <w:tc>
          <w:tcPr>
            <w:tcW w:w="2627" w:type="dxa"/>
          </w:tcPr>
          <w:p w14:paraId="1BC1817B">
            <w:pPr>
              <w:spacing w:line="560" w:lineRule="exact"/>
              <w:jc w:val="center"/>
              <w:rPr>
                <w:rFonts w:ascii="宋体" w:hAnsi="宋体" w:eastAsia="宋体" w:cs="宋体"/>
                <w:color w:val="auto"/>
                <w:sz w:val="24"/>
                <w:highlight w:val="none"/>
              </w:rPr>
            </w:pPr>
          </w:p>
        </w:tc>
        <w:tc>
          <w:tcPr>
            <w:tcW w:w="1745" w:type="dxa"/>
          </w:tcPr>
          <w:p w14:paraId="64734650">
            <w:pPr>
              <w:spacing w:line="560" w:lineRule="exact"/>
              <w:jc w:val="center"/>
              <w:rPr>
                <w:rFonts w:ascii="宋体" w:hAnsi="宋体" w:eastAsia="宋体" w:cs="宋体"/>
                <w:color w:val="auto"/>
                <w:sz w:val="24"/>
                <w:highlight w:val="none"/>
              </w:rPr>
            </w:pPr>
          </w:p>
        </w:tc>
      </w:tr>
      <w:tr w14:paraId="41C77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8ABF540">
            <w:pPr>
              <w:spacing w:line="560" w:lineRule="exact"/>
              <w:jc w:val="center"/>
              <w:rPr>
                <w:rFonts w:ascii="宋体" w:hAnsi="宋体" w:eastAsia="宋体" w:cs="宋体"/>
                <w:color w:val="auto"/>
                <w:sz w:val="24"/>
                <w:highlight w:val="none"/>
              </w:rPr>
            </w:pPr>
          </w:p>
        </w:tc>
        <w:tc>
          <w:tcPr>
            <w:tcW w:w="4280" w:type="dxa"/>
          </w:tcPr>
          <w:p w14:paraId="35FD2247">
            <w:pPr>
              <w:spacing w:line="560" w:lineRule="exact"/>
              <w:jc w:val="center"/>
              <w:rPr>
                <w:rFonts w:ascii="宋体" w:hAnsi="宋体" w:eastAsia="宋体" w:cs="宋体"/>
                <w:color w:val="auto"/>
                <w:sz w:val="24"/>
                <w:highlight w:val="none"/>
              </w:rPr>
            </w:pPr>
          </w:p>
        </w:tc>
        <w:tc>
          <w:tcPr>
            <w:tcW w:w="2627" w:type="dxa"/>
          </w:tcPr>
          <w:p w14:paraId="47474BA7">
            <w:pPr>
              <w:spacing w:line="560" w:lineRule="exact"/>
              <w:jc w:val="center"/>
              <w:rPr>
                <w:rFonts w:ascii="宋体" w:hAnsi="宋体" w:eastAsia="宋体" w:cs="宋体"/>
                <w:color w:val="auto"/>
                <w:sz w:val="24"/>
                <w:highlight w:val="none"/>
              </w:rPr>
            </w:pPr>
          </w:p>
        </w:tc>
        <w:tc>
          <w:tcPr>
            <w:tcW w:w="1745" w:type="dxa"/>
          </w:tcPr>
          <w:p w14:paraId="4D8CFE7C">
            <w:pPr>
              <w:spacing w:line="560" w:lineRule="exact"/>
              <w:jc w:val="center"/>
              <w:rPr>
                <w:rFonts w:ascii="宋体" w:hAnsi="宋体" w:eastAsia="宋体" w:cs="宋体"/>
                <w:color w:val="auto"/>
                <w:sz w:val="24"/>
                <w:highlight w:val="none"/>
              </w:rPr>
            </w:pPr>
          </w:p>
        </w:tc>
      </w:tr>
      <w:tr w14:paraId="4BBAA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F486611">
            <w:pPr>
              <w:spacing w:line="560" w:lineRule="exact"/>
              <w:jc w:val="center"/>
              <w:rPr>
                <w:rFonts w:ascii="宋体" w:hAnsi="宋体" w:eastAsia="宋体" w:cs="宋体"/>
                <w:color w:val="auto"/>
                <w:sz w:val="24"/>
                <w:highlight w:val="none"/>
              </w:rPr>
            </w:pPr>
          </w:p>
        </w:tc>
        <w:tc>
          <w:tcPr>
            <w:tcW w:w="4280" w:type="dxa"/>
          </w:tcPr>
          <w:p w14:paraId="564910F8">
            <w:pPr>
              <w:spacing w:line="560" w:lineRule="exact"/>
              <w:jc w:val="center"/>
              <w:rPr>
                <w:rFonts w:ascii="宋体" w:hAnsi="宋体" w:eastAsia="宋体" w:cs="宋体"/>
                <w:color w:val="auto"/>
                <w:sz w:val="24"/>
                <w:highlight w:val="none"/>
              </w:rPr>
            </w:pPr>
          </w:p>
        </w:tc>
        <w:tc>
          <w:tcPr>
            <w:tcW w:w="2627" w:type="dxa"/>
          </w:tcPr>
          <w:p w14:paraId="62EA74AA">
            <w:pPr>
              <w:spacing w:line="560" w:lineRule="exact"/>
              <w:jc w:val="center"/>
              <w:rPr>
                <w:rFonts w:ascii="宋体" w:hAnsi="宋体" w:eastAsia="宋体" w:cs="宋体"/>
                <w:color w:val="auto"/>
                <w:sz w:val="24"/>
                <w:highlight w:val="none"/>
              </w:rPr>
            </w:pPr>
          </w:p>
        </w:tc>
        <w:tc>
          <w:tcPr>
            <w:tcW w:w="1745" w:type="dxa"/>
          </w:tcPr>
          <w:p w14:paraId="31A61043">
            <w:pPr>
              <w:spacing w:line="560" w:lineRule="exact"/>
              <w:jc w:val="center"/>
              <w:rPr>
                <w:rFonts w:ascii="宋体" w:hAnsi="宋体" w:eastAsia="宋体" w:cs="宋体"/>
                <w:color w:val="auto"/>
                <w:sz w:val="24"/>
                <w:highlight w:val="none"/>
              </w:rPr>
            </w:pPr>
          </w:p>
        </w:tc>
      </w:tr>
      <w:tr w14:paraId="7172E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00889EA">
            <w:pPr>
              <w:spacing w:line="560" w:lineRule="exact"/>
              <w:jc w:val="center"/>
              <w:rPr>
                <w:rFonts w:ascii="宋体" w:hAnsi="宋体" w:eastAsia="宋体" w:cs="宋体"/>
                <w:color w:val="auto"/>
                <w:sz w:val="24"/>
                <w:highlight w:val="none"/>
              </w:rPr>
            </w:pPr>
          </w:p>
        </w:tc>
        <w:tc>
          <w:tcPr>
            <w:tcW w:w="4280" w:type="dxa"/>
          </w:tcPr>
          <w:p w14:paraId="21DF0AED">
            <w:pPr>
              <w:spacing w:line="560" w:lineRule="exact"/>
              <w:jc w:val="center"/>
              <w:rPr>
                <w:rFonts w:ascii="宋体" w:hAnsi="宋体" w:eastAsia="宋体" w:cs="宋体"/>
                <w:color w:val="auto"/>
                <w:sz w:val="24"/>
                <w:highlight w:val="none"/>
              </w:rPr>
            </w:pPr>
          </w:p>
        </w:tc>
        <w:tc>
          <w:tcPr>
            <w:tcW w:w="2627" w:type="dxa"/>
          </w:tcPr>
          <w:p w14:paraId="3B591087">
            <w:pPr>
              <w:spacing w:line="560" w:lineRule="exact"/>
              <w:jc w:val="center"/>
              <w:rPr>
                <w:rFonts w:ascii="宋体" w:hAnsi="宋体" w:eastAsia="宋体" w:cs="宋体"/>
                <w:color w:val="auto"/>
                <w:sz w:val="24"/>
                <w:highlight w:val="none"/>
              </w:rPr>
            </w:pPr>
          </w:p>
        </w:tc>
        <w:tc>
          <w:tcPr>
            <w:tcW w:w="1745" w:type="dxa"/>
          </w:tcPr>
          <w:p w14:paraId="5A61C632">
            <w:pPr>
              <w:spacing w:line="560" w:lineRule="exact"/>
              <w:jc w:val="center"/>
              <w:rPr>
                <w:rFonts w:ascii="宋体" w:hAnsi="宋体" w:eastAsia="宋体" w:cs="宋体"/>
                <w:color w:val="auto"/>
                <w:sz w:val="24"/>
                <w:highlight w:val="none"/>
              </w:rPr>
            </w:pPr>
          </w:p>
        </w:tc>
      </w:tr>
      <w:tr w14:paraId="384DE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5AE52294">
            <w:pPr>
              <w:spacing w:line="560" w:lineRule="exact"/>
              <w:jc w:val="center"/>
              <w:rPr>
                <w:rFonts w:ascii="宋体" w:hAnsi="宋体" w:eastAsia="宋体" w:cs="宋体"/>
                <w:color w:val="auto"/>
                <w:sz w:val="24"/>
                <w:highlight w:val="none"/>
              </w:rPr>
            </w:pPr>
          </w:p>
        </w:tc>
        <w:tc>
          <w:tcPr>
            <w:tcW w:w="4280" w:type="dxa"/>
          </w:tcPr>
          <w:p w14:paraId="2AE99BB7">
            <w:pPr>
              <w:spacing w:line="560" w:lineRule="exact"/>
              <w:jc w:val="center"/>
              <w:rPr>
                <w:rFonts w:ascii="宋体" w:hAnsi="宋体" w:eastAsia="宋体" w:cs="宋体"/>
                <w:color w:val="auto"/>
                <w:sz w:val="24"/>
                <w:highlight w:val="none"/>
              </w:rPr>
            </w:pPr>
          </w:p>
        </w:tc>
        <w:tc>
          <w:tcPr>
            <w:tcW w:w="2627" w:type="dxa"/>
          </w:tcPr>
          <w:p w14:paraId="0001A389">
            <w:pPr>
              <w:spacing w:line="560" w:lineRule="exact"/>
              <w:jc w:val="center"/>
              <w:rPr>
                <w:rFonts w:ascii="宋体" w:hAnsi="宋体" w:eastAsia="宋体" w:cs="宋体"/>
                <w:color w:val="auto"/>
                <w:sz w:val="24"/>
                <w:highlight w:val="none"/>
              </w:rPr>
            </w:pPr>
          </w:p>
        </w:tc>
        <w:tc>
          <w:tcPr>
            <w:tcW w:w="1745" w:type="dxa"/>
          </w:tcPr>
          <w:p w14:paraId="314A27A8">
            <w:pPr>
              <w:spacing w:line="560" w:lineRule="exact"/>
              <w:jc w:val="center"/>
              <w:rPr>
                <w:rFonts w:ascii="宋体" w:hAnsi="宋体" w:eastAsia="宋体" w:cs="宋体"/>
                <w:color w:val="auto"/>
                <w:sz w:val="24"/>
                <w:highlight w:val="none"/>
              </w:rPr>
            </w:pPr>
          </w:p>
        </w:tc>
      </w:tr>
      <w:tr w14:paraId="15D64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B0824A9">
            <w:pPr>
              <w:spacing w:line="560" w:lineRule="exact"/>
              <w:jc w:val="center"/>
              <w:rPr>
                <w:rFonts w:ascii="宋体" w:hAnsi="宋体" w:eastAsia="宋体" w:cs="宋体"/>
                <w:color w:val="auto"/>
                <w:sz w:val="24"/>
                <w:highlight w:val="none"/>
              </w:rPr>
            </w:pPr>
          </w:p>
        </w:tc>
        <w:tc>
          <w:tcPr>
            <w:tcW w:w="4280" w:type="dxa"/>
          </w:tcPr>
          <w:p w14:paraId="3FCEF2F7">
            <w:pPr>
              <w:spacing w:line="560" w:lineRule="exact"/>
              <w:jc w:val="center"/>
              <w:rPr>
                <w:rFonts w:ascii="宋体" w:hAnsi="宋体" w:eastAsia="宋体" w:cs="宋体"/>
                <w:color w:val="auto"/>
                <w:sz w:val="24"/>
                <w:highlight w:val="none"/>
              </w:rPr>
            </w:pPr>
          </w:p>
        </w:tc>
        <w:tc>
          <w:tcPr>
            <w:tcW w:w="2627" w:type="dxa"/>
          </w:tcPr>
          <w:p w14:paraId="78B9B66C">
            <w:pPr>
              <w:spacing w:line="560" w:lineRule="exact"/>
              <w:jc w:val="center"/>
              <w:rPr>
                <w:rFonts w:ascii="宋体" w:hAnsi="宋体" w:eastAsia="宋体" w:cs="宋体"/>
                <w:color w:val="auto"/>
                <w:sz w:val="24"/>
                <w:highlight w:val="none"/>
              </w:rPr>
            </w:pPr>
          </w:p>
        </w:tc>
        <w:tc>
          <w:tcPr>
            <w:tcW w:w="1745" w:type="dxa"/>
          </w:tcPr>
          <w:p w14:paraId="1911BB8C">
            <w:pPr>
              <w:spacing w:line="560" w:lineRule="exact"/>
              <w:jc w:val="center"/>
              <w:rPr>
                <w:rFonts w:ascii="宋体" w:hAnsi="宋体" w:eastAsia="宋体" w:cs="宋体"/>
                <w:color w:val="auto"/>
                <w:sz w:val="24"/>
                <w:highlight w:val="none"/>
              </w:rPr>
            </w:pPr>
          </w:p>
        </w:tc>
      </w:tr>
      <w:tr w14:paraId="15AE0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3F85E0A">
            <w:pPr>
              <w:spacing w:line="560" w:lineRule="exact"/>
              <w:jc w:val="center"/>
              <w:rPr>
                <w:rFonts w:ascii="宋体" w:hAnsi="宋体" w:eastAsia="宋体" w:cs="宋体"/>
                <w:color w:val="auto"/>
                <w:szCs w:val="21"/>
                <w:highlight w:val="none"/>
              </w:rPr>
            </w:pPr>
          </w:p>
        </w:tc>
        <w:tc>
          <w:tcPr>
            <w:tcW w:w="4280" w:type="dxa"/>
          </w:tcPr>
          <w:p w14:paraId="7F48FE6B">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磋商文件中的其他技术要求</w:t>
            </w:r>
          </w:p>
        </w:tc>
        <w:tc>
          <w:tcPr>
            <w:tcW w:w="2627" w:type="dxa"/>
          </w:tcPr>
          <w:p w14:paraId="70301AD7">
            <w:pPr>
              <w:spacing w:line="560" w:lineRule="exact"/>
              <w:jc w:val="center"/>
              <w:rPr>
                <w:rFonts w:ascii="宋体" w:hAnsi="宋体" w:eastAsia="宋体" w:cs="宋体"/>
                <w:color w:val="auto"/>
                <w:sz w:val="24"/>
                <w:highlight w:val="none"/>
              </w:rPr>
            </w:pPr>
          </w:p>
        </w:tc>
        <w:tc>
          <w:tcPr>
            <w:tcW w:w="1745" w:type="dxa"/>
          </w:tcPr>
          <w:p w14:paraId="2F77C44A">
            <w:pPr>
              <w:spacing w:line="560" w:lineRule="exact"/>
              <w:jc w:val="center"/>
              <w:rPr>
                <w:rFonts w:ascii="宋体" w:hAnsi="宋体" w:eastAsia="宋体" w:cs="宋体"/>
                <w:color w:val="auto"/>
                <w:sz w:val="24"/>
                <w:highlight w:val="none"/>
              </w:rPr>
            </w:pPr>
          </w:p>
        </w:tc>
      </w:tr>
    </w:tbl>
    <w:p w14:paraId="6D84DE19">
      <w:pPr>
        <w:spacing w:line="560" w:lineRule="exact"/>
        <w:ind w:firstLine="480" w:firstLineChars="200"/>
        <w:rPr>
          <w:rFonts w:ascii="宋体" w:hAnsi="宋体" w:eastAsia="宋体" w:cs="宋体"/>
          <w:color w:val="auto"/>
          <w:sz w:val="24"/>
          <w:highlight w:val="none"/>
        </w:rPr>
      </w:pPr>
    </w:p>
    <w:p w14:paraId="5D8B8C69">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0B720854">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5CBD6269">
      <w:pPr>
        <w:pStyle w:val="38"/>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560" w:lineRule="exact"/>
        <w:ind w:firstLine="480" w:firstLineChars="200"/>
        <w:jc w:val="both"/>
        <w:rPr>
          <w:rFonts w:eastAsia="宋体" w:cs="宋体"/>
          <w:color w:val="auto"/>
          <w:highlight w:val="none"/>
        </w:rPr>
      </w:pPr>
    </w:p>
    <w:p w14:paraId="2078032F">
      <w:pPr>
        <w:pStyle w:val="38"/>
        <w:spacing w:before="0" w:beforeAutospacing="0" w:after="0" w:afterAutospacing="0" w:line="560" w:lineRule="exact"/>
        <w:ind w:firstLine="482" w:firstLineChars="200"/>
        <w:jc w:val="both"/>
        <w:rPr>
          <w:rFonts w:asciiTheme="minorEastAsia" w:hAnsiTheme="minorEastAsia" w:cstheme="minorEastAsia"/>
          <w:b/>
          <w:bCs/>
          <w:color w:val="auto"/>
          <w:highlight w:val="none"/>
        </w:rPr>
      </w:pPr>
      <w:r>
        <w:rPr>
          <w:rFonts w:hint="eastAsia" w:asciiTheme="minorEastAsia" w:hAnsiTheme="minorEastAsia" w:cstheme="minorEastAsia"/>
          <w:b/>
          <w:bCs/>
          <w:color w:val="auto"/>
          <w:highlight w:val="none"/>
        </w:rPr>
        <w:t>注：1.供应商须对磋商文件技术要求中的实质性要求做出明确响应，供应商未对实质性要求作出明确响应的，视为无效响应。</w:t>
      </w:r>
    </w:p>
    <w:p w14:paraId="06E06B83">
      <w:pPr>
        <w:pStyle w:val="38"/>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行数不够，供应商可自行增加。</w:t>
      </w:r>
    </w:p>
    <w:p w14:paraId="05432084">
      <w:pPr>
        <w:rPr>
          <w:rFonts w:ascii="宋体" w:hAnsi="宋体" w:eastAsia="宋体" w:cs="宋体"/>
          <w:b/>
          <w:color w:val="auto"/>
          <w:sz w:val="28"/>
          <w:szCs w:val="28"/>
          <w:highlight w:val="none"/>
        </w:rPr>
      </w:pPr>
      <w:bookmarkStart w:id="26" w:name="_Toc28529"/>
      <w:bookmarkStart w:id="27" w:name="_Toc4559"/>
      <w:bookmarkStart w:id="28" w:name="_Toc24917"/>
      <w:r>
        <w:rPr>
          <w:rFonts w:hint="eastAsia" w:ascii="宋体" w:hAnsi="宋体" w:eastAsia="宋体" w:cs="宋体"/>
          <w:b/>
          <w:color w:val="auto"/>
          <w:sz w:val="28"/>
          <w:szCs w:val="28"/>
          <w:highlight w:val="none"/>
        </w:rPr>
        <w:br w:type="page"/>
      </w:r>
    </w:p>
    <w:p w14:paraId="06F778E5">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附件六、商务要求响应及偏离表</w:t>
      </w:r>
      <w:bookmarkEnd w:id="26"/>
      <w:bookmarkEnd w:id="27"/>
      <w:bookmarkEnd w:id="28"/>
    </w:p>
    <w:p w14:paraId="7B78D443">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商务要求响应及偏离表</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32BB5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369285A1">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280" w:type="dxa"/>
            <w:vAlign w:val="center"/>
          </w:tcPr>
          <w:p w14:paraId="189B7701">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磋商文件中的商务要求</w:t>
            </w:r>
          </w:p>
        </w:tc>
        <w:tc>
          <w:tcPr>
            <w:tcW w:w="2627" w:type="dxa"/>
            <w:vAlign w:val="center"/>
          </w:tcPr>
          <w:p w14:paraId="1052B97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磋商响应</w:t>
            </w:r>
          </w:p>
        </w:tc>
        <w:tc>
          <w:tcPr>
            <w:tcW w:w="1745" w:type="dxa"/>
            <w:vAlign w:val="center"/>
          </w:tcPr>
          <w:p w14:paraId="0745A13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偏离</w:t>
            </w:r>
          </w:p>
        </w:tc>
      </w:tr>
      <w:tr w14:paraId="32199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185AA869">
            <w:pPr>
              <w:spacing w:line="560" w:lineRule="exact"/>
              <w:jc w:val="center"/>
              <w:rPr>
                <w:rFonts w:ascii="宋体" w:hAnsi="宋体" w:eastAsia="宋体" w:cs="宋体"/>
                <w:color w:val="auto"/>
                <w:sz w:val="24"/>
                <w:highlight w:val="none"/>
              </w:rPr>
            </w:pPr>
          </w:p>
        </w:tc>
        <w:tc>
          <w:tcPr>
            <w:tcW w:w="4280" w:type="dxa"/>
          </w:tcPr>
          <w:p w14:paraId="66D214D5">
            <w:pPr>
              <w:spacing w:line="560" w:lineRule="exact"/>
              <w:jc w:val="center"/>
              <w:rPr>
                <w:rFonts w:ascii="宋体" w:hAnsi="宋体" w:eastAsia="宋体" w:cs="宋体"/>
                <w:color w:val="auto"/>
                <w:sz w:val="24"/>
                <w:highlight w:val="none"/>
              </w:rPr>
            </w:pPr>
          </w:p>
        </w:tc>
        <w:tc>
          <w:tcPr>
            <w:tcW w:w="2627" w:type="dxa"/>
          </w:tcPr>
          <w:p w14:paraId="07513382">
            <w:pPr>
              <w:spacing w:line="560" w:lineRule="exact"/>
              <w:jc w:val="center"/>
              <w:rPr>
                <w:rFonts w:ascii="宋体" w:hAnsi="宋体" w:eastAsia="宋体" w:cs="宋体"/>
                <w:color w:val="auto"/>
                <w:sz w:val="24"/>
                <w:highlight w:val="none"/>
              </w:rPr>
            </w:pPr>
          </w:p>
        </w:tc>
        <w:tc>
          <w:tcPr>
            <w:tcW w:w="1745" w:type="dxa"/>
          </w:tcPr>
          <w:p w14:paraId="6C9821D1">
            <w:pPr>
              <w:spacing w:line="560" w:lineRule="exact"/>
              <w:jc w:val="center"/>
              <w:rPr>
                <w:rFonts w:ascii="宋体" w:hAnsi="宋体" w:eastAsia="宋体" w:cs="宋体"/>
                <w:color w:val="auto"/>
                <w:sz w:val="24"/>
                <w:highlight w:val="none"/>
              </w:rPr>
            </w:pPr>
          </w:p>
        </w:tc>
      </w:tr>
      <w:tr w14:paraId="4C323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2F3BB8A5">
            <w:pPr>
              <w:spacing w:line="560" w:lineRule="exact"/>
              <w:jc w:val="center"/>
              <w:rPr>
                <w:rFonts w:ascii="宋体" w:hAnsi="宋体" w:eastAsia="宋体" w:cs="宋体"/>
                <w:color w:val="auto"/>
                <w:sz w:val="24"/>
                <w:highlight w:val="none"/>
              </w:rPr>
            </w:pPr>
          </w:p>
        </w:tc>
        <w:tc>
          <w:tcPr>
            <w:tcW w:w="4280" w:type="dxa"/>
          </w:tcPr>
          <w:p w14:paraId="59CF8F70">
            <w:pPr>
              <w:spacing w:line="560" w:lineRule="exact"/>
              <w:jc w:val="center"/>
              <w:rPr>
                <w:rFonts w:ascii="宋体" w:hAnsi="宋体" w:eastAsia="宋体" w:cs="宋体"/>
                <w:color w:val="auto"/>
                <w:sz w:val="24"/>
                <w:highlight w:val="none"/>
              </w:rPr>
            </w:pPr>
          </w:p>
        </w:tc>
        <w:tc>
          <w:tcPr>
            <w:tcW w:w="2627" w:type="dxa"/>
          </w:tcPr>
          <w:p w14:paraId="128E7E4C">
            <w:pPr>
              <w:spacing w:line="560" w:lineRule="exact"/>
              <w:jc w:val="center"/>
              <w:rPr>
                <w:rFonts w:ascii="宋体" w:hAnsi="宋体" w:eastAsia="宋体" w:cs="宋体"/>
                <w:color w:val="auto"/>
                <w:sz w:val="24"/>
                <w:highlight w:val="none"/>
              </w:rPr>
            </w:pPr>
          </w:p>
        </w:tc>
        <w:tc>
          <w:tcPr>
            <w:tcW w:w="1745" w:type="dxa"/>
          </w:tcPr>
          <w:p w14:paraId="4903EDFA">
            <w:pPr>
              <w:spacing w:line="560" w:lineRule="exact"/>
              <w:jc w:val="center"/>
              <w:rPr>
                <w:rFonts w:ascii="宋体" w:hAnsi="宋体" w:eastAsia="宋体" w:cs="宋体"/>
                <w:color w:val="auto"/>
                <w:sz w:val="24"/>
                <w:highlight w:val="none"/>
              </w:rPr>
            </w:pPr>
          </w:p>
        </w:tc>
      </w:tr>
      <w:tr w14:paraId="3E126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A48DE4F">
            <w:pPr>
              <w:spacing w:line="560" w:lineRule="exact"/>
              <w:jc w:val="center"/>
              <w:rPr>
                <w:rFonts w:ascii="宋体" w:hAnsi="宋体" w:eastAsia="宋体" w:cs="宋体"/>
                <w:color w:val="auto"/>
                <w:sz w:val="24"/>
                <w:highlight w:val="none"/>
              </w:rPr>
            </w:pPr>
          </w:p>
        </w:tc>
        <w:tc>
          <w:tcPr>
            <w:tcW w:w="4280" w:type="dxa"/>
          </w:tcPr>
          <w:p w14:paraId="25AF576C">
            <w:pPr>
              <w:spacing w:line="560" w:lineRule="exact"/>
              <w:jc w:val="center"/>
              <w:rPr>
                <w:rFonts w:ascii="宋体" w:hAnsi="宋体" w:eastAsia="宋体" w:cs="宋体"/>
                <w:color w:val="auto"/>
                <w:sz w:val="24"/>
                <w:highlight w:val="none"/>
              </w:rPr>
            </w:pPr>
          </w:p>
        </w:tc>
        <w:tc>
          <w:tcPr>
            <w:tcW w:w="2627" w:type="dxa"/>
          </w:tcPr>
          <w:p w14:paraId="25B39F24">
            <w:pPr>
              <w:spacing w:line="560" w:lineRule="exact"/>
              <w:jc w:val="center"/>
              <w:rPr>
                <w:rFonts w:ascii="宋体" w:hAnsi="宋体" w:eastAsia="宋体" w:cs="宋体"/>
                <w:color w:val="auto"/>
                <w:sz w:val="24"/>
                <w:highlight w:val="none"/>
              </w:rPr>
            </w:pPr>
          </w:p>
        </w:tc>
        <w:tc>
          <w:tcPr>
            <w:tcW w:w="1745" w:type="dxa"/>
          </w:tcPr>
          <w:p w14:paraId="5DC7DC75">
            <w:pPr>
              <w:spacing w:line="560" w:lineRule="exact"/>
              <w:jc w:val="center"/>
              <w:rPr>
                <w:rFonts w:ascii="宋体" w:hAnsi="宋体" w:eastAsia="宋体" w:cs="宋体"/>
                <w:color w:val="auto"/>
                <w:sz w:val="24"/>
                <w:highlight w:val="none"/>
              </w:rPr>
            </w:pPr>
          </w:p>
        </w:tc>
      </w:tr>
      <w:tr w14:paraId="57C04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4970D5E">
            <w:pPr>
              <w:spacing w:line="560" w:lineRule="exact"/>
              <w:jc w:val="center"/>
              <w:rPr>
                <w:rFonts w:ascii="宋体" w:hAnsi="宋体" w:eastAsia="宋体" w:cs="宋体"/>
                <w:color w:val="auto"/>
                <w:sz w:val="24"/>
                <w:highlight w:val="none"/>
              </w:rPr>
            </w:pPr>
          </w:p>
        </w:tc>
        <w:tc>
          <w:tcPr>
            <w:tcW w:w="4280" w:type="dxa"/>
          </w:tcPr>
          <w:p w14:paraId="487EBE5C">
            <w:pPr>
              <w:spacing w:line="560" w:lineRule="exact"/>
              <w:jc w:val="center"/>
              <w:rPr>
                <w:rFonts w:ascii="宋体" w:hAnsi="宋体" w:eastAsia="宋体" w:cs="宋体"/>
                <w:color w:val="auto"/>
                <w:sz w:val="24"/>
                <w:highlight w:val="none"/>
              </w:rPr>
            </w:pPr>
          </w:p>
        </w:tc>
        <w:tc>
          <w:tcPr>
            <w:tcW w:w="2627" w:type="dxa"/>
          </w:tcPr>
          <w:p w14:paraId="63F7E964">
            <w:pPr>
              <w:spacing w:line="560" w:lineRule="exact"/>
              <w:jc w:val="center"/>
              <w:rPr>
                <w:rFonts w:ascii="宋体" w:hAnsi="宋体" w:eastAsia="宋体" w:cs="宋体"/>
                <w:color w:val="auto"/>
                <w:sz w:val="24"/>
                <w:highlight w:val="none"/>
              </w:rPr>
            </w:pPr>
          </w:p>
        </w:tc>
        <w:tc>
          <w:tcPr>
            <w:tcW w:w="1745" w:type="dxa"/>
          </w:tcPr>
          <w:p w14:paraId="4FF6C3BA">
            <w:pPr>
              <w:spacing w:line="560" w:lineRule="exact"/>
              <w:jc w:val="center"/>
              <w:rPr>
                <w:rFonts w:ascii="宋体" w:hAnsi="宋体" w:eastAsia="宋体" w:cs="宋体"/>
                <w:color w:val="auto"/>
                <w:sz w:val="24"/>
                <w:highlight w:val="none"/>
              </w:rPr>
            </w:pPr>
          </w:p>
        </w:tc>
      </w:tr>
      <w:tr w14:paraId="338D9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A92ACB8">
            <w:pPr>
              <w:spacing w:line="560" w:lineRule="exact"/>
              <w:jc w:val="center"/>
              <w:rPr>
                <w:rFonts w:ascii="宋体" w:hAnsi="宋体" w:eastAsia="宋体" w:cs="宋体"/>
                <w:color w:val="auto"/>
                <w:sz w:val="24"/>
                <w:highlight w:val="none"/>
              </w:rPr>
            </w:pPr>
          </w:p>
        </w:tc>
        <w:tc>
          <w:tcPr>
            <w:tcW w:w="4280" w:type="dxa"/>
          </w:tcPr>
          <w:p w14:paraId="47883575">
            <w:pPr>
              <w:spacing w:line="560" w:lineRule="exact"/>
              <w:jc w:val="center"/>
              <w:rPr>
                <w:rFonts w:ascii="宋体" w:hAnsi="宋体" w:eastAsia="宋体" w:cs="宋体"/>
                <w:color w:val="auto"/>
                <w:sz w:val="24"/>
                <w:highlight w:val="none"/>
              </w:rPr>
            </w:pPr>
          </w:p>
        </w:tc>
        <w:tc>
          <w:tcPr>
            <w:tcW w:w="2627" w:type="dxa"/>
          </w:tcPr>
          <w:p w14:paraId="5AF716D9">
            <w:pPr>
              <w:spacing w:line="560" w:lineRule="exact"/>
              <w:jc w:val="center"/>
              <w:rPr>
                <w:rFonts w:ascii="宋体" w:hAnsi="宋体" w:eastAsia="宋体" w:cs="宋体"/>
                <w:color w:val="auto"/>
                <w:sz w:val="24"/>
                <w:highlight w:val="none"/>
              </w:rPr>
            </w:pPr>
          </w:p>
        </w:tc>
        <w:tc>
          <w:tcPr>
            <w:tcW w:w="1745" w:type="dxa"/>
          </w:tcPr>
          <w:p w14:paraId="6B4E2AB2">
            <w:pPr>
              <w:spacing w:line="560" w:lineRule="exact"/>
              <w:jc w:val="center"/>
              <w:rPr>
                <w:rFonts w:ascii="宋体" w:hAnsi="宋体" w:eastAsia="宋体" w:cs="宋体"/>
                <w:color w:val="auto"/>
                <w:sz w:val="24"/>
                <w:highlight w:val="none"/>
              </w:rPr>
            </w:pPr>
          </w:p>
        </w:tc>
      </w:tr>
      <w:tr w14:paraId="6CF12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2EF8BDB">
            <w:pPr>
              <w:spacing w:line="560" w:lineRule="exact"/>
              <w:jc w:val="center"/>
              <w:rPr>
                <w:rFonts w:ascii="宋体" w:hAnsi="宋体" w:eastAsia="宋体" w:cs="宋体"/>
                <w:color w:val="auto"/>
                <w:sz w:val="24"/>
                <w:highlight w:val="none"/>
              </w:rPr>
            </w:pPr>
          </w:p>
        </w:tc>
        <w:tc>
          <w:tcPr>
            <w:tcW w:w="4280" w:type="dxa"/>
          </w:tcPr>
          <w:p w14:paraId="31705C82">
            <w:pPr>
              <w:spacing w:line="560" w:lineRule="exact"/>
              <w:jc w:val="center"/>
              <w:rPr>
                <w:rFonts w:ascii="宋体" w:hAnsi="宋体" w:eastAsia="宋体" w:cs="宋体"/>
                <w:color w:val="auto"/>
                <w:sz w:val="24"/>
                <w:highlight w:val="none"/>
              </w:rPr>
            </w:pPr>
          </w:p>
        </w:tc>
        <w:tc>
          <w:tcPr>
            <w:tcW w:w="2627" w:type="dxa"/>
          </w:tcPr>
          <w:p w14:paraId="4ADE4024">
            <w:pPr>
              <w:spacing w:line="560" w:lineRule="exact"/>
              <w:jc w:val="center"/>
              <w:rPr>
                <w:rFonts w:ascii="宋体" w:hAnsi="宋体" w:eastAsia="宋体" w:cs="宋体"/>
                <w:color w:val="auto"/>
                <w:sz w:val="24"/>
                <w:highlight w:val="none"/>
              </w:rPr>
            </w:pPr>
          </w:p>
        </w:tc>
        <w:tc>
          <w:tcPr>
            <w:tcW w:w="1745" w:type="dxa"/>
          </w:tcPr>
          <w:p w14:paraId="35C5F2AB">
            <w:pPr>
              <w:spacing w:line="560" w:lineRule="exact"/>
              <w:jc w:val="center"/>
              <w:rPr>
                <w:rFonts w:ascii="宋体" w:hAnsi="宋体" w:eastAsia="宋体" w:cs="宋体"/>
                <w:color w:val="auto"/>
                <w:sz w:val="24"/>
                <w:highlight w:val="none"/>
              </w:rPr>
            </w:pPr>
          </w:p>
        </w:tc>
      </w:tr>
      <w:tr w14:paraId="512CC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2CCCD95">
            <w:pPr>
              <w:spacing w:line="560" w:lineRule="exact"/>
              <w:jc w:val="center"/>
              <w:rPr>
                <w:rFonts w:ascii="宋体" w:hAnsi="宋体" w:eastAsia="宋体" w:cs="宋体"/>
                <w:color w:val="auto"/>
                <w:sz w:val="24"/>
                <w:highlight w:val="none"/>
              </w:rPr>
            </w:pPr>
          </w:p>
        </w:tc>
        <w:tc>
          <w:tcPr>
            <w:tcW w:w="4280" w:type="dxa"/>
          </w:tcPr>
          <w:p w14:paraId="5F032B6F">
            <w:pPr>
              <w:spacing w:line="560" w:lineRule="exact"/>
              <w:jc w:val="center"/>
              <w:rPr>
                <w:rFonts w:ascii="宋体" w:hAnsi="宋体" w:eastAsia="宋体" w:cs="宋体"/>
                <w:color w:val="auto"/>
                <w:sz w:val="24"/>
                <w:highlight w:val="none"/>
              </w:rPr>
            </w:pPr>
          </w:p>
        </w:tc>
        <w:tc>
          <w:tcPr>
            <w:tcW w:w="2627" w:type="dxa"/>
          </w:tcPr>
          <w:p w14:paraId="15793646">
            <w:pPr>
              <w:spacing w:line="560" w:lineRule="exact"/>
              <w:jc w:val="center"/>
              <w:rPr>
                <w:rFonts w:ascii="宋体" w:hAnsi="宋体" w:eastAsia="宋体" w:cs="宋体"/>
                <w:color w:val="auto"/>
                <w:sz w:val="24"/>
                <w:highlight w:val="none"/>
              </w:rPr>
            </w:pPr>
          </w:p>
        </w:tc>
        <w:tc>
          <w:tcPr>
            <w:tcW w:w="1745" w:type="dxa"/>
          </w:tcPr>
          <w:p w14:paraId="156268DF">
            <w:pPr>
              <w:spacing w:line="560" w:lineRule="exact"/>
              <w:jc w:val="center"/>
              <w:rPr>
                <w:rFonts w:ascii="宋体" w:hAnsi="宋体" w:eastAsia="宋体" w:cs="宋体"/>
                <w:color w:val="auto"/>
                <w:sz w:val="24"/>
                <w:highlight w:val="none"/>
              </w:rPr>
            </w:pPr>
          </w:p>
        </w:tc>
      </w:tr>
      <w:tr w14:paraId="610CF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E393B6A">
            <w:pPr>
              <w:spacing w:line="560" w:lineRule="exact"/>
              <w:jc w:val="center"/>
              <w:rPr>
                <w:rFonts w:ascii="宋体" w:hAnsi="宋体" w:eastAsia="宋体" w:cs="宋体"/>
                <w:color w:val="auto"/>
                <w:szCs w:val="21"/>
                <w:highlight w:val="none"/>
              </w:rPr>
            </w:pPr>
          </w:p>
        </w:tc>
        <w:tc>
          <w:tcPr>
            <w:tcW w:w="4280" w:type="dxa"/>
          </w:tcPr>
          <w:p w14:paraId="63AA21B8">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磋商文件中的其他商务要求</w:t>
            </w:r>
          </w:p>
        </w:tc>
        <w:tc>
          <w:tcPr>
            <w:tcW w:w="2627" w:type="dxa"/>
          </w:tcPr>
          <w:p w14:paraId="222C1770">
            <w:pPr>
              <w:spacing w:line="560" w:lineRule="exact"/>
              <w:jc w:val="center"/>
              <w:rPr>
                <w:rFonts w:ascii="宋体" w:hAnsi="宋体" w:eastAsia="宋体" w:cs="宋体"/>
                <w:color w:val="auto"/>
                <w:sz w:val="24"/>
                <w:highlight w:val="none"/>
              </w:rPr>
            </w:pPr>
          </w:p>
        </w:tc>
        <w:tc>
          <w:tcPr>
            <w:tcW w:w="1745" w:type="dxa"/>
          </w:tcPr>
          <w:p w14:paraId="05091E5E">
            <w:pPr>
              <w:spacing w:line="560" w:lineRule="exact"/>
              <w:jc w:val="center"/>
              <w:rPr>
                <w:rFonts w:ascii="宋体" w:hAnsi="宋体" w:eastAsia="宋体" w:cs="宋体"/>
                <w:color w:val="auto"/>
                <w:sz w:val="24"/>
                <w:highlight w:val="none"/>
              </w:rPr>
            </w:pPr>
          </w:p>
        </w:tc>
      </w:tr>
    </w:tbl>
    <w:p w14:paraId="66B49ED6">
      <w:pPr>
        <w:spacing w:line="560" w:lineRule="exact"/>
        <w:ind w:firstLine="480" w:firstLineChars="200"/>
        <w:rPr>
          <w:rFonts w:ascii="宋体" w:hAnsi="宋体" w:eastAsia="宋体" w:cs="宋体"/>
          <w:color w:val="auto"/>
          <w:sz w:val="24"/>
          <w:highlight w:val="none"/>
        </w:rPr>
      </w:pPr>
    </w:p>
    <w:p w14:paraId="141870E8">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635EA1B6">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5E09E410">
      <w:pPr>
        <w:pStyle w:val="38"/>
        <w:spacing w:before="0" w:beforeAutospacing="0" w:after="0" w:afterAutospacing="0" w:line="560" w:lineRule="exact"/>
        <w:ind w:firstLine="480" w:firstLineChars="200"/>
        <w:jc w:val="both"/>
        <w:rPr>
          <w:rFonts w:eastAsia="宋体" w:cs="宋体"/>
          <w:color w:val="auto"/>
          <w:highlight w:val="none"/>
        </w:rPr>
      </w:pPr>
    </w:p>
    <w:p w14:paraId="2BA2AC56">
      <w:pPr>
        <w:pStyle w:val="38"/>
        <w:spacing w:before="0" w:beforeAutospacing="0" w:after="0" w:afterAutospacing="0" w:line="560" w:lineRule="exact"/>
        <w:ind w:firstLine="482" w:firstLineChars="200"/>
        <w:jc w:val="both"/>
        <w:rPr>
          <w:rFonts w:asciiTheme="minorEastAsia" w:hAnsiTheme="minorEastAsia" w:cstheme="minorEastAsia"/>
          <w:b/>
          <w:bCs/>
          <w:color w:val="auto"/>
          <w:highlight w:val="none"/>
        </w:rPr>
      </w:pPr>
      <w:r>
        <w:rPr>
          <w:rFonts w:hint="eastAsia" w:asciiTheme="minorEastAsia" w:hAnsiTheme="minorEastAsia" w:cstheme="minorEastAsia"/>
          <w:b/>
          <w:bCs/>
          <w:color w:val="auto"/>
          <w:highlight w:val="none"/>
        </w:rPr>
        <w:t>注：1.供应商须对磋商文件商务要求中的实质性要求做出明确响应，供应商未对实质性要求作出明确响应的，视为无效响应。</w:t>
      </w:r>
    </w:p>
    <w:p w14:paraId="5EC73906">
      <w:pPr>
        <w:pStyle w:val="38"/>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行数不够，可自行增加。</w:t>
      </w:r>
    </w:p>
    <w:p w14:paraId="3FE2751C">
      <w:pPr>
        <w:spacing w:line="560" w:lineRule="exact"/>
        <w:ind w:firstLine="560" w:firstLineChars="200"/>
        <w:jc w:val="left"/>
        <w:rPr>
          <w:rFonts w:ascii="宋体" w:hAnsi="宋体" w:eastAsia="宋体" w:cs="宋体"/>
          <w:color w:val="auto"/>
          <w:sz w:val="28"/>
          <w:highlight w:val="none"/>
        </w:rPr>
      </w:pPr>
    </w:p>
    <w:p w14:paraId="40944462">
      <w:pPr>
        <w:pStyle w:val="7"/>
        <w:spacing w:line="560" w:lineRule="exact"/>
        <w:ind w:firstLine="420" w:firstLineChars="200"/>
        <w:rPr>
          <w:rFonts w:ascii="宋体" w:hAnsi="宋体" w:eastAsia="宋体" w:cs="宋体"/>
          <w:color w:val="auto"/>
          <w:highlight w:val="none"/>
        </w:rPr>
      </w:pPr>
    </w:p>
    <w:p w14:paraId="0532B8AF">
      <w:pPr>
        <w:spacing w:line="560" w:lineRule="exact"/>
        <w:ind w:firstLine="562" w:firstLineChars="200"/>
        <w:rPr>
          <w:rFonts w:ascii="宋体" w:hAnsi="宋体" w:eastAsia="宋体" w:cs="宋体"/>
          <w:b/>
          <w:color w:val="auto"/>
          <w:sz w:val="28"/>
          <w:highlight w:val="none"/>
        </w:rPr>
      </w:pPr>
      <w:bookmarkStart w:id="29" w:name="_Toc126773676"/>
      <w:bookmarkStart w:id="30" w:name="_Toc126773677"/>
      <w:r>
        <w:rPr>
          <w:rFonts w:hint="eastAsia" w:ascii="宋体" w:hAnsi="宋体" w:eastAsia="宋体" w:cs="宋体"/>
          <w:b/>
          <w:color w:val="auto"/>
          <w:sz w:val="28"/>
          <w:highlight w:val="none"/>
        </w:rPr>
        <w:br w:type="page"/>
      </w:r>
    </w:p>
    <w:p w14:paraId="75A4F7E4">
      <w:pPr>
        <w:spacing w:line="560" w:lineRule="exact"/>
        <w:jc w:val="left"/>
        <w:outlineLvl w:val="1"/>
        <w:rPr>
          <w:rFonts w:ascii="宋体" w:hAnsi="宋体" w:eastAsia="宋体" w:cs="宋体"/>
          <w:b/>
          <w:color w:val="auto"/>
          <w:sz w:val="28"/>
          <w:szCs w:val="28"/>
          <w:highlight w:val="none"/>
        </w:rPr>
      </w:pPr>
      <w:bookmarkStart w:id="31" w:name="_Toc2179"/>
      <w:r>
        <w:rPr>
          <w:rFonts w:hint="eastAsia" w:ascii="宋体" w:hAnsi="宋体" w:eastAsia="宋体" w:cs="宋体"/>
          <w:b/>
          <w:color w:val="auto"/>
          <w:sz w:val="28"/>
          <w:szCs w:val="28"/>
          <w:highlight w:val="none"/>
        </w:rPr>
        <w:t>附件七、项目团队人员配置表</w:t>
      </w:r>
    </w:p>
    <w:p w14:paraId="1850A680">
      <w:pPr>
        <w:spacing w:line="560" w:lineRule="exact"/>
        <w:jc w:val="center"/>
        <w:rPr>
          <w:rFonts w:ascii="宋体" w:hAnsi="宋体" w:eastAsia="宋体" w:cs="宋体"/>
          <w:b/>
          <w:color w:val="auto"/>
          <w:sz w:val="28"/>
          <w:szCs w:val="28"/>
          <w:highlight w:val="none"/>
        </w:rPr>
      </w:pPr>
      <w:bookmarkStart w:id="32" w:name="_Hlk66378104"/>
      <w:r>
        <w:rPr>
          <w:rFonts w:hint="eastAsia" w:ascii="宋体" w:hAnsi="宋体" w:eastAsia="宋体" w:cs="宋体"/>
          <w:b/>
          <w:color w:val="auto"/>
          <w:sz w:val="28"/>
          <w:szCs w:val="28"/>
          <w:highlight w:val="none"/>
        </w:rPr>
        <w:t>项目团队人员配置表</w:t>
      </w:r>
    </w:p>
    <w:bookmarkEnd w:id="32"/>
    <w:p w14:paraId="5007ECBD">
      <w:pPr>
        <w:widowControl/>
        <w:adjustRightInd w:val="0"/>
        <w:jc w:val="center"/>
        <w:rPr>
          <w:rFonts w:asciiTheme="minorEastAsia" w:hAnsiTheme="minorEastAsia"/>
          <w:b/>
          <w:bCs/>
          <w:color w:val="auto"/>
          <w:kern w:val="0"/>
          <w:sz w:val="24"/>
          <w:highlight w:val="none"/>
        </w:rPr>
      </w:pPr>
    </w:p>
    <w:p w14:paraId="26B2A5AB">
      <w:pPr>
        <w:widowControl/>
        <w:adjustRightInd w:val="0"/>
        <w:rPr>
          <w:rFonts w:asciiTheme="minorEastAsia" w:hAnsiTheme="minorEastAsia"/>
          <w:color w:val="auto"/>
          <w:kern w:val="0"/>
          <w:szCs w:val="21"/>
          <w:highlight w:val="none"/>
        </w:rPr>
      </w:pPr>
      <w:bookmarkStart w:id="33" w:name="_Hlk66784308"/>
      <w:r>
        <w:rPr>
          <w:rFonts w:hint="eastAsia" w:asciiTheme="minorEastAsia" w:hAnsiTheme="minorEastAsia"/>
          <w:color w:val="auto"/>
          <w:kern w:val="0"/>
          <w:szCs w:val="21"/>
          <w:highlight w:val="none"/>
        </w:rPr>
        <w:t>项目名称：                                 项目编号：</w:t>
      </w:r>
    </w:p>
    <w:bookmarkEnd w:id="33"/>
    <w:tbl>
      <w:tblPr>
        <w:tblStyle w:val="19"/>
        <w:tblW w:w="9636" w:type="dxa"/>
        <w:jc w:val="center"/>
        <w:tblLayout w:type="fixed"/>
        <w:tblCellMar>
          <w:top w:w="0" w:type="dxa"/>
          <w:left w:w="108" w:type="dxa"/>
          <w:bottom w:w="0" w:type="dxa"/>
          <w:right w:w="108" w:type="dxa"/>
        </w:tblCellMar>
      </w:tblPr>
      <w:tblGrid>
        <w:gridCol w:w="729"/>
        <w:gridCol w:w="890"/>
        <w:gridCol w:w="890"/>
        <w:gridCol w:w="890"/>
        <w:gridCol w:w="891"/>
        <w:gridCol w:w="891"/>
        <w:gridCol w:w="891"/>
        <w:gridCol w:w="891"/>
        <w:gridCol w:w="891"/>
        <w:gridCol w:w="891"/>
        <w:gridCol w:w="891"/>
      </w:tblGrid>
      <w:tr w14:paraId="1C569F6D">
        <w:trPr>
          <w:jc w:val="center"/>
        </w:trPr>
        <w:tc>
          <w:tcPr>
            <w:tcW w:w="729" w:type="dxa"/>
            <w:tcBorders>
              <w:top w:val="single" w:color="000000" w:sz="4" w:space="0"/>
              <w:left w:val="single" w:color="000000" w:sz="4" w:space="0"/>
              <w:bottom w:val="single" w:color="000000" w:sz="4" w:space="0"/>
              <w:right w:val="single" w:color="000000" w:sz="4" w:space="0"/>
            </w:tcBorders>
            <w:vAlign w:val="center"/>
          </w:tcPr>
          <w:p w14:paraId="718C4A80">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序号</w:t>
            </w:r>
          </w:p>
        </w:tc>
        <w:tc>
          <w:tcPr>
            <w:tcW w:w="890" w:type="dxa"/>
            <w:tcBorders>
              <w:top w:val="single" w:color="000000" w:sz="4" w:space="0"/>
              <w:left w:val="nil"/>
              <w:bottom w:val="single" w:color="000000" w:sz="4" w:space="0"/>
              <w:right w:val="single" w:color="000000" w:sz="4" w:space="0"/>
            </w:tcBorders>
            <w:vAlign w:val="center"/>
          </w:tcPr>
          <w:p w14:paraId="51405579">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姓名</w:t>
            </w:r>
          </w:p>
        </w:tc>
        <w:tc>
          <w:tcPr>
            <w:tcW w:w="890" w:type="dxa"/>
            <w:tcBorders>
              <w:top w:val="single" w:color="000000" w:sz="4" w:space="0"/>
              <w:left w:val="nil"/>
              <w:bottom w:val="single" w:color="000000" w:sz="4" w:space="0"/>
              <w:right w:val="single" w:color="000000" w:sz="4" w:space="0"/>
            </w:tcBorders>
            <w:vAlign w:val="center"/>
          </w:tcPr>
          <w:p w14:paraId="6249AFEF">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性别</w:t>
            </w:r>
          </w:p>
        </w:tc>
        <w:tc>
          <w:tcPr>
            <w:tcW w:w="890" w:type="dxa"/>
            <w:tcBorders>
              <w:top w:val="single" w:color="000000" w:sz="4" w:space="0"/>
              <w:left w:val="nil"/>
              <w:bottom w:val="single" w:color="000000" w:sz="4" w:space="0"/>
              <w:right w:val="single" w:color="000000" w:sz="4" w:space="0"/>
            </w:tcBorders>
            <w:vAlign w:val="center"/>
          </w:tcPr>
          <w:p w14:paraId="3257E243">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年龄</w:t>
            </w:r>
          </w:p>
        </w:tc>
        <w:tc>
          <w:tcPr>
            <w:tcW w:w="891" w:type="dxa"/>
            <w:tcBorders>
              <w:top w:val="single" w:color="000000" w:sz="4" w:space="0"/>
              <w:left w:val="nil"/>
              <w:bottom w:val="single" w:color="000000" w:sz="4" w:space="0"/>
              <w:right w:val="single" w:color="000000" w:sz="4" w:space="0"/>
            </w:tcBorders>
            <w:vAlign w:val="center"/>
          </w:tcPr>
          <w:p w14:paraId="75BA254C">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学历</w:t>
            </w:r>
          </w:p>
        </w:tc>
        <w:tc>
          <w:tcPr>
            <w:tcW w:w="891" w:type="dxa"/>
            <w:tcBorders>
              <w:top w:val="single" w:color="000000" w:sz="4" w:space="0"/>
              <w:left w:val="nil"/>
              <w:bottom w:val="single" w:color="000000" w:sz="4" w:space="0"/>
              <w:right w:val="single" w:color="000000" w:sz="4" w:space="0"/>
            </w:tcBorders>
            <w:vAlign w:val="center"/>
          </w:tcPr>
          <w:p w14:paraId="588EA991">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执业</w:t>
            </w:r>
          </w:p>
          <w:p w14:paraId="69D15ED6">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资格</w:t>
            </w:r>
          </w:p>
        </w:tc>
        <w:tc>
          <w:tcPr>
            <w:tcW w:w="891" w:type="dxa"/>
            <w:tcBorders>
              <w:top w:val="single" w:color="000000" w:sz="4" w:space="0"/>
              <w:left w:val="nil"/>
              <w:bottom w:val="single" w:color="000000" w:sz="4" w:space="0"/>
              <w:right w:val="single" w:color="000000" w:sz="4" w:space="0"/>
            </w:tcBorders>
            <w:vAlign w:val="center"/>
          </w:tcPr>
          <w:p w14:paraId="01E1EA80">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证书号</w:t>
            </w:r>
          </w:p>
        </w:tc>
        <w:tc>
          <w:tcPr>
            <w:tcW w:w="891" w:type="dxa"/>
            <w:tcBorders>
              <w:top w:val="single" w:color="000000" w:sz="4" w:space="0"/>
              <w:left w:val="nil"/>
              <w:bottom w:val="single" w:color="000000" w:sz="4" w:space="0"/>
              <w:right w:val="single" w:color="000000" w:sz="4" w:space="0"/>
            </w:tcBorders>
            <w:vAlign w:val="center"/>
          </w:tcPr>
          <w:p w14:paraId="36A254FF">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技术职称</w:t>
            </w:r>
          </w:p>
        </w:tc>
        <w:tc>
          <w:tcPr>
            <w:tcW w:w="891" w:type="dxa"/>
            <w:tcBorders>
              <w:top w:val="single" w:color="000000" w:sz="4" w:space="0"/>
              <w:left w:val="nil"/>
              <w:bottom w:val="single" w:color="000000" w:sz="4" w:space="0"/>
              <w:right w:val="single" w:color="000000" w:sz="4" w:space="0"/>
            </w:tcBorders>
            <w:vAlign w:val="center"/>
          </w:tcPr>
          <w:p w14:paraId="03025915">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相关工作年限</w:t>
            </w:r>
          </w:p>
        </w:tc>
        <w:tc>
          <w:tcPr>
            <w:tcW w:w="891" w:type="dxa"/>
            <w:tcBorders>
              <w:top w:val="single" w:color="000000" w:sz="4" w:space="0"/>
              <w:left w:val="nil"/>
              <w:bottom w:val="single" w:color="000000" w:sz="4" w:space="0"/>
              <w:right w:val="single" w:color="000000" w:sz="4" w:space="0"/>
            </w:tcBorders>
            <w:vAlign w:val="center"/>
          </w:tcPr>
          <w:p w14:paraId="499A2D5E">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在本项目的岗位职责</w:t>
            </w:r>
          </w:p>
        </w:tc>
        <w:tc>
          <w:tcPr>
            <w:tcW w:w="891" w:type="dxa"/>
            <w:tcBorders>
              <w:top w:val="single" w:color="000000" w:sz="4" w:space="0"/>
              <w:left w:val="nil"/>
              <w:bottom w:val="single" w:color="000000" w:sz="4" w:space="0"/>
              <w:right w:val="single" w:color="000000" w:sz="4" w:space="0"/>
            </w:tcBorders>
            <w:vAlign w:val="center"/>
          </w:tcPr>
          <w:p w14:paraId="6E792D98">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备注</w:t>
            </w:r>
          </w:p>
        </w:tc>
      </w:tr>
      <w:tr w14:paraId="52FB6E4C">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01CEA67">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2D372E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7B091B1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A53B20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B6660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705392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28DFDC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F76555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B0D61B">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F3834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C15B838">
            <w:pPr>
              <w:widowControl/>
              <w:adjustRightInd w:val="0"/>
              <w:rPr>
                <w:rFonts w:asciiTheme="minorEastAsia" w:hAnsiTheme="minorEastAsia"/>
                <w:color w:val="auto"/>
                <w:kern w:val="0"/>
                <w:szCs w:val="21"/>
                <w:highlight w:val="none"/>
              </w:rPr>
            </w:pPr>
          </w:p>
        </w:tc>
      </w:tr>
      <w:tr w14:paraId="30B2ADD3">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2F74ECB">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6C79CF2">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5B5D63C">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4688BE4">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D39C8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27B121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E8C1F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569887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01D774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A22E6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CB4D9AB">
            <w:pPr>
              <w:widowControl/>
              <w:adjustRightInd w:val="0"/>
              <w:rPr>
                <w:rFonts w:asciiTheme="minorEastAsia" w:hAnsiTheme="minorEastAsia"/>
                <w:color w:val="auto"/>
                <w:kern w:val="0"/>
                <w:szCs w:val="21"/>
                <w:highlight w:val="none"/>
              </w:rPr>
            </w:pPr>
          </w:p>
        </w:tc>
      </w:tr>
      <w:tr w14:paraId="34B64D5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B2725C5">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AB4BCA1">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E276A04">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76DB6A1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A8025D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2F5583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370D0C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09BFF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689379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6D254E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4105141">
            <w:pPr>
              <w:widowControl/>
              <w:adjustRightInd w:val="0"/>
              <w:rPr>
                <w:rFonts w:asciiTheme="minorEastAsia" w:hAnsiTheme="minorEastAsia"/>
                <w:color w:val="auto"/>
                <w:kern w:val="0"/>
                <w:szCs w:val="21"/>
                <w:highlight w:val="none"/>
              </w:rPr>
            </w:pPr>
          </w:p>
        </w:tc>
      </w:tr>
      <w:tr w14:paraId="1BAD76C9">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58AEBC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CABF1A9">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E19F329">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3519720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63274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A94DC44">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62219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44BF7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54A9B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7CB50A3">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3FDC964">
            <w:pPr>
              <w:widowControl/>
              <w:adjustRightInd w:val="0"/>
              <w:rPr>
                <w:rFonts w:asciiTheme="minorEastAsia" w:hAnsiTheme="minorEastAsia"/>
                <w:color w:val="auto"/>
                <w:kern w:val="0"/>
                <w:szCs w:val="21"/>
                <w:highlight w:val="none"/>
              </w:rPr>
            </w:pPr>
          </w:p>
        </w:tc>
      </w:tr>
      <w:tr w14:paraId="46388BEF">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3340BD01">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D32A9E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979ADC7">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9F022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2FA116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E1496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F8FA6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7445B3B">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B80B0A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9F531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488AF1D">
            <w:pPr>
              <w:widowControl/>
              <w:adjustRightInd w:val="0"/>
              <w:rPr>
                <w:rFonts w:asciiTheme="minorEastAsia" w:hAnsiTheme="minorEastAsia"/>
                <w:color w:val="auto"/>
                <w:kern w:val="0"/>
                <w:szCs w:val="21"/>
                <w:highlight w:val="none"/>
              </w:rPr>
            </w:pPr>
          </w:p>
        </w:tc>
      </w:tr>
      <w:tr w14:paraId="477F05F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A9BC7B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7FDFC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9796BA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79620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7DFA22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7B5228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89875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941B41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DE388F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4FEC42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1C33E6F">
            <w:pPr>
              <w:widowControl/>
              <w:adjustRightInd w:val="0"/>
              <w:rPr>
                <w:rFonts w:asciiTheme="minorEastAsia" w:hAnsiTheme="minorEastAsia"/>
                <w:color w:val="auto"/>
                <w:kern w:val="0"/>
                <w:szCs w:val="21"/>
                <w:highlight w:val="none"/>
              </w:rPr>
            </w:pPr>
          </w:p>
        </w:tc>
      </w:tr>
      <w:tr w14:paraId="3AAF8310">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2824B85">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94D94C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3233970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EDECE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81DCD4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875EDB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FE661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3C82E3">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E5B2F2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F675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FE24F8E">
            <w:pPr>
              <w:widowControl/>
              <w:adjustRightInd w:val="0"/>
              <w:rPr>
                <w:rFonts w:asciiTheme="minorEastAsia" w:hAnsiTheme="minorEastAsia"/>
                <w:color w:val="auto"/>
                <w:kern w:val="0"/>
                <w:szCs w:val="21"/>
                <w:highlight w:val="none"/>
              </w:rPr>
            </w:pPr>
          </w:p>
        </w:tc>
      </w:tr>
      <w:tr w14:paraId="04D01E55">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19AD6E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EF3861D">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1ECEE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39C952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9D1137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CDC8497">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8A9B5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42EBA">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96159E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0024F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983CE2">
            <w:pPr>
              <w:widowControl/>
              <w:adjustRightInd w:val="0"/>
              <w:rPr>
                <w:rFonts w:asciiTheme="minorEastAsia" w:hAnsiTheme="minorEastAsia"/>
                <w:color w:val="auto"/>
                <w:kern w:val="0"/>
                <w:szCs w:val="21"/>
                <w:highlight w:val="none"/>
              </w:rPr>
            </w:pPr>
          </w:p>
        </w:tc>
      </w:tr>
    </w:tbl>
    <w:p w14:paraId="0D0FDDC5">
      <w:pPr>
        <w:widowControl/>
        <w:shd w:val="clear" w:color="auto" w:fill="FFFFFF"/>
        <w:spacing w:line="360" w:lineRule="auto"/>
        <w:jc w:val="left"/>
        <w:rPr>
          <w:rFonts w:cs="宋体" w:asciiTheme="minorEastAsia" w:hAnsiTheme="minorEastAsia"/>
          <w:color w:val="auto"/>
          <w:kern w:val="0"/>
          <w:szCs w:val="21"/>
          <w:highlight w:val="none"/>
        </w:rPr>
      </w:pPr>
    </w:p>
    <w:p w14:paraId="7014AC84">
      <w:pPr>
        <w:widowControl/>
        <w:spacing w:line="560" w:lineRule="exact"/>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3734888A">
      <w:pPr>
        <w:widowControl/>
        <w:shd w:val="clear" w:color="auto" w:fill="FFFFFF"/>
        <w:spacing w:line="560" w:lineRule="exact"/>
        <w:jc w:val="left"/>
        <w:rPr>
          <w:rFonts w:asciiTheme="minorEastAsia" w:hAnsiTheme="minorEastAsia"/>
          <w:color w:val="auto"/>
          <w:kern w:val="0"/>
          <w:szCs w:val="21"/>
          <w:highlight w:val="none"/>
          <w:u w:val="single"/>
        </w:rPr>
      </w:pPr>
      <w:r>
        <w:rPr>
          <w:rFonts w:hint="eastAsia" w:ascii="宋体" w:hAnsi="宋体" w:eastAsia="宋体" w:cs="宋体"/>
          <w:color w:val="auto"/>
          <w:sz w:val="24"/>
          <w:highlight w:val="none"/>
        </w:rPr>
        <w:t>日    期：   年    月    日</w:t>
      </w:r>
    </w:p>
    <w:p w14:paraId="0527B5E2">
      <w:pPr>
        <w:spacing w:line="560" w:lineRule="exact"/>
        <w:rPr>
          <w:rFonts w:ascii="宋体" w:hAnsi="宋体" w:eastAsia="宋体" w:cs="宋体"/>
          <w:color w:val="auto"/>
          <w:sz w:val="24"/>
          <w:highlight w:val="none"/>
        </w:rPr>
      </w:pPr>
    </w:p>
    <w:p w14:paraId="20F25EF9">
      <w:pPr>
        <w:spacing w:line="560" w:lineRule="exact"/>
        <w:rPr>
          <w:rFonts w:ascii="宋体" w:hAnsi="宋体" w:eastAsia="宋体" w:cs="宋体"/>
          <w:b/>
          <w:bCs/>
          <w:color w:val="auto"/>
          <w:sz w:val="24"/>
          <w:highlight w:val="none"/>
          <w:lang w:val="zh-CN"/>
        </w:rPr>
      </w:pPr>
      <w:r>
        <w:rPr>
          <w:rFonts w:hint="eastAsia" w:ascii="宋体" w:hAnsi="宋体" w:eastAsia="宋体" w:cs="宋体"/>
          <w:b/>
          <w:bCs/>
          <w:color w:val="auto"/>
          <w:sz w:val="24"/>
          <w:highlight w:val="none"/>
        </w:rPr>
        <w:t>注：1.</w:t>
      </w:r>
      <w:r>
        <w:rPr>
          <w:rFonts w:hint="eastAsia" w:ascii="宋体" w:hAnsi="宋体" w:eastAsia="宋体" w:cs="宋体"/>
          <w:b/>
          <w:bCs/>
          <w:color w:val="auto"/>
          <w:sz w:val="24"/>
          <w:highlight w:val="none"/>
          <w:lang w:val="zh-CN"/>
        </w:rPr>
        <w:t>项目</w:t>
      </w:r>
      <w:r>
        <w:rPr>
          <w:rFonts w:hint="eastAsia" w:ascii="宋体" w:hAnsi="宋体" w:eastAsia="宋体" w:cs="宋体"/>
          <w:b/>
          <w:bCs/>
          <w:color w:val="auto"/>
          <w:sz w:val="24"/>
          <w:highlight w:val="none"/>
        </w:rPr>
        <w:t>团队</w:t>
      </w:r>
      <w:r>
        <w:rPr>
          <w:rFonts w:hint="eastAsia" w:ascii="宋体" w:hAnsi="宋体" w:eastAsia="宋体" w:cs="宋体"/>
          <w:b/>
          <w:bCs/>
          <w:color w:val="auto"/>
          <w:sz w:val="24"/>
          <w:highlight w:val="none"/>
          <w:lang w:val="zh-CN"/>
        </w:rPr>
        <w:t>人员</w:t>
      </w:r>
      <w:r>
        <w:rPr>
          <w:rFonts w:hint="eastAsia" w:ascii="宋体" w:hAnsi="宋体" w:eastAsia="宋体" w:cs="宋体"/>
          <w:b/>
          <w:bCs/>
          <w:color w:val="auto"/>
          <w:sz w:val="24"/>
          <w:highlight w:val="none"/>
        </w:rPr>
        <w:t>配置</w:t>
      </w:r>
      <w:r>
        <w:rPr>
          <w:rFonts w:hint="eastAsia" w:ascii="宋体" w:hAnsi="宋体" w:eastAsia="宋体" w:cs="宋体"/>
          <w:b/>
          <w:bCs/>
          <w:color w:val="auto"/>
          <w:sz w:val="24"/>
          <w:highlight w:val="none"/>
          <w:lang w:val="zh-CN"/>
        </w:rPr>
        <w:t>表格式和内容自拟，上表可供参考。</w:t>
      </w:r>
    </w:p>
    <w:p w14:paraId="2A602D69">
      <w:pPr>
        <w:spacing w:line="560" w:lineRule="exact"/>
        <w:rPr>
          <w:rFonts w:ascii="宋体" w:hAnsi="宋体" w:eastAsia="宋体" w:cs="宋体"/>
          <w:b/>
          <w:bCs/>
          <w:color w:val="auto"/>
          <w:sz w:val="24"/>
          <w:highlight w:val="none"/>
        </w:rPr>
      </w:pPr>
      <w:r>
        <w:rPr>
          <w:rFonts w:hint="eastAsia" w:ascii="宋体" w:hAnsi="宋体" w:eastAsia="宋体" w:cs="宋体"/>
          <w:b/>
          <w:bCs/>
          <w:color w:val="auto"/>
          <w:sz w:val="24"/>
          <w:highlight w:val="none"/>
        </w:rPr>
        <w:t>2.如果行数不够，供应商</w:t>
      </w:r>
      <w:r>
        <w:rPr>
          <w:rFonts w:hint="eastAsia" w:asciiTheme="minorEastAsia" w:hAnsiTheme="minorEastAsia" w:cstheme="minorEastAsia"/>
          <w:b/>
          <w:bCs/>
          <w:color w:val="auto"/>
          <w:sz w:val="24"/>
          <w:highlight w:val="none"/>
        </w:rPr>
        <w:t>可</w:t>
      </w:r>
      <w:r>
        <w:rPr>
          <w:rFonts w:hint="eastAsia" w:ascii="宋体" w:hAnsi="宋体" w:eastAsia="宋体" w:cs="宋体"/>
          <w:b/>
          <w:bCs/>
          <w:color w:val="auto"/>
          <w:sz w:val="24"/>
          <w:highlight w:val="none"/>
        </w:rPr>
        <w:t>自行</w:t>
      </w:r>
      <w:r>
        <w:rPr>
          <w:rFonts w:hint="eastAsia" w:asciiTheme="minorEastAsia" w:hAnsiTheme="minorEastAsia" w:cstheme="minorEastAsia"/>
          <w:b/>
          <w:bCs/>
          <w:color w:val="auto"/>
          <w:sz w:val="24"/>
          <w:highlight w:val="none"/>
        </w:rPr>
        <w:t>增加</w:t>
      </w:r>
      <w:r>
        <w:rPr>
          <w:rFonts w:hint="eastAsia" w:ascii="宋体" w:hAnsi="宋体" w:eastAsia="宋体" w:cs="宋体"/>
          <w:b/>
          <w:bCs/>
          <w:color w:val="auto"/>
          <w:sz w:val="24"/>
          <w:highlight w:val="none"/>
        </w:rPr>
        <w:t>。</w:t>
      </w:r>
    </w:p>
    <w:p w14:paraId="78B8E3E5">
      <w:pPr>
        <w:rPr>
          <w:rFonts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5DC4C11E">
      <w:pPr>
        <w:spacing w:line="560" w:lineRule="exac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附件八、供应商类似业绩情况表</w:t>
      </w:r>
    </w:p>
    <w:p w14:paraId="45048BE3">
      <w:pPr>
        <w:widowControl/>
        <w:adjustRightInd w:val="0"/>
        <w:spacing w:line="360" w:lineRule="auto"/>
        <w:jc w:val="center"/>
        <w:rPr>
          <w:rFonts w:asciiTheme="minorEastAsia" w:hAnsiTheme="minorEastAsia"/>
          <w:b/>
          <w:bCs/>
          <w:color w:val="auto"/>
          <w:kern w:val="0"/>
          <w:sz w:val="24"/>
          <w:highlight w:val="none"/>
        </w:rPr>
      </w:pPr>
    </w:p>
    <w:p w14:paraId="59B62C39">
      <w:pPr>
        <w:autoSpaceDE w:val="0"/>
        <w:autoSpaceDN w:val="0"/>
        <w:adjustRightInd w:val="0"/>
        <w:spacing w:line="360" w:lineRule="auto"/>
        <w:jc w:val="center"/>
        <w:rPr>
          <w:rFonts w:asciiTheme="minorEastAsia" w:hAnsiTheme="minorEastAsia"/>
          <w:b/>
          <w:color w:val="auto"/>
          <w:sz w:val="32"/>
          <w:szCs w:val="32"/>
          <w:highlight w:val="none"/>
        </w:rPr>
      </w:pPr>
      <w:r>
        <w:rPr>
          <w:rFonts w:hint="eastAsia" w:asciiTheme="minorEastAsia" w:hAnsiTheme="minorEastAsia"/>
          <w:b/>
          <w:color w:val="auto"/>
          <w:sz w:val="32"/>
          <w:szCs w:val="32"/>
          <w:highlight w:val="none"/>
        </w:rPr>
        <w:t>供应商类似业绩情况表</w:t>
      </w:r>
    </w:p>
    <w:p w14:paraId="6F3256A2">
      <w:pPr>
        <w:widowControl/>
        <w:tabs>
          <w:tab w:val="left" w:pos="5366"/>
        </w:tabs>
        <w:spacing w:line="360" w:lineRule="auto"/>
        <w:jc w:val="left"/>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项目名称：</w:t>
      </w:r>
      <w:r>
        <w:rPr>
          <w:rFonts w:asciiTheme="minorEastAsia" w:hAnsiTheme="minorEastAsia"/>
          <w:color w:val="auto"/>
          <w:kern w:val="0"/>
          <w:szCs w:val="21"/>
          <w:highlight w:val="none"/>
        </w:rPr>
        <w:tab/>
      </w:r>
      <w:r>
        <w:rPr>
          <w:rFonts w:hint="eastAsia" w:asciiTheme="minorEastAsia" w:hAnsiTheme="minorEastAsia"/>
          <w:color w:val="auto"/>
          <w:kern w:val="0"/>
          <w:szCs w:val="21"/>
          <w:highlight w:val="none"/>
        </w:rPr>
        <w:t>项目编号：   </w:t>
      </w:r>
    </w:p>
    <w:tbl>
      <w:tblPr>
        <w:tblStyle w:val="19"/>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2191"/>
        <w:gridCol w:w="2000"/>
        <w:gridCol w:w="1158"/>
        <w:gridCol w:w="1494"/>
        <w:gridCol w:w="1280"/>
        <w:gridCol w:w="900"/>
      </w:tblGrid>
      <w:tr w14:paraId="322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vAlign w:val="center"/>
          </w:tcPr>
          <w:p w14:paraId="2713DF88">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序号</w:t>
            </w:r>
          </w:p>
        </w:tc>
        <w:tc>
          <w:tcPr>
            <w:tcW w:w="2191" w:type="dxa"/>
            <w:vAlign w:val="center"/>
          </w:tcPr>
          <w:p w14:paraId="0116F85B">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项目名称</w:t>
            </w:r>
          </w:p>
        </w:tc>
        <w:tc>
          <w:tcPr>
            <w:tcW w:w="2000" w:type="dxa"/>
            <w:vAlign w:val="center"/>
          </w:tcPr>
          <w:p w14:paraId="27745C7D">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采购单位</w:t>
            </w:r>
          </w:p>
        </w:tc>
        <w:tc>
          <w:tcPr>
            <w:tcW w:w="1158" w:type="dxa"/>
            <w:vAlign w:val="center"/>
          </w:tcPr>
          <w:p w14:paraId="5A812D3A">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合同</w:t>
            </w:r>
          </w:p>
          <w:p w14:paraId="02DEFD0F">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金额</w:t>
            </w:r>
          </w:p>
        </w:tc>
        <w:tc>
          <w:tcPr>
            <w:tcW w:w="1494" w:type="dxa"/>
          </w:tcPr>
          <w:p w14:paraId="6B04AD51">
            <w:pPr>
              <w:spacing w:line="360" w:lineRule="auto"/>
              <w:jc w:val="center"/>
              <w:rPr>
                <w:rFonts w:hint="eastAsia" w:asciiTheme="minorEastAsia" w:hAnsiTheme="minorEastAsia" w:eastAsiaTheme="minorEastAsia"/>
                <w:b/>
                <w:bCs/>
                <w:color w:val="auto"/>
                <w:szCs w:val="21"/>
                <w:highlight w:val="none"/>
                <w:lang w:eastAsia="zh-CN"/>
              </w:rPr>
            </w:pPr>
            <w:r>
              <w:rPr>
                <w:rFonts w:hint="eastAsia" w:asciiTheme="minorEastAsia" w:hAnsiTheme="minorEastAsia"/>
                <w:b/>
                <w:bCs/>
                <w:color w:val="auto"/>
                <w:szCs w:val="21"/>
                <w:highlight w:val="none"/>
              </w:rPr>
              <w:t>合同签</w:t>
            </w:r>
            <w:r>
              <w:rPr>
                <w:rFonts w:hint="eastAsia" w:asciiTheme="minorEastAsia" w:hAnsiTheme="minorEastAsia"/>
                <w:b/>
                <w:bCs/>
                <w:color w:val="auto"/>
                <w:szCs w:val="21"/>
                <w:highlight w:val="none"/>
                <w:lang w:val="en-US" w:eastAsia="zh-CN"/>
              </w:rPr>
              <w:t>订</w:t>
            </w:r>
          </w:p>
          <w:p w14:paraId="708A6419">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时间</w:t>
            </w:r>
          </w:p>
        </w:tc>
        <w:tc>
          <w:tcPr>
            <w:tcW w:w="1280" w:type="dxa"/>
          </w:tcPr>
          <w:p w14:paraId="03B3ACC6">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联系人及电话</w:t>
            </w:r>
          </w:p>
        </w:tc>
        <w:tc>
          <w:tcPr>
            <w:tcW w:w="900" w:type="dxa"/>
            <w:vAlign w:val="center"/>
          </w:tcPr>
          <w:p w14:paraId="3E38C513">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备注</w:t>
            </w:r>
          </w:p>
        </w:tc>
      </w:tr>
      <w:tr w14:paraId="39CE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023CBC85">
            <w:pPr>
              <w:spacing w:line="360" w:lineRule="auto"/>
              <w:jc w:val="center"/>
              <w:rPr>
                <w:rFonts w:asciiTheme="minorEastAsia" w:hAnsiTheme="minorEastAsia"/>
                <w:color w:val="auto"/>
                <w:szCs w:val="21"/>
                <w:highlight w:val="none"/>
              </w:rPr>
            </w:pPr>
          </w:p>
        </w:tc>
        <w:tc>
          <w:tcPr>
            <w:tcW w:w="2191" w:type="dxa"/>
          </w:tcPr>
          <w:p w14:paraId="020BBA6E">
            <w:pPr>
              <w:spacing w:line="360" w:lineRule="auto"/>
              <w:jc w:val="center"/>
              <w:rPr>
                <w:rFonts w:asciiTheme="minorEastAsia" w:hAnsiTheme="minorEastAsia"/>
                <w:color w:val="auto"/>
                <w:szCs w:val="21"/>
                <w:highlight w:val="none"/>
              </w:rPr>
            </w:pPr>
          </w:p>
        </w:tc>
        <w:tc>
          <w:tcPr>
            <w:tcW w:w="2000" w:type="dxa"/>
          </w:tcPr>
          <w:p w14:paraId="42C39DE5">
            <w:pPr>
              <w:spacing w:line="360" w:lineRule="auto"/>
              <w:ind w:firstLine="105" w:firstLineChars="50"/>
              <w:rPr>
                <w:rFonts w:asciiTheme="minorEastAsia" w:hAnsiTheme="minorEastAsia"/>
                <w:color w:val="auto"/>
                <w:szCs w:val="21"/>
                <w:highlight w:val="none"/>
              </w:rPr>
            </w:pPr>
          </w:p>
        </w:tc>
        <w:tc>
          <w:tcPr>
            <w:tcW w:w="1158" w:type="dxa"/>
          </w:tcPr>
          <w:p w14:paraId="39B737CB">
            <w:pPr>
              <w:spacing w:line="360" w:lineRule="auto"/>
              <w:jc w:val="center"/>
              <w:rPr>
                <w:rFonts w:asciiTheme="minorEastAsia" w:hAnsiTheme="minorEastAsia"/>
                <w:color w:val="auto"/>
                <w:szCs w:val="21"/>
                <w:highlight w:val="none"/>
              </w:rPr>
            </w:pPr>
          </w:p>
        </w:tc>
        <w:tc>
          <w:tcPr>
            <w:tcW w:w="1494" w:type="dxa"/>
          </w:tcPr>
          <w:p w14:paraId="474148C4">
            <w:pPr>
              <w:spacing w:line="360" w:lineRule="auto"/>
              <w:jc w:val="center"/>
              <w:rPr>
                <w:rFonts w:asciiTheme="minorEastAsia" w:hAnsiTheme="minorEastAsia"/>
                <w:color w:val="auto"/>
                <w:szCs w:val="21"/>
                <w:highlight w:val="none"/>
              </w:rPr>
            </w:pPr>
          </w:p>
        </w:tc>
        <w:tc>
          <w:tcPr>
            <w:tcW w:w="1280" w:type="dxa"/>
          </w:tcPr>
          <w:p w14:paraId="44056F27">
            <w:pPr>
              <w:spacing w:line="360" w:lineRule="auto"/>
              <w:jc w:val="center"/>
              <w:rPr>
                <w:rFonts w:asciiTheme="minorEastAsia" w:hAnsiTheme="minorEastAsia"/>
                <w:color w:val="auto"/>
                <w:szCs w:val="21"/>
                <w:highlight w:val="none"/>
              </w:rPr>
            </w:pPr>
          </w:p>
        </w:tc>
        <w:tc>
          <w:tcPr>
            <w:tcW w:w="900" w:type="dxa"/>
          </w:tcPr>
          <w:p w14:paraId="221EDF41">
            <w:pPr>
              <w:spacing w:line="360" w:lineRule="auto"/>
              <w:jc w:val="center"/>
              <w:rPr>
                <w:rFonts w:asciiTheme="minorEastAsia" w:hAnsiTheme="minorEastAsia"/>
                <w:color w:val="auto"/>
                <w:szCs w:val="21"/>
                <w:highlight w:val="none"/>
              </w:rPr>
            </w:pPr>
          </w:p>
        </w:tc>
      </w:tr>
      <w:tr w14:paraId="6903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867F860">
            <w:pPr>
              <w:spacing w:line="360" w:lineRule="auto"/>
              <w:jc w:val="center"/>
              <w:rPr>
                <w:rFonts w:asciiTheme="minorEastAsia" w:hAnsiTheme="minorEastAsia"/>
                <w:color w:val="auto"/>
                <w:szCs w:val="21"/>
                <w:highlight w:val="none"/>
              </w:rPr>
            </w:pPr>
          </w:p>
        </w:tc>
        <w:tc>
          <w:tcPr>
            <w:tcW w:w="2191" w:type="dxa"/>
          </w:tcPr>
          <w:p w14:paraId="4BB6A3CF">
            <w:pPr>
              <w:spacing w:line="360" w:lineRule="auto"/>
              <w:jc w:val="center"/>
              <w:rPr>
                <w:rFonts w:asciiTheme="minorEastAsia" w:hAnsiTheme="minorEastAsia"/>
                <w:color w:val="auto"/>
                <w:szCs w:val="21"/>
                <w:highlight w:val="none"/>
              </w:rPr>
            </w:pPr>
          </w:p>
        </w:tc>
        <w:tc>
          <w:tcPr>
            <w:tcW w:w="2000" w:type="dxa"/>
          </w:tcPr>
          <w:p w14:paraId="0BD182DD">
            <w:pPr>
              <w:spacing w:line="360" w:lineRule="auto"/>
              <w:jc w:val="center"/>
              <w:rPr>
                <w:rFonts w:asciiTheme="minorEastAsia" w:hAnsiTheme="minorEastAsia"/>
                <w:color w:val="auto"/>
                <w:szCs w:val="21"/>
                <w:highlight w:val="none"/>
              </w:rPr>
            </w:pPr>
          </w:p>
        </w:tc>
        <w:tc>
          <w:tcPr>
            <w:tcW w:w="1158" w:type="dxa"/>
          </w:tcPr>
          <w:p w14:paraId="463D1288">
            <w:pPr>
              <w:spacing w:line="360" w:lineRule="auto"/>
              <w:jc w:val="center"/>
              <w:rPr>
                <w:rFonts w:asciiTheme="minorEastAsia" w:hAnsiTheme="minorEastAsia"/>
                <w:color w:val="auto"/>
                <w:szCs w:val="21"/>
                <w:highlight w:val="none"/>
              </w:rPr>
            </w:pPr>
          </w:p>
        </w:tc>
        <w:tc>
          <w:tcPr>
            <w:tcW w:w="1494" w:type="dxa"/>
          </w:tcPr>
          <w:p w14:paraId="7E2CA6DF">
            <w:pPr>
              <w:spacing w:line="360" w:lineRule="auto"/>
              <w:jc w:val="center"/>
              <w:rPr>
                <w:rFonts w:asciiTheme="minorEastAsia" w:hAnsiTheme="minorEastAsia"/>
                <w:color w:val="auto"/>
                <w:szCs w:val="21"/>
                <w:highlight w:val="none"/>
              </w:rPr>
            </w:pPr>
          </w:p>
        </w:tc>
        <w:tc>
          <w:tcPr>
            <w:tcW w:w="1280" w:type="dxa"/>
          </w:tcPr>
          <w:p w14:paraId="78A50988">
            <w:pPr>
              <w:spacing w:line="360" w:lineRule="auto"/>
              <w:jc w:val="center"/>
              <w:rPr>
                <w:rFonts w:asciiTheme="minorEastAsia" w:hAnsiTheme="minorEastAsia"/>
                <w:color w:val="auto"/>
                <w:szCs w:val="21"/>
                <w:highlight w:val="none"/>
              </w:rPr>
            </w:pPr>
          </w:p>
        </w:tc>
        <w:tc>
          <w:tcPr>
            <w:tcW w:w="900" w:type="dxa"/>
          </w:tcPr>
          <w:p w14:paraId="00B812FD">
            <w:pPr>
              <w:spacing w:line="360" w:lineRule="auto"/>
              <w:jc w:val="center"/>
              <w:rPr>
                <w:rFonts w:asciiTheme="minorEastAsia" w:hAnsiTheme="minorEastAsia"/>
                <w:color w:val="auto"/>
                <w:szCs w:val="21"/>
                <w:highlight w:val="none"/>
              </w:rPr>
            </w:pPr>
          </w:p>
        </w:tc>
      </w:tr>
      <w:tr w14:paraId="05E0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46843FF8">
            <w:pPr>
              <w:spacing w:line="360" w:lineRule="auto"/>
              <w:jc w:val="center"/>
              <w:rPr>
                <w:rFonts w:asciiTheme="minorEastAsia" w:hAnsiTheme="minorEastAsia"/>
                <w:color w:val="auto"/>
                <w:szCs w:val="21"/>
                <w:highlight w:val="none"/>
              </w:rPr>
            </w:pPr>
          </w:p>
        </w:tc>
        <w:tc>
          <w:tcPr>
            <w:tcW w:w="2191" w:type="dxa"/>
          </w:tcPr>
          <w:p w14:paraId="63952900">
            <w:pPr>
              <w:spacing w:line="360" w:lineRule="auto"/>
              <w:jc w:val="center"/>
              <w:rPr>
                <w:rFonts w:asciiTheme="minorEastAsia" w:hAnsiTheme="minorEastAsia"/>
                <w:color w:val="auto"/>
                <w:szCs w:val="21"/>
                <w:highlight w:val="none"/>
              </w:rPr>
            </w:pPr>
          </w:p>
        </w:tc>
        <w:tc>
          <w:tcPr>
            <w:tcW w:w="2000" w:type="dxa"/>
          </w:tcPr>
          <w:p w14:paraId="18730256">
            <w:pPr>
              <w:spacing w:line="360" w:lineRule="auto"/>
              <w:jc w:val="center"/>
              <w:rPr>
                <w:rFonts w:asciiTheme="minorEastAsia" w:hAnsiTheme="minorEastAsia"/>
                <w:color w:val="auto"/>
                <w:szCs w:val="21"/>
                <w:highlight w:val="none"/>
              </w:rPr>
            </w:pPr>
          </w:p>
        </w:tc>
        <w:tc>
          <w:tcPr>
            <w:tcW w:w="1158" w:type="dxa"/>
          </w:tcPr>
          <w:p w14:paraId="60A56B61">
            <w:pPr>
              <w:spacing w:line="360" w:lineRule="auto"/>
              <w:jc w:val="center"/>
              <w:rPr>
                <w:rFonts w:asciiTheme="minorEastAsia" w:hAnsiTheme="minorEastAsia"/>
                <w:color w:val="auto"/>
                <w:szCs w:val="21"/>
                <w:highlight w:val="none"/>
              </w:rPr>
            </w:pPr>
          </w:p>
        </w:tc>
        <w:tc>
          <w:tcPr>
            <w:tcW w:w="1494" w:type="dxa"/>
          </w:tcPr>
          <w:p w14:paraId="1AEA97D4">
            <w:pPr>
              <w:spacing w:line="360" w:lineRule="auto"/>
              <w:jc w:val="center"/>
              <w:rPr>
                <w:rFonts w:asciiTheme="minorEastAsia" w:hAnsiTheme="minorEastAsia"/>
                <w:color w:val="auto"/>
                <w:szCs w:val="21"/>
                <w:highlight w:val="none"/>
              </w:rPr>
            </w:pPr>
          </w:p>
        </w:tc>
        <w:tc>
          <w:tcPr>
            <w:tcW w:w="1280" w:type="dxa"/>
          </w:tcPr>
          <w:p w14:paraId="3DDE5810">
            <w:pPr>
              <w:spacing w:line="360" w:lineRule="auto"/>
              <w:jc w:val="center"/>
              <w:rPr>
                <w:rFonts w:asciiTheme="minorEastAsia" w:hAnsiTheme="minorEastAsia"/>
                <w:color w:val="auto"/>
                <w:szCs w:val="21"/>
                <w:highlight w:val="none"/>
              </w:rPr>
            </w:pPr>
          </w:p>
        </w:tc>
        <w:tc>
          <w:tcPr>
            <w:tcW w:w="900" w:type="dxa"/>
          </w:tcPr>
          <w:p w14:paraId="7928AAFC">
            <w:pPr>
              <w:spacing w:line="360" w:lineRule="auto"/>
              <w:jc w:val="center"/>
              <w:rPr>
                <w:rFonts w:asciiTheme="minorEastAsia" w:hAnsiTheme="minorEastAsia"/>
                <w:color w:val="auto"/>
                <w:szCs w:val="21"/>
                <w:highlight w:val="none"/>
              </w:rPr>
            </w:pPr>
          </w:p>
        </w:tc>
      </w:tr>
      <w:tr w14:paraId="06A3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1D92E90B">
            <w:pPr>
              <w:spacing w:line="360" w:lineRule="auto"/>
              <w:jc w:val="center"/>
              <w:rPr>
                <w:rFonts w:asciiTheme="minorEastAsia" w:hAnsiTheme="minorEastAsia"/>
                <w:color w:val="auto"/>
                <w:szCs w:val="21"/>
                <w:highlight w:val="none"/>
              </w:rPr>
            </w:pPr>
          </w:p>
        </w:tc>
        <w:tc>
          <w:tcPr>
            <w:tcW w:w="2191" w:type="dxa"/>
          </w:tcPr>
          <w:p w14:paraId="09A160B3">
            <w:pPr>
              <w:spacing w:line="360" w:lineRule="auto"/>
              <w:jc w:val="center"/>
              <w:rPr>
                <w:rFonts w:asciiTheme="minorEastAsia" w:hAnsiTheme="minorEastAsia"/>
                <w:color w:val="auto"/>
                <w:szCs w:val="21"/>
                <w:highlight w:val="none"/>
              </w:rPr>
            </w:pPr>
          </w:p>
        </w:tc>
        <w:tc>
          <w:tcPr>
            <w:tcW w:w="2000" w:type="dxa"/>
          </w:tcPr>
          <w:p w14:paraId="67E542C7">
            <w:pPr>
              <w:spacing w:line="360" w:lineRule="auto"/>
              <w:jc w:val="center"/>
              <w:rPr>
                <w:rFonts w:asciiTheme="minorEastAsia" w:hAnsiTheme="minorEastAsia"/>
                <w:color w:val="auto"/>
                <w:szCs w:val="21"/>
                <w:highlight w:val="none"/>
              </w:rPr>
            </w:pPr>
          </w:p>
        </w:tc>
        <w:tc>
          <w:tcPr>
            <w:tcW w:w="1158" w:type="dxa"/>
          </w:tcPr>
          <w:p w14:paraId="00728219">
            <w:pPr>
              <w:spacing w:line="360" w:lineRule="auto"/>
              <w:jc w:val="center"/>
              <w:rPr>
                <w:rFonts w:asciiTheme="minorEastAsia" w:hAnsiTheme="minorEastAsia"/>
                <w:color w:val="auto"/>
                <w:szCs w:val="21"/>
                <w:highlight w:val="none"/>
              </w:rPr>
            </w:pPr>
          </w:p>
        </w:tc>
        <w:tc>
          <w:tcPr>
            <w:tcW w:w="1494" w:type="dxa"/>
          </w:tcPr>
          <w:p w14:paraId="2A8B4D99">
            <w:pPr>
              <w:spacing w:line="360" w:lineRule="auto"/>
              <w:jc w:val="center"/>
              <w:rPr>
                <w:rFonts w:asciiTheme="minorEastAsia" w:hAnsiTheme="minorEastAsia"/>
                <w:color w:val="auto"/>
                <w:szCs w:val="21"/>
                <w:highlight w:val="none"/>
              </w:rPr>
            </w:pPr>
          </w:p>
        </w:tc>
        <w:tc>
          <w:tcPr>
            <w:tcW w:w="1280" w:type="dxa"/>
          </w:tcPr>
          <w:p w14:paraId="49377968">
            <w:pPr>
              <w:spacing w:line="360" w:lineRule="auto"/>
              <w:jc w:val="center"/>
              <w:rPr>
                <w:rFonts w:asciiTheme="minorEastAsia" w:hAnsiTheme="minorEastAsia"/>
                <w:color w:val="auto"/>
                <w:szCs w:val="21"/>
                <w:highlight w:val="none"/>
              </w:rPr>
            </w:pPr>
          </w:p>
        </w:tc>
        <w:tc>
          <w:tcPr>
            <w:tcW w:w="900" w:type="dxa"/>
          </w:tcPr>
          <w:p w14:paraId="05C9E8BE">
            <w:pPr>
              <w:spacing w:line="360" w:lineRule="auto"/>
              <w:jc w:val="center"/>
              <w:rPr>
                <w:rFonts w:asciiTheme="minorEastAsia" w:hAnsiTheme="minorEastAsia"/>
                <w:color w:val="auto"/>
                <w:szCs w:val="21"/>
                <w:highlight w:val="none"/>
              </w:rPr>
            </w:pPr>
          </w:p>
        </w:tc>
      </w:tr>
      <w:tr w14:paraId="7600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551046A9">
            <w:pPr>
              <w:spacing w:line="360" w:lineRule="auto"/>
              <w:jc w:val="center"/>
              <w:rPr>
                <w:rFonts w:asciiTheme="minorEastAsia" w:hAnsiTheme="minorEastAsia"/>
                <w:color w:val="auto"/>
                <w:szCs w:val="21"/>
                <w:highlight w:val="none"/>
              </w:rPr>
            </w:pPr>
          </w:p>
        </w:tc>
        <w:tc>
          <w:tcPr>
            <w:tcW w:w="2191" w:type="dxa"/>
          </w:tcPr>
          <w:p w14:paraId="1935C9EE">
            <w:pPr>
              <w:spacing w:line="360" w:lineRule="auto"/>
              <w:jc w:val="center"/>
              <w:rPr>
                <w:rFonts w:asciiTheme="minorEastAsia" w:hAnsiTheme="minorEastAsia"/>
                <w:color w:val="auto"/>
                <w:szCs w:val="21"/>
                <w:highlight w:val="none"/>
              </w:rPr>
            </w:pPr>
          </w:p>
        </w:tc>
        <w:tc>
          <w:tcPr>
            <w:tcW w:w="2000" w:type="dxa"/>
          </w:tcPr>
          <w:p w14:paraId="24622C8D">
            <w:pPr>
              <w:spacing w:line="360" w:lineRule="auto"/>
              <w:jc w:val="center"/>
              <w:rPr>
                <w:rFonts w:asciiTheme="minorEastAsia" w:hAnsiTheme="minorEastAsia"/>
                <w:color w:val="auto"/>
                <w:szCs w:val="21"/>
                <w:highlight w:val="none"/>
              </w:rPr>
            </w:pPr>
          </w:p>
        </w:tc>
        <w:tc>
          <w:tcPr>
            <w:tcW w:w="1158" w:type="dxa"/>
          </w:tcPr>
          <w:p w14:paraId="791DCB96">
            <w:pPr>
              <w:spacing w:line="360" w:lineRule="auto"/>
              <w:jc w:val="center"/>
              <w:rPr>
                <w:rFonts w:asciiTheme="minorEastAsia" w:hAnsiTheme="minorEastAsia"/>
                <w:color w:val="auto"/>
                <w:szCs w:val="21"/>
                <w:highlight w:val="none"/>
              </w:rPr>
            </w:pPr>
          </w:p>
        </w:tc>
        <w:tc>
          <w:tcPr>
            <w:tcW w:w="1494" w:type="dxa"/>
          </w:tcPr>
          <w:p w14:paraId="7EB6C540">
            <w:pPr>
              <w:spacing w:line="360" w:lineRule="auto"/>
              <w:jc w:val="center"/>
              <w:rPr>
                <w:rFonts w:asciiTheme="minorEastAsia" w:hAnsiTheme="minorEastAsia"/>
                <w:color w:val="auto"/>
                <w:szCs w:val="21"/>
                <w:highlight w:val="none"/>
              </w:rPr>
            </w:pPr>
          </w:p>
        </w:tc>
        <w:tc>
          <w:tcPr>
            <w:tcW w:w="1280" w:type="dxa"/>
          </w:tcPr>
          <w:p w14:paraId="5FF725AD">
            <w:pPr>
              <w:spacing w:line="360" w:lineRule="auto"/>
              <w:jc w:val="center"/>
              <w:rPr>
                <w:rFonts w:asciiTheme="minorEastAsia" w:hAnsiTheme="minorEastAsia"/>
                <w:color w:val="auto"/>
                <w:szCs w:val="21"/>
                <w:highlight w:val="none"/>
              </w:rPr>
            </w:pPr>
          </w:p>
        </w:tc>
        <w:tc>
          <w:tcPr>
            <w:tcW w:w="900" w:type="dxa"/>
          </w:tcPr>
          <w:p w14:paraId="5C2ABD37">
            <w:pPr>
              <w:spacing w:line="360" w:lineRule="auto"/>
              <w:jc w:val="center"/>
              <w:rPr>
                <w:rFonts w:asciiTheme="minorEastAsia" w:hAnsiTheme="minorEastAsia"/>
                <w:color w:val="auto"/>
                <w:szCs w:val="21"/>
                <w:highlight w:val="none"/>
              </w:rPr>
            </w:pPr>
          </w:p>
        </w:tc>
      </w:tr>
      <w:tr w14:paraId="1586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058322F">
            <w:pPr>
              <w:spacing w:line="360" w:lineRule="auto"/>
              <w:jc w:val="center"/>
              <w:rPr>
                <w:rFonts w:asciiTheme="minorEastAsia" w:hAnsiTheme="minorEastAsia"/>
                <w:color w:val="auto"/>
                <w:szCs w:val="21"/>
                <w:highlight w:val="none"/>
              </w:rPr>
            </w:pPr>
          </w:p>
        </w:tc>
        <w:tc>
          <w:tcPr>
            <w:tcW w:w="2191" w:type="dxa"/>
          </w:tcPr>
          <w:p w14:paraId="076E76FA">
            <w:pPr>
              <w:spacing w:line="360" w:lineRule="auto"/>
              <w:jc w:val="center"/>
              <w:rPr>
                <w:rFonts w:asciiTheme="minorEastAsia" w:hAnsiTheme="minorEastAsia"/>
                <w:color w:val="auto"/>
                <w:szCs w:val="21"/>
                <w:highlight w:val="none"/>
              </w:rPr>
            </w:pPr>
          </w:p>
        </w:tc>
        <w:tc>
          <w:tcPr>
            <w:tcW w:w="2000" w:type="dxa"/>
          </w:tcPr>
          <w:p w14:paraId="74950B9F">
            <w:pPr>
              <w:spacing w:line="360" w:lineRule="auto"/>
              <w:jc w:val="center"/>
              <w:rPr>
                <w:rFonts w:asciiTheme="minorEastAsia" w:hAnsiTheme="minorEastAsia"/>
                <w:color w:val="auto"/>
                <w:szCs w:val="21"/>
                <w:highlight w:val="none"/>
              </w:rPr>
            </w:pPr>
          </w:p>
        </w:tc>
        <w:tc>
          <w:tcPr>
            <w:tcW w:w="1158" w:type="dxa"/>
          </w:tcPr>
          <w:p w14:paraId="4962A3D3">
            <w:pPr>
              <w:spacing w:line="360" w:lineRule="auto"/>
              <w:jc w:val="center"/>
              <w:rPr>
                <w:rFonts w:asciiTheme="minorEastAsia" w:hAnsiTheme="minorEastAsia"/>
                <w:color w:val="auto"/>
                <w:szCs w:val="21"/>
                <w:highlight w:val="none"/>
              </w:rPr>
            </w:pPr>
          </w:p>
        </w:tc>
        <w:tc>
          <w:tcPr>
            <w:tcW w:w="1494" w:type="dxa"/>
          </w:tcPr>
          <w:p w14:paraId="304009B1">
            <w:pPr>
              <w:spacing w:line="360" w:lineRule="auto"/>
              <w:jc w:val="center"/>
              <w:rPr>
                <w:rFonts w:asciiTheme="minorEastAsia" w:hAnsiTheme="minorEastAsia"/>
                <w:color w:val="auto"/>
                <w:szCs w:val="21"/>
                <w:highlight w:val="none"/>
              </w:rPr>
            </w:pPr>
          </w:p>
        </w:tc>
        <w:tc>
          <w:tcPr>
            <w:tcW w:w="1280" w:type="dxa"/>
          </w:tcPr>
          <w:p w14:paraId="30F0AB3B">
            <w:pPr>
              <w:spacing w:line="360" w:lineRule="auto"/>
              <w:jc w:val="center"/>
              <w:rPr>
                <w:rFonts w:asciiTheme="minorEastAsia" w:hAnsiTheme="minorEastAsia"/>
                <w:color w:val="auto"/>
                <w:szCs w:val="21"/>
                <w:highlight w:val="none"/>
              </w:rPr>
            </w:pPr>
          </w:p>
        </w:tc>
        <w:tc>
          <w:tcPr>
            <w:tcW w:w="900" w:type="dxa"/>
          </w:tcPr>
          <w:p w14:paraId="3D466B15">
            <w:pPr>
              <w:spacing w:line="360" w:lineRule="auto"/>
              <w:jc w:val="center"/>
              <w:rPr>
                <w:rFonts w:asciiTheme="minorEastAsia" w:hAnsiTheme="minorEastAsia"/>
                <w:color w:val="auto"/>
                <w:szCs w:val="21"/>
                <w:highlight w:val="none"/>
              </w:rPr>
            </w:pPr>
          </w:p>
        </w:tc>
      </w:tr>
    </w:tbl>
    <w:p w14:paraId="24307309">
      <w:pPr>
        <w:autoSpaceDE w:val="0"/>
        <w:autoSpaceDN w:val="0"/>
        <w:adjustRightInd w:val="0"/>
        <w:spacing w:line="360" w:lineRule="auto"/>
        <w:rPr>
          <w:rFonts w:asciiTheme="minorEastAsia" w:hAnsiTheme="minorEastAsia"/>
          <w:b/>
          <w:color w:val="auto"/>
          <w:szCs w:val="21"/>
          <w:highlight w:val="none"/>
        </w:rPr>
      </w:pPr>
    </w:p>
    <w:p w14:paraId="61DA8D65">
      <w:pPr>
        <w:widowControl/>
        <w:spacing w:line="560" w:lineRule="exact"/>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42A1AD7E">
      <w:pPr>
        <w:spacing w:line="560" w:lineRule="exact"/>
        <w:rPr>
          <w:rFonts w:asciiTheme="minorEastAsia" w:hAnsiTheme="minorEastAsia"/>
          <w:b/>
          <w:color w:val="auto"/>
          <w:szCs w:val="21"/>
          <w:highlight w:val="none"/>
        </w:rPr>
      </w:pPr>
      <w:r>
        <w:rPr>
          <w:rFonts w:hint="eastAsia" w:ascii="宋体" w:hAnsi="宋体" w:eastAsia="宋体" w:cs="宋体"/>
          <w:color w:val="auto"/>
          <w:sz w:val="24"/>
          <w:highlight w:val="none"/>
        </w:rPr>
        <w:t>日    期：   年    月    日</w:t>
      </w:r>
    </w:p>
    <w:p w14:paraId="682A20C7">
      <w:pPr>
        <w:spacing w:line="560" w:lineRule="exact"/>
        <w:rPr>
          <w:rFonts w:asciiTheme="minorEastAsia" w:hAnsiTheme="minorEastAsia"/>
          <w:b/>
          <w:color w:val="auto"/>
          <w:szCs w:val="21"/>
          <w:highlight w:val="none"/>
        </w:rPr>
      </w:pPr>
    </w:p>
    <w:p w14:paraId="56BDA2F2">
      <w:pPr>
        <w:spacing w:line="560" w:lineRule="exact"/>
        <w:rPr>
          <w:rFonts w:asciiTheme="minorEastAsia" w:hAnsiTheme="minorEastAsia"/>
          <w:b/>
          <w:color w:val="auto"/>
          <w:szCs w:val="21"/>
          <w:highlight w:val="none"/>
        </w:rPr>
      </w:pPr>
      <w:r>
        <w:rPr>
          <w:rFonts w:hint="eastAsia" w:asciiTheme="minorEastAsia" w:hAnsiTheme="minorEastAsia"/>
          <w:b/>
          <w:color w:val="auto"/>
          <w:sz w:val="24"/>
          <w:highlight w:val="none"/>
        </w:rPr>
        <w:t>说明：1.供应商根据本格式要求如实填写业绩情况表，并根据竞争性磋商文件要求附业绩证明材料</w:t>
      </w:r>
      <w:r>
        <w:rPr>
          <w:rFonts w:hint="eastAsia" w:asciiTheme="minorEastAsia" w:hAnsiTheme="minorEastAsia"/>
          <w:b/>
          <w:color w:val="auto"/>
          <w:szCs w:val="21"/>
          <w:highlight w:val="none"/>
        </w:rPr>
        <w:t>。</w:t>
      </w:r>
    </w:p>
    <w:p w14:paraId="5E0F147A">
      <w:pPr>
        <w:spacing w:line="560" w:lineRule="exact"/>
        <w:rPr>
          <w:rFonts w:ascii="宋体" w:hAnsi="宋体" w:eastAsia="宋体" w:cs="宋体"/>
          <w:b/>
          <w:bCs/>
          <w:color w:val="auto"/>
          <w:sz w:val="24"/>
          <w:highlight w:val="none"/>
        </w:rPr>
      </w:pPr>
      <w:r>
        <w:rPr>
          <w:rFonts w:hint="eastAsia" w:ascii="宋体" w:hAnsi="宋体" w:eastAsia="宋体" w:cs="宋体"/>
          <w:b/>
          <w:bCs/>
          <w:color w:val="auto"/>
          <w:sz w:val="24"/>
          <w:highlight w:val="none"/>
        </w:rPr>
        <w:t>2.如果行数不够，供应商</w:t>
      </w:r>
      <w:r>
        <w:rPr>
          <w:rFonts w:hint="eastAsia" w:asciiTheme="minorEastAsia" w:hAnsiTheme="minorEastAsia" w:cstheme="minorEastAsia"/>
          <w:b/>
          <w:bCs/>
          <w:color w:val="auto"/>
          <w:sz w:val="24"/>
          <w:highlight w:val="none"/>
        </w:rPr>
        <w:t>可</w:t>
      </w:r>
      <w:r>
        <w:rPr>
          <w:rFonts w:hint="eastAsia" w:ascii="宋体" w:hAnsi="宋体" w:eastAsia="宋体" w:cs="宋体"/>
          <w:b/>
          <w:bCs/>
          <w:color w:val="auto"/>
          <w:sz w:val="24"/>
          <w:highlight w:val="none"/>
        </w:rPr>
        <w:t>自行</w:t>
      </w:r>
      <w:r>
        <w:rPr>
          <w:rFonts w:hint="eastAsia" w:asciiTheme="minorEastAsia" w:hAnsiTheme="minorEastAsia" w:cstheme="minorEastAsia"/>
          <w:b/>
          <w:bCs/>
          <w:color w:val="auto"/>
          <w:sz w:val="24"/>
          <w:highlight w:val="none"/>
        </w:rPr>
        <w:t>增加</w:t>
      </w:r>
      <w:r>
        <w:rPr>
          <w:rFonts w:hint="eastAsia" w:ascii="宋体" w:hAnsi="宋体" w:eastAsia="宋体" w:cs="宋体"/>
          <w:b/>
          <w:bCs/>
          <w:color w:val="auto"/>
          <w:sz w:val="24"/>
          <w:highlight w:val="none"/>
        </w:rPr>
        <w:t>。</w:t>
      </w:r>
      <w:bookmarkEnd w:id="29"/>
    </w:p>
    <w:p w14:paraId="7D41333F">
      <w:pPr>
        <w:rPr>
          <w:rFonts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31A410D0">
      <w:pPr>
        <w:spacing w:line="560" w:lineRule="exact"/>
        <w:outlineLvl w:val="1"/>
        <w:rPr>
          <w:rFonts w:ascii="宋体" w:hAnsi="宋体" w:eastAsia="宋体" w:cs="宋体"/>
          <w:color w:val="auto"/>
          <w:sz w:val="28"/>
          <w:szCs w:val="28"/>
          <w:highlight w:val="none"/>
        </w:rPr>
      </w:pPr>
      <w:r>
        <w:rPr>
          <w:rFonts w:hint="eastAsia" w:ascii="宋体" w:hAnsi="宋体" w:eastAsia="宋体" w:cs="宋体"/>
          <w:b/>
          <w:color w:val="auto"/>
          <w:sz w:val="28"/>
          <w:szCs w:val="28"/>
          <w:highlight w:val="none"/>
        </w:rPr>
        <w:t>附件九、项目实施</w:t>
      </w:r>
      <w:r>
        <w:rPr>
          <w:rFonts w:hint="eastAsia" w:ascii="宋体" w:hAnsi="宋体" w:cs="宋体"/>
          <w:b/>
          <w:color w:val="auto"/>
          <w:sz w:val="28"/>
          <w:szCs w:val="28"/>
          <w:highlight w:val="none"/>
        </w:rPr>
        <w:t>或服务</w:t>
      </w:r>
      <w:r>
        <w:rPr>
          <w:rFonts w:hint="eastAsia" w:ascii="宋体" w:hAnsi="宋体" w:eastAsia="宋体" w:cs="宋体"/>
          <w:b/>
          <w:color w:val="auto"/>
          <w:sz w:val="28"/>
          <w:szCs w:val="28"/>
          <w:highlight w:val="none"/>
        </w:rPr>
        <w:t>方案</w:t>
      </w:r>
      <w:bookmarkEnd w:id="31"/>
    </w:p>
    <w:p w14:paraId="0CB0AD28">
      <w:pPr>
        <w:spacing w:line="560" w:lineRule="exact"/>
        <w:rPr>
          <w:rFonts w:ascii="宋体" w:hAnsi="宋体" w:eastAsia="宋体" w:cs="宋体"/>
          <w:color w:val="auto"/>
          <w:sz w:val="28"/>
          <w:szCs w:val="28"/>
          <w:highlight w:val="none"/>
          <w:lang w:val="zh-CN"/>
        </w:rPr>
      </w:pPr>
    </w:p>
    <w:p w14:paraId="37331216">
      <w:pPr>
        <w:pStyle w:val="6"/>
        <w:spacing w:line="560" w:lineRule="exact"/>
        <w:rPr>
          <w:rFonts w:ascii="宋体" w:hAnsi="宋体" w:eastAsia="宋体" w:cs="宋体"/>
          <w:color w:val="auto"/>
          <w:szCs w:val="28"/>
          <w:highlight w:val="none"/>
          <w:lang w:val="zh-CN"/>
        </w:rPr>
      </w:pPr>
    </w:p>
    <w:p w14:paraId="45644AEC">
      <w:pPr>
        <w:pStyle w:val="6"/>
        <w:spacing w:line="560" w:lineRule="exact"/>
        <w:rPr>
          <w:rFonts w:ascii="宋体" w:hAnsi="宋体" w:eastAsia="宋体" w:cs="宋体"/>
          <w:color w:val="auto"/>
          <w:szCs w:val="28"/>
          <w:highlight w:val="none"/>
          <w:lang w:val="zh-CN"/>
        </w:rPr>
      </w:pPr>
    </w:p>
    <w:p w14:paraId="2A533816">
      <w:pPr>
        <w:pStyle w:val="6"/>
        <w:spacing w:line="560" w:lineRule="exact"/>
        <w:rPr>
          <w:rFonts w:ascii="宋体" w:hAnsi="宋体" w:eastAsia="宋体" w:cs="宋体"/>
          <w:color w:val="auto"/>
          <w:szCs w:val="28"/>
          <w:highlight w:val="none"/>
          <w:lang w:val="zh-CN"/>
        </w:rPr>
      </w:pPr>
    </w:p>
    <w:p w14:paraId="0911E0DE">
      <w:pPr>
        <w:pStyle w:val="6"/>
        <w:spacing w:line="560" w:lineRule="exact"/>
        <w:rPr>
          <w:rFonts w:ascii="宋体" w:hAnsi="宋体" w:eastAsia="宋体" w:cs="宋体"/>
          <w:color w:val="auto"/>
          <w:szCs w:val="28"/>
          <w:highlight w:val="none"/>
          <w:lang w:val="zh-CN"/>
        </w:rPr>
      </w:pPr>
    </w:p>
    <w:bookmarkEnd w:id="30"/>
    <w:p w14:paraId="0CBDE8C2">
      <w:pPr>
        <w:spacing w:line="560" w:lineRule="exact"/>
        <w:rPr>
          <w:rFonts w:ascii="宋体" w:hAnsi="宋体" w:eastAsia="宋体" w:cs="宋体"/>
          <w:color w:val="auto"/>
          <w:sz w:val="28"/>
          <w:szCs w:val="28"/>
          <w:highlight w:val="none"/>
          <w:lang w:val="zh-CN"/>
        </w:rPr>
      </w:pPr>
    </w:p>
    <w:p w14:paraId="6116C67B">
      <w:pPr>
        <w:spacing w:line="560" w:lineRule="exact"/>
        <w:rPr>
          <w:rFonts w:ascii="宋体" w:hAnsi="宋体" w:eastAsia="宋体" w:cs="宋体"/>
          <w:color w:val="auto"/>
          <w:sz w:val="28"/>
          <w:szCs w:val="28"/>
          <w:highlight w:val="none"/>
          <w:lang w:val="zh-CN"/>
        </w:rPr>
      </w:pPr>
    </w:p>
    <w:p w14:paraId="33DBEE74">
      <w:pPr>
        <w:pStyle w:val="6"/>
        <w:spacing w:line="560" w:lineRule="exact"/>
        <w:rPr>
          <w:rFonts w:ascii="宋体" w:hAnsi="宋体" w:eastAsia="宋体" w:cs="宋体"/>
          <w:color w:val="auto"/>
          <w:szCs w:val="28"/>
          <w:highlight w:val="none"/>
          <w:lang w:val="zh-CN"/>
        </w:rPr>
      </w:pPr>
    </w:p>
    <w:p w14:paraId="78938358">
      <w:pPr>
        <w:rPr>
          <w:rFonts w:ascii="宋体" w:hAnsi="宋体" w:eastAsia="宋体" w:cs="宋体"/>
          <w:b/>
          <w:color w:val="auto"/>
          <w:sz w:val="28"/>
          <w:szCs w:val="28"/>
          <w:highlight w:val="none"/>
        </w:rPr>
      </w:pPr>
      <w:bookmarkStart w:id="34" w:name="_Toc4960"/>
      <w:r>
        <w:rPr>
          <w:rFonts w:hint="eastAsia" w:ascii="宋体" w:hAnsi="宋体" w:eastAsia="宋体" w:cs="宋体"/>
          <w:b/>
          <w:color w:val="auto"/>
          <w:sz w:val="28"/>
          <w:szCs w:val="28"/>
          <w:highlight w:val="none"/>
        </w:rPr>
        <w:br w:type="page"/>
      </w:r>
    </w:p>
    <w:p w14:paraId="520BEBB6">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附件十、资格证明文件</w:t>
      </w:r>
    </w:p>
    <w:p w14:paraId="52AEF659">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一、资格证明文件索引表</w:t>
      </w:r>
    </w:p>
    <w:p w14:paraId="5666FDFD">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资格证明文件索引表</w:t>
      </w:r>
    </w:p>
    <w:tbl>
      <w:tblPr>
        <w:tblStyle w:val="19"/>
        <w:tblW w:w="9413" w:type="dxa"/>
        <w:jc w:val="center"/>
        <w:tblLayout w:type="fixed"/>
        <w:tblCellMar>
          <w:top w:w="0" w:type="dxa"/>
          <w:left w:w="10" w:type="dxa"/>
          <w:bottom w:w="0" w:type="dxa"/>
          <w:right w:w="10" w:type="dxa"/>
        </w:tblCellMar>
      </w:tblPr>
      <w:tblGrid>
        <w:gridCol w:w="947"/>
        <w:gridCol w:w="5720"/>
        <w:gridCol w:w="2746"/>
      </w:tblGrid>
      <w:tr w14:paraId="123CEB41">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928380">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序号</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9440D7">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71B45">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在响应文件中的页码位置</w:t>
            </w:r>
          </w:p>
        </w:tc>
      </w:tr>
      <w:tr w14:paraId="6EA0F0B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F09AFE">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一</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98383E">
            <w:pPr>
              <w:spacing w:line="560" w:lineRule="exact"/>
              <w:jc w:val="center"/>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满足《中华人民共和国政府采购法》第二十二条规定</w:t>
            </w:r>
          </w:p>
          <w:p w14:paraId="28D1486C">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提供《南京市政府采购供应商信用承诺书》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925485">
            <w:pPr>
              <w:spacing w:line="560" w:lineRule="exact"/>
              <w:jc w:val="center"/>
              <w:rPr>
                <w:rFonts w:ascii="宋体" w:hAnsi="宋体" w:eastAsia="宋体" w:cs="宋体"/>
                <w:bCs/>
                <w:color w:val="auto"/>
                <w:szCs w:val="21"/>
                <w:highlight w:val="none"/>
                <w:shd w:val="clear" w:color="auto" w:fill="FFFFFF"/>
              </w:rPr>
            </w:pPr>
          </w:p>
        </w:tc>
      </w:tr>
      <w:tr w14:paraId="3736F75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BB919C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C8DB23">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具有独立承担民事责任的能力（法人或其他组织提供营业执照、事业单位法人证书、社会团体法人登记证书、社会服务机构登记证书、基金会法人登记证书任一有效证件；自然人提供身份证）</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F43E1D">
            <w:pPr>
              <w:spacing w:line="560" w:lineRule="exact"/>
              <w:jc w:val="center"/>
              <w:rPr>
                <w:rFonts w:ascii="宋体" w:hAnsi="宋体" w:eastAsia="宋体" w:cs="宋体"/>
                <w:color w:val="auto"/>
                <w:szCs w:val="21"/>
                <w:highlight w:val="none"/>
              </w:rPr>
            </w:pPr>
          </w:p>
        </w:tc>
      </w:tr>
      <w:tr w14:paraId="7D10A06A">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DBA8BEB">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CC42B6">
            <w:pPr>
              <w:adjustRightInd w:val="0"/>
              <w:snapToGrid w:val="0"/>
              <w:spacing w:line="560" w:lineRule="exact"/>
              <w:jc w:val="left"/>
              <w:rPr>
                <w:rFonts w:ascii="宋体" w:hAnsi="宋体" w:cs="宋体"/>
                <w:color w:val="auto"/>
                <w:szCs w:val="21"/>
                <w:highlight w:val="none"/>
              </w:rPr>
            </w:pPr>
            <w:r>
              <w:rPr>
                <w:rFonts w:hint="eastAsia" w:ascii="宋体" w:hAnsi="宋体" w:eastAsia="宋体" w:cs="宋体"/>
                <w:color w:val="auto"/>
                <w:szCs w:val="21"/>
                <w:highlight w:val="none"/>
                <w:lang w:val="zh-CN"/>
              </w:rPr>
              <w:t>具有良好的商业信誉和健全的财务会计制度（提供参加本次政府采购活动前的会计报表或审计报告，或投标截止时间前六个月内银行出具的资信证明）</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1487188">
            <w:pPr>
              <w:spacing w:line="560" w:lineRule="exact"/>
              <w:jc w:val="center"/>
              <w:rPr>
                <w:rFonts w:ascii="宋体" w:hAnsi="宋体" w:eastAsia="宋体" w:cs="宋体"/>
                <w:color w:val="auto"/>
                <w:szCs w:val="21"/>
                <w:highlight w:val="none"/>
              </w:rPr>
            </w:pPr>
          </w:p>
        </w:tc>
      </w:tr>
      <w:tr w14:paraId="38E5084B">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F1BE5A">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CB2BB83">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具有履行合同所必需的设备和专业技术能力（根据项目需求提供履行合同所必需的设备和专业技术能力的声明或证明材料）；</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6C3CDE">
            <w:pPr>
              <w:spacing w:line="560" w:lineRule="exact"/>
              <w:jc w:val="center"/>
              <w:rPr>
                <w:rFonts w:ascii="宋体" w:hAnsi="宋体" w:eastAsia="宋体" w:cs="宋体"/>
                <w:color w:val="auto"/>
                <w:szCs w:val="21"/>
                <w:highlight w:val="none"/>
              </w:rPr>
            </w:pPr>
          </w:p>
        </w:tc>
      </w:tr>
      <w:tr w14:paraId="6AB90202">
        <w:tblPrEx>
          <w:tblCellMar>
            <w:top w:w="0" w:type="dxa"/>
            <w:left w:w="10" w:type="dxa"/>
            <w:bottom w:w="0" w:type="dxa"/>
            <w:right w:w="10" w:type="dxa"/>
          </w:tblCellMar>
        </w:tblPrEx>
        <w:trPr>
          <w:trHeight w:val="1656" w:hRule="atLeast"/>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9085C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93B347B">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具有依法缴纳税收和社会保障资金的良好记录（提供参加本次政府采购活动前一年内至少一个月缴纳社会保险的凭据及缴纳税收的凭据）；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765613">
            <w:pPr>
              <w:spacing w:line="560" w:lineRule="exact"/>
              <w:jc w:val="center"/>
              <w:rPr>
                <w:rFonts w:ascii="宋体" w:hAnsi="宋体" w:eastAsia="宋体" w:cs="宋体"/>
                <w:color w:val="auto"/>
                <w:szCs w:val="21"/>
                <w:highlight w:val="none"/>
              </w:rPr>
            </w:pPr>
          </w:p>
        </w:tc>
      </w:tr>
      <w:tr w14:paraId="102FC75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8776BBD">
            <w:pPr>
              <w:spacing w:line="560" w:lineRule="exact"/>
              <w:jc w:val="center"/>
              <w:rPr>
                <w:rFonts w:ascii="宋体" w:hAnsi="宋体" w:eastAsia="宋体" w:cs="宋体"/>
                <w:color w:val="auto"/>
                <w:szCs w:val="21"/>
                <w:highlight w:val="none"/>
              </w:rPr>
            </w:pPr>
            <w:r>
              <w:rPr>
                <w:rFonts w:hint="eastAsia" w:ascii="宋体" w:hAnsi="宋体" w:cs="宋体"/>
                <w:color w:val="auto"/>
                <w:szCs w:val="21"/>
                <w:highlight w:val="none"/>
              </w:rPr>
              <w:t>5</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3D993C">
            <w:pPr>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参加本项目政府采购活动前三年内，在经营活动中没有重大违法记录（提供参加本次政府采购活动前3年内在经营活动中没有重大违法记录的书面声明，格式详见竞争性磋商文件第六章附件）；</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E092566">
            <w:pPr>
              <w:spacing w:line="560" w:lineRule="exact"/>
              <w:jc w:val="center"/>
              <w:rPr>
                <w:rFonts w:ascii="宋体" w:hAnsi="宋体" w:eastAsia="宋体" w:cs="宋体"/>
                <w:color w:val="auto"/>
                <w:szCs w:val="21"/>
                <w:highlight w:val="none"/>
              </w:rPr>
            </w:pPr>
          </w:p>
        </w:tc>
      </w:tr>
      <w:tr w14:paraId="06C9B742">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36C63C">
            <w:pPr>
              <w:spacing w:line="560" w:lineRule="exact"/>
              <w:jc w:val="center"/>
              <w:rPr>
                <w:rFonts w:ascii="宋体" w:hAnsi="宋体" w:eastAsia="宋体" w:cs="宋体"/>
                <w:color w:val="auto"/>
                <w:szCs w:val="21"/>
                <w:highlight w:val="none"/>
              </w:rPr>
            </w:pPr>
            <w:r>
              <w:rPr>
                <w:rFonts w:hint="eastAsia" w:ascii="宋体" w:hAnsi="宋体" w:cs="宋体"/>
                <w:color w:val="auto"/>
                <w:szCs w:val="21"/>
                <w:highlight w:val="none"/>
              </w:rPr>
              <w:t>6</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52BF1D">
            <w:pPr>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法律、行政法规规定的其他条件：无。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A03360">
            <w:pPr>
              <w:spacing w:line="560" w:lineRule="exact"/>
              <w:jc w:val="center"/>
              <w:rPr>
                <w:rFonts w:ascii="宋体" w:hAnsi="宋体" w:eastAsia="宋体" w:cs="宋体"/>
                <w:color w:val="auto"/>
                <w:szCs w:val="21"/>
                <w:highlight w:val="none"/>
              </w:rPr>
            </w:pPr>
          </w:p>
        </w:tc>
      </w:tr>
      <w:tr w14:paraId="0FEF03A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0A859B4">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二</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A0D6F6C">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本项目的特定资格要求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83F8F5">
            <w:pPr>
              <w:spacing w:line="560" w:lineRule="exact"/>
              <w:jc w:val="center"/>
              <w:rPr>
                <w:rFonts w:ascii="宋体" w:hAnsi="宋体" w:eastAsia="宋体" w:cs="宋体"/>
                <w:b/>
                <w:color w:val="auto"/>
                <w:szCs w:val="21"/>
                <w:highlight w:val="none"/>
                <w:shd w:val="clear" w:color="auto" w:fill="FFFFFF"/>
              </w:rPr>
            </w:pPr>
          </w:p>
        </w:tc>
      </w:tr>
      <w:tr w14:paraId="0B666A6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13DE30B">
            <w:pPr>
              <w:spacing w:line="560" w:lineRule="exact"/>
              <w:jc w:val="center"/>
              <w:rPr>
                <w:rFonts w:ascii="宋体" w:hAnsi="宋体" w:eastAsia="宋体" w:cs="宋体"/>
                <w:color w:val="auto"/>
                <w:szCs w:val="21"/>
                <w:highlight w:val="none"/>
              </w:rPr>
            </w:pP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4407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1E0ACF">
            <w:pPr>
              <w:spacing w:line="560" w:lineRule="exact"/>
              <w:jc w:val="center"/>
              <w:rPr>
                <w:rFonts w:ascii="宋体" w:hAnsi="宋体" w:eastAsia="宋体" w:cs="宋体"/>
                <w:color w:val="auto"/>
                <w:szCs w:val="21"/>
                <w:highlight w:val="none"/>
              </w:rPr>
            </w:pPr>
          </w:p>
        </w:tc>
      </w:tr>
      <w:tr w14:paraId="614B8CA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27B557">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三</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7A59568">
            <w:pPr>
              <w:spacing w:line="560" w:lineRule="exact"/>
              <w:jc w:val="center"/>
              <w:rPr>
                <w:rFonts w:ascii="宋体" w:hAnsi="宋体" w:eastAsia="宋体" w:cs="宋体"/>
                <w:b/>
                <w:color w:val="auto"/>
                <w:szCs w:val="21"/>
                <w:highlight w:val="none"/>
                <w:shd w:val="clear" w:color="auto" w:fill="FFFFFF"/>
                <w:lang w:val="zh-CN"/>
              </w:rPr>
            </w:pPr>
            <w:r>
              <w:rPr>
                <w:rFonts w:hint="eastAsia" w:ascii="宋体" w:hAnsi="宋体" w:eastAsia="宋体" w:cs="宋体"/>
                <w:b/>
                <w:color w:val="auto"/>
                <w:szCs w:val="21"/>
                <w:highlight w:val="none"/>
                <w:shd w:val="clear" w:color="auto" w:fill="FFFFFF"/>
              </w:rPr>
              <w:t>落实政府采购政策需满足的资格要求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F9B762">
            <w:pPr>
              <w:spacing w:line="560" w:lineRule="exact"/>
              <w:jc w:val="center"/>
              <w:rPr>
                <w:rFonts w:ascii="宋体" w:hAnsi="宋体" w:eastAsia="宋体" w:cs="宋体"/>
                <w:color w:val="auto"/>
                <w:szCs w:val="21"/>
                <w:highlight w:val="none"/>
              </w:rPr>
            </w:pPr>
          </w:p>
        </w:tc>
      </w:tr>
      <w:tr w14:paraId="3D41037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1EFAE6">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84BDB2">
            <w:pPr>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rPr>
              <w:t>本项目不专门面向中小微企业采购，执行价格扣除优惠政策，具体详见磋商文件第二章政策功能。</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9C87E0F">
            <w:pPr>
              <w:spacing w:line="560" w:lineRule="exact"/>
              <w:jc w:val="center"/>
              <w:rPr>
                <w:rFonts w:ascii="宋体" w:hAnsi="宋体" w:eastAsia="宋体" w:cs="宋体"/>
                <w:color w:val="auto"/>
                <w:szCs w:val="21"/>
                <w:highlight w:val="none"/>
              </w:rPr>
            </w:pPr>
          </w:p>
        </w:tc>
      </w:tr>
      <w:tr w14:paraId="31F41AD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B5C5EA">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四</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7FC97A4">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其他</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352F9">
            <w:pPr>
              <w:spacing w:line="560" w:lineRule="exact"/>
              <w:jc w:val="center"/>
              <w:rPr>
                <w:rFonts w:ascii="宋体" w:hAnsi="宋体" w:eastAsia="宋体" w:cs="宋体"/>
                <w:color w:val="auto"/>
                <w:szCs w:val="21"/>
                <w:highlight w:val="none"/>
              </w:rPr>
            </w:pPr>
          </w:p>
        </w:tc>
      </w:tr>
      <w:tr w14:paraId="2FEE65D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DF2D6E">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3D8439">
            <w:pPr>
              <w:wordWrap w:val="0"/>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未</w:t>
            </w:r>
            <w:r>
              <w:rPr>
                <w:rFonts w:hint="eastAsia" w:ascii="宋体" w:hAnsi="宋体" w:eastAsia="宋体" w:cs="宋体"/>
                <w:color w:val="auto"/>
                <w:szCs w:val="21"/>
                <w:highlight w:val="none"/>
                <w:lang w:val="zh-CN"/>
              </w:rPr>
              <w:t>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信用中国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网站</w:t>
            </w:r>
            <w:r>
              <w:rPr>
                <w:rFonts w:hint="eastAsia" w:ascii="宋体" w:hAnsi="宋体" w:eastAsia="宋体" w:cs="宋体"/>
                <w:color w:val="auto"/>
                <w:szCs w:val="21"/>
                <w:highlight w:val="none"/>
              </w:rPr>
              <w:t>（www.creditchina.gov.cn）</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中国政府采购网</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val="zh-CN"/>
              </w:rPr>
              <w:t>列入失信被执行人、重大税收违法案件当事人名单、政府采购严重违法失信行为记录名单。（提供网页查询截图并加盖供应商公章）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C1898C">
            <w:pPr>
              <w:spacing w:line="560" w:lineRule="exact"/>
              <w:jc w:val="center"/>
              <w:rPr>
                <w:rFonts w:ascii="宋体" w:hAnsi="宋体" w:eastAsia="宋体" w:cs="宋体"/>
                <w:color w:val="auto"/>
                <w:szCs w:val="21"/>
                <w:highlight w:val="none"/>
              </w:rPr>
            </w:pPr>
          </w:p>
        </w:tc>
      </w:tr>
      <w:tr w14:paraId="1923DDA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5CFD5EF">
            <w:pPr>
              <w:wordWrap w:val="0"/>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289921">
            <w:pPr>
              <w:wordWrap w:val="0"/>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南京市政府采购供应商信用承诺书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4FF173">
            <w:pPr>
              <w:spacing w:line="560" w:lineRule="exact"/>
              <w:jc w:val="center"/>
              <w:rPr>
                <w:rFonts w:ascii="宋体" w:hAnsi="宋体" w:eastAsia="宋体" w:cs="宋体"/>
                <w:color w:val="auto"/>
                <w:szCs w:val="21"/>
                <w:highlight w:val="none"/>
              </w:rPr>
            </w:pPr>
          </w:p>
        </w:tc>
      </w:tr>
    </w:tbl>
    <w:p w14:paraId="6DF8B531">
      <w:pPr>
        <w:adjustRightInd w:val="0"/>
        <w:snapToGrid w:val="0"/>
        <w:spacing w:line="560" w:lineRule="exact"/>
        <w:ind w:firstLine="480" w:firstLineChars="200"/>
        <w:jc w:val="left"/>
        <w:rPr>
          <w:rFonts w:ascii="宋体" w:hAnsi="宋体" w:eastAsia="宋体" w:cs="宋体"/>
          <w:color w:val="auto"/>
          <w:sz w:val="24"/>
          <w:highlight w:val="none"/>
        </w:rPr>
      </w:pPr>
    </w:p>
    <w:p w14:paraId="69D0090F">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19BDBDD4">
      <w:pPr>
        <w:adjustRightInd w:val="0"/>
        <w:snapToGrid w:val="0"/>
        <w:spacing w:line="560" w:lineRule="exact"/>
        <w:ind w:firstLine="480" w:firstLineChars="200"/>
        <w:jc w:val="lef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   年    月    日</w:t>
      </w:r>
    </w:p>
    <w:p w14:paraId="1BBBC9AB">
      <w:pPr>
        <w:spacing w:line="560" w:lineRule="exact"/>
        <w:ind w:firstLine="482" w:firstLineChars="200"/>
        <w:rPr>
          <w:rFonts w:ascii="宋体" w:hAnsi="宋体" w:eastAsia="宋体" w:cs="宋体"/>
          <w:color w:val="auto"/>
          <w:szCs w:val="28"/>
          <w:highlight w:val="none"/>
        </w:rPr>
      </w:pPr>
      <w:r>
        <w:rPr>
          <w:rFonts w:hint="eastAsia" w:ascii="宋体" w:hAnsi="宋体" w:eastAsia="宋体" w:cs="宋体"/>
          <w:b/>
          <w:bCs/>
          <w:color w:val="auto"/>
          <w:sz w:val="24"/>
          <w:highlight w:val="none"/>
        </w:rPr>
        <w:t>注：供应商应当根据实际情况和竞争性磋商文件内容提供资格证明文件，并标注相关证明材料在响应文件的位置页码。供应商不得虚报、瞒报、漏报或虚假承诺。</w:t>
      </w:r>
    </w:p>
    <w:p w14:paraId="4DD6372C">
      <w:pPr>
        <w:rPr>
          <w:rFonts w:ascii="宋体" w:hAnsi="宋体" w:eastAsia="宋体" w:cs="宋体"/>
          <w:b/>
          <w:color w:val="auto"/>
          <w:sz w:val="28"/>
          <w:szCs w:val="28"/>
          <w:highlight w:val="none"/>
        </w:rPr>
      </w:pPr>
      <w:bookmarkStart w:id="35" w:name="_Toc5810"/>
      <w:r>
        <w:rPr>
          <w:rFonts w:hint="eastAsia" w:ascii="宋体" w:hAnsi="宋体" w:eastAsia="宋体" w:cs="宋体"/>
          <w:b/>
          <w:color w:val="auto"/>
          <w:sz w:val="28"/>
          <w:szCs w:val="28"/>
          <w:highlight w:val="none"/>
        </w:rPr>
        <w:br w:type="page"/>
      </w:r>
    </w:p>
    <w:p w14:paraId="5BF74CA6">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二、满足《中华人民共和国政府采购法》第二十二条规定</w:t>
      </w:r>
    </w:p>
    <w:p w14:paraId="703CBBC9">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zh-CN"/>
        </w:rPr>
        <w:t>具有独立承担民事责任的能力；</w:t>
      </w:r>
    </w:p>
    <w:p w14:paraId="5FA3AECF">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（法人或其他组织提供营业执照、事业单位法人证书、社会团体法人登记证书、社会服务机构登记证书、基金会法人登记证书任一有效证件；自然人提供身份证）</w:t>
      </w:r>
    </w:p>
    <w:p w14:paraId="7DE0A5BE">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2619B608">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2.具有良好的商业信誉和健全的财务会计制度；</w:t>
      </w:r>
    </w:p>
    <w:p w14:paraId="5CAF4D9C">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（提供参加本次政府采购活动前的会计报表或审计报告，或投标截止时间前六个月内银行出具的资信证明）</w:t>
      </w:r>
    </w:p>
    <w:p w14:paraId="4CE92E96">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5C983F92">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zh-CN"/>
        </w:rPr>
        <w:t>具有履行合同所必需的设备和专业技术能力；</w:t>
      </w:r>
    </w:p>
    <w:p w14:paraId="721E5D49">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（根据项目需求提供履行合同所必需的设备和专业技术能力的声明或证明材料）</w:t>
      </w:r>
    </w:p>
    <w:p w14:paraId="03877C69">
      <w:pPr>
        <w:widowControl/>
        <w:spacing w:line="560" w:lineRule="exact"/>
        <w:jc w:val="center"/>
        <w:rPr>
          <w:rFonts w:ascii="宋体" w:hAnsi="宋体" w:eastAsia="宋体" w:cs="宋体"/>
          <w:b/>
          <w:color w:val="auto"/>
          <w:sz w:val="28"/>
          <w:szCs w:val="28"/>
          <w:highlight w:val="none"/>
          <w:lang w:val="zh-CN"/>
        </w:rPr>
      </w:pPr>
    </w:p>
    <w:p w14:paraId="78FCF2E0">
      <w:pPr>
        <w:widowControl/>
        <w:spacing w:line="560" w:lineRule="exact"/>
        <w:jc w:val="center"/>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具备履行合同所必需的设备和专业技术能力的声明</w:t>
      </w:r>
    </w:p>
    <w:p w14:paraId="510386EB">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w:t>
      </w:r>
      <w:r>
        <w:rPr>
          <w:rFonts w:hint="eastAsia" w:asciiTheme="minorEastAsia" w:hAnsiTheme="minorEastAsia" w:cstheme="minorEastAsia"/>
          <w:color w:val="auto"/>
          <w:sz w:val="24"/>
          <w:highlight w:val="none"/>
          <w:lang w:val="zh-CN"/>
        </w:rPr>
        <w:t>南京市栖霞区人民政府八卦洲街道办事处</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 xml:space="preserve"> </w:t>
      </w:r>
    </w:p>
    <w:p w14:paraId="36CAB1C3">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43574FA1">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我方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（供应商名称）郑重声明：我方具备履行本项采购合同所必需的设备和专业技术能力，为履行本项采购合同我方具备如下主要设备和主要专业技术能力：</w:t>
      </w:r>
    </w:p>
    <w:p w14:paraId="15530189">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主要设备有：</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 若有 ）</w:t>
      </w:r>
    </w:p>
    <w:p w14:paraId="1BAE53BB">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主要专业技术能力有：</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若有 ）</w:t>
      </w:r>
    </w:p>
    <w:p w14:paraId="66095447">
      <w:pPr>
        <w:spacing w:line="560" w:lineRule="exact"/>
        <w:ind w:firstLine="480" w:firstLineChars="200"/>
        <w:rPr>
          <w:rFonts w:ascii="宋体" w:hAnsi="宋体" w:eastAsia="宋体" w:cs="宋体"/>
          <w:color w:val="auto"/>
          <w:sz w:val="24"/>
          <w:highlight w:val="none"/>
        </w:rPr>
      </w:pPr>
    </w:p>
    <w:p w14:paraId="71C1035E">
      <w:pPr>
        <w:spacing w:line="560" w:lineRule="exact"/>
        <w:ind w:firstLine="480" w:firstLineChars="200"/>
        <w:rPr>
          <w:rFonts w:ascii="宋体" w:hAnsi="宋体" w:eastAsia="宋体" w:cs="宋体"/>
          <w:color w:val="auto"/>
          <w:sz w:val="24"/>
          <w:highlight w:val="none"/>
        </w:rPr>
      </w:pPr>
    </w:p>
    <w:p w14:paraId="4127A77C">
      <w:pPr>
        <w:widowControl/>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供应商名称（公章）：</w:t>
      </w:r>
    </w:p>
    <w:p w14:paraId="11985E76">
      <w:pPr>
        <w:adjustRightInd w:val="0"/>
        <w:snapToGrid w:val="0"/>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4D1C4EE9">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附：证明材料</w:t>
      </w:r>
    </w:p>
    <w:p w14:paraId="322D6BA2">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14:paraId="0B830FCA">
      <w:pPr>
        <w:pStyle w:val="26"/>
        <w:ind w:firstLine="0" w:firstLineChars="0"/>
        <w:outlineLvl w:val="3"/>
        <w:rPr>
          <w:rFonts w:ascii="宋体" w:hAnsi="宋体" w:eastAsia="宋体" w:cs="宋体"/>
          <w:b/>
          <w:color w:val="auto"/>
          <w:highlight w:val="none"/>
          <w:lang w:val="zh-CN"/>
        </w:rPr>
      </w:pPr>
      <w:r>
        <w:rPr>
          <w:rFonts w:hint="eastAsia" w:ascii="宋体" w:hAnsi="宋体" w:eastAsia="宋体" w:cs="宋体"/>
          <w:b/>
          <w:color w:val="auto"/>
          <w:highlight w:val="none"/>
        </w:rPr>
        <w:t>4.</w:t>
      </w:r>
      <w:r>
        <w:rPr>
          <w:rFonts w:hint="eastAsia" w:ascii="宋体" w:hAnsi="宋体" w:eastAsia="宋体" w:cs="宋体"/>
          <w:b/>
          <w:color w:val="auto"/>
          <w:highlight w:val="none"/>
          <w:lang w:val="zh-CN"/>
        </w:rPr>
        <w:t>具有依法缴纳税收和社会保障资金的良好记录</w:t>
      </w:r>
    </w:p>
    <w:p w14:paraId="4A9E3443">
      <w:pPr>
        <w:pStyle w:val="26"/>
        <w:ind w:firstLine="0" w:firstLineChars="0"/>
        <w:rPr>
          <w:rFonts w:ascii="宋体" w:hAnsi="宋体" w:eastAsia="宋体" w:cs="宋体"/>
          <w:b/>
          <w:color w:val="auto"/>
          <w:highlight w:val="none"/>
        </w:rPr>
      </w:pPr>
      <w:r>
        <w:rPr>
          <w:rFonts w:hint="eastAsia" w:ascii="宋体" w:hAnsi="宋体" w:eastAsia="宋体" w:cs="宋体"/>
          <w:bCs/>
          <w:color w:val="auto"/>
          <w:highlight w:val="none"/>
          <w:lang w:val="zh-CN"/>
        </w:rPr>
        <w:t>（提供参加本次政府采购活动前一年内至少一个月缴纳社会保险的凭据及缴纳税收的凭据）；</w:t>
      </w:r>
    </w:p>
    <w:p w14:paraId="5C59E92B">
      <w:pPr>
        <w:spacing w:line="560" w:lineRule="exact"/>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4D8F055">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5.</w:t>
      </w:r>
      <w:bookmarkEnd w:id="35"/>
      <w:r>
        <w:rPr>
          <w:rFonts w:hint="eastAsia" w:ascii="宋体" w:hAnsi="宋体" w:eastAsia="宋体" w:cs="宋体"/>
          <w:b/>
          <w:color w:val="auto"/>
          <w:sz w:val="24"/>
          <w:highlight w:val="none"/>
          <w:lang w:val="zh-CN"/>
        </w:rPr>
        <w:t>参加本项目政府采购活动前三年内，在经营活动中没有重大违法记录</w:t>
      </w:r>
    </w:p>
    <w:p w14:paraId="6521847B">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（提供参加本次政府采购活动前3年内在经营活动中没有重大违法记录的书面声明，格式详见竞争性磋商文件第六章）；</w:t>
      </w:r>
    </w:p>
    <w:p w14:paraId="5C596C4A">
      <w:pPr>
        <w:pStyle w:val="6"/>
        <w:spacing w:line="560" w:lineRule="exact"/>
        <w:rPr>
          <w:rFonts w:ascii="宋体" w:hAnsi="宋体" w:eastAsia="宋体" w:cs="宋体"/>
          <w:color w:val="auto"/>
          <w:szCs w:val="28"/>
          <w:highlight w:val="none"/>
        </w:rPr>
      </w:pPr>
    </w:p>
    <w:p w14:paraId="4E103EB3">
      <w:pPr>
        <w:widowControl/>
        <w:spacing w:line="560" w:lineRule="exact"/>
        <w:jc w:val="center"/>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无重大违法记录声明</w:t>
      </w:r>
    </w:p>
    <w:p w14:paraId="62DE563C">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w:t>
      </w:r>
      <w:r>
        <w:rPr>
          <w:rFonts w:hint="eastAsia" w:asciiTheme="minorEastAsia" w:hAnsiTheme="minorEastAsia" w:cstheme="minorEastAsia"/>
          <w:color w:val="auto"/>
          <w:sz w:val="24"/>
          <w:highlight w:val="none"/>
          <w:lang w:val="zh-CN"/>
        </w:rPr>
        <w:t>南京市栖霞区人民政府八卦洲街道办事处</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eastAsia="zh-CN"/>
        </w:rPr>
        <w:t xml:space="preserve"> </w:t>
      </w:r>
    </w:p>
    <w:p w14:paraId="6AEA2190">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16472F28">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我方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（供应商名称）郑重声明：</w:t>
      </w:r>
    </w:p>
    <w:p w14:paraId="7D6A6305">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参加政府采购活动前3年内在经营活动中</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（在下划线上如实填写：有或没有）重大违法记录。</w:t>
      </w:r>
    </w:p>
    <w:p w14:paraId="7AABA524">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（说明：政府采购法第二十二条第一款第五项所称重大违法记录，是指供应商因违法经营受到刑事处罚或者责令停产停业、吊销许可证或者执照、较大数额罚款等行政处罚。）</w:t>
      </w:r>
    </w:p>
    <w:p w14:paraId="025025C0">
      <w:pPr>
        <w:spacing w:line="560" w:lineRule="exact"/>
        <w:ind w:firstLine="480" w:firstLineChars="200"/>
        <w:rPr>
          <w:rFonts w:ascii="宋体" w:hAnsi="宋体" w:eastAsia="宋体" w:cs="宋体"/>
          <w:color w:val="auto"/>
          <w:sz w:val="24"/>
          <w:highlight w:val="none"/>
        </w:rPr>
      </w:pPr>
    </w:p>
    <w:p w14:paraId="0F31149F">
      <w:pPr>
        <w:widowControl/>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供应商名称（公章）：</w:t>
      </w:r>
    </w:p>
    <w:p w14:paraId="162E2DEB">
      <w:pPr>
        <w:adjustRightInd w:val="0"/>
        <w:snapToGrid w:val="0"/>
        <w:spacing w:line="560" w:lineRule="exact"/>
        <w:ind w:firstLine="480" w:firstLineChars="200"/>
        <w:jc w:val="righ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A293D3B">
      <w:pPr>
        <w:widowControl/>
        <w:spacing w:line="560" w:lineRule="exact"/>
        <w:ind w:firstLine="560" w:firstLineChars="200"/>
        <w:jc w:val="right"/>
        <w:rPr>
          <w:rFonts w:ascii="宋体" w:hAnsi="宋体" w:eastAsia="宋体" w:cs="宋体"/>
          <w:color w:val="auto"/>
          <w:sz w:val="28"/>
          <w:szCs w:val="28"/>
          <w:highlight w:val="none"/>
        </w:rPr>
      </w:pPr>
    </w:p>
    <w:p w14:paraId="4D10663E">
      <w:pPr>
        <w:spacing w:line="560" w:lineRule="exact"/>
        <w:ind w:firstLine="562" w:firstLineChars="200"/>
        <w:rPr>
          <w:rFonts w:ascii="宋体" w:hAnsi="宋体" w:eastAsia="宋体" w:cs="宋体"/>
          <w:b/>
          <w:color w:val="auto"/>
          <w:sz w:val="28"/>
          <w:szCs w:val="28"/>
          <w:highlight w:val="none"/>
        </w:rPr>
      </w:pPr>
    </w:p>
    <w:p w14:paraId="33F189D2">
      <w:pPr>
        <w:pStyle w:val="7"/>
        <w:spacing w:line="560" w:lineRule="exact"/>
        <w:ind w:left="0" w:leftChars="0" w:firstLine="562" w:firstLineChars="200"/>
        <w:rPr>
          <w:rFonts w:ascii="宋体" w:hAnsi="宋体" w:eastAsia="宋体" w:cs="宋体"/>
          <w:b/>
          <w:color w:val="auto"/>
          <w:sz w:val="28"/>
          <w:szCs w:val="28"/>
          <w:highlight w:val="none"/>
        </w:rPr>
      </w:pPr>
    </w:p>
    <w:p w14:paraId="6451368A">
      <w:pPr>
        <w:spacing w:line="56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01A53CD">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6.</w:t>
      </w:r>
      <w:r>
        <w:rPr>
          <w:rFonts w:hint="eastAsia" w:ascii="宋体" w:hAnsi="宋体" w:eastAsia="宋体" w:cs="宋体"/>
          <w:b/>
          <w:color w:val="auto"/>
          <w:sz w:val="24"/>
          <w:highlight w:val="none"/>
          <w:lang w:val="zh-CN"/>
        </w:rPr>
        <w:t>法律、行政法规规定的其他条件：无。</w:t>
      </w:r>
    </w:p>
    <w:p w14:paraId="0DF54FC3">
      <w:pPr>
        <w:spacing w:line="560" w:lineRule="exact"/>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br w:type="page"/>
      </w:r>
    </w:p>
    <w:p w14:paraId="4BD44709">
      <w:pPr>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三、本项目的特定资格要求：无</w:t>
      </w:r>
      <w:r>
        <w:rPr>
          <w:rFonts w:hint="eastAsia" w:ascii="宋体" w:hAnsi="宋体" w:eastAsia="宋体" w:cs="宋体"/>
          <w:b/>
          <w:color w:val="auto"/>
          <w:sz w:val="28"/>
          <w:szCs w:val="28"/>
          <w:highlight w:val="none"/>
        </w:rPr>
        <w:br w:type="page"/>
      </w:r>
    </w:p>
    <w:p w14:paraId="7550EE26">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四、落实政府采购政策需满足的资格要求</w:t>
      </w:r>
    </w:p>
    <w:p w14:paraId="19989829">
      <w:pPr>
        <w:spacing w:line="560" w:lineRule="exact"/>
        <w:rPr>
          <w:rFonts w:ascii="宋体" w:hAnsi="宋体" w:eastAsia="宋体" w:cs="宋体"/>
          <w:bCs/>
          <w:color w:val="auto"/>
          <w:sz w:val="24"/>
          <w:highlight w:val="none"/>
        </w:rPr>
      </w:pPr>
      <w:r>
        <w:rPr>
          <w:rFonts w:hint="eastAsia" w:ascii="宋体" w:hAnsi="宋体" w:eastAsia="宋体" w:cs="宋体"/>
          <w:bCs/>
          <w:color w:val="auto"/>
          <w:sz w:val="24"/>
          <w:highlight w:val="none"/>
        </w:rPr>
        <w:t>本项目不专门面向中小微企业采购，执行价格扣除优惠政策，具体详见磋商文件第二章政策功能。</w:t>
      </w:r>
    </w:p>
    <w:p w14:paraId="61CADE23">
      <w:pPr>
        <w:rPr>
          <w:rFonts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br w:type="page"/>
      </w:r>
    </w:p>
    <w:p w14:paraId="299FB87F">
      <w:pPr>
        <w:spacing w:line="560" w:lineRule="exact"/>
        <w:jc w:val="left"/>
        <w:outlineLvl w:val="3"/>
        <w:rPr>
          <w:rFonts w:ascii="宋体" w:hAnsi="宋体" w:eastAsia="宋体" w:cs="宋体"/>
          <w:b/>
          <w:color w:val="auto"/>
          <w:sz w:val="28"/>
          <w:szCs w:val="28"/>
          <w:highlight w:val="none"/>
        </w:rPr>
      </w:pPr>
      <w:bookmarkStart w:id="36" w:name="_Toc18221"/>
      <w:r>
        <w:rPr>
          <w:rFonts w:hint="eastAsia" w:ascii="宋体" w:hAnsi="宋体" w:eastAsia="宋体" w:cs="宋体"/>
          <w:b/>
          <w:color w:val="auto"/>
          <w:sz w:val="28"/>
          <w:szCs w:val="28"/>
          <w:highlight w:val="none"/>
        </w:rPr>
        <w:t>1.企业声明函格式</w:t>
      </w:r>
      <w:bookmarkEnd w:id="36"/>
    </w:p>
    <w:p w14:paraId="360C405B">
      <w:pPr>
        <w:spacing w:line="560" w:lineRule="exact"/>
        <w:jc w:val="left"/>
        <w:rPr>
          <w:rFonts w:cs="Arial" w:asciiTheme="minorEastAsia" w:hAnsiTheme="minorEastAsia"/>
          <w:b/>
          <w:bCs/>
          <w:color w:val="auto"/>
          <w:sz w:val="24"/>
          <w:highlight w:val="none"/>
          <w:u w:val="single"/>
        </w:rPr>
      </w:pPr>
      <w:bookmarkStart w:id="37" w:name="_Hlk84581158"/>
      <w:r>
        <w:rPr>
          <w:rFonts w:hint="eastAsia" w:ascii="宋体" w:hAnsi="宋体" w:eastAsia="宋体" w:cs="宋体"/>
          <w:b/>
          <w:color w:val="auto"/>
          <w:sz w:val="24"/>
          <w:highlight w:val="none"/>
          <w:u w:val="single"/>
          <w:lang w:val="zh-CN"/>
        </w:rPr>
        <w:t>注：如供应商符合下列声明函内容，</w:t>
      </w:r>
      <w:r>
        <w:rPr>
          <w:rFonts w:hint="eastAsia" w:ascii="宋体" w:hAnsi="宋体" w:eastAsia="宋体" w:cs="宋体"/>
          <w:b/>
          <w:color w:val="auto"/>
          <w:sz w:val="24"/>
          <w:highlight w:val="none"/>
          <w:u w:val="single"/>
          <w:lang w:val="en-US" w:eastAsia="zh-CN"/>
        </w:rPr>
        <w:t>在</w:t>
      </w:r>
      <w:r>
        <w:rPr>
          <w:rFonts w:hint="eastAsia" w:ascii="宋体" w:hAnsi="宋体" w:eastAsia="宋体" w:cs="宋体"/>
          <w:b/>
          <w:color w:val="auto"/>
          <w:sz w:val="24"/>
          <w:highlight w:val="none"/>
          <w:u w:val="single"/>
          <w:lang w:val="zh-CN"/>
        </w:rPr>
        <w:t>响应文件目录中注明相关声明函页码。</w:t>
      </w:r>
    </w:p>
    <w:p w14:paraId="3E989E8B">
      <w:pPr>
        <w:spacing w:line="560" w:lineRule="exact"/>
        <w:jc w:val="center"/>
        <w:rPr>
          <w:rFonts w:cs="Arial" w:asciiTheme="minorEastAsia" w:hAnsiTheme="minorEastAsia"/>
          <w:b/>
          <w:bCs/>
          <w:color w:val="auto"/>
          <w:sz w:val="28"/>
          <w:szCs w:val="28"/>
          <w:highlight w:val="none"/>
        </w:rPr>
      </w:pPr>
      <w:r>
        <w:rPr>
          <w:rFonts w:hint="eastAsia" w:cs="Arial" w:asciiTheme="minorEastAsia" w:hAnsiTheme="minorEastAsia"/>
          <w:b/>
          <w:bCs/>
          <w:color w:val="auto"/>
          <w:sz w:val="28"/>
          <w:szCs w:val="28"/>
          <w:highlight w:val="none"/>
        </w:rPr>
        <w:t>中小企业声明函（服务）</w:t>
      </w:r>
    </w:p>
    <w:bookmarkEnd w:id="37"/>
    <w:p w14:paraId="5F3207FF">
      <w:pPr>
        <w:adjustRightInd w:val="0"/>
        <w:snapToGrid w:val="0"/>
        <w:spacing w:line="56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本公司（联合体）郑重声明，根据《政府采购促进中小企业发展管理办法》（财库﹝2020﹞46号）的规定，本公司 （联合体）参加</w:t>
      </w:r>
      <w:r>
        <w:rPr>
          <w:rFonts w:hint="eastAsia" w:cs="Arial" w:asciiTheme="minorEastAsia" w:hAnsiTheme="minorEastAsia"/>
          <w:color w:val="auto"/>
          <w:sz w:val="24"/>
          <w:highlight w:val="none"/>
          <w:u w:val="single"/>
        </w:rPr>
        <w:t>（单位名称）</w:t>
      </w:r>
      <w:r>
        <w:rPr>
          <w:rFonts w:hint="eastAsia" w:cs="Arial" w:asciiTheme="minorEastAsia" w:hAnsiTheme="minorEastAsia"/>
          <w:color w:val="auto"/>
          <w:sz w:val="24"/>
          <w:highlight w:val="none"/>
        </w:rPr>
        <w:t>的</w:t>
      </w:r>
      <w:r>
        <w:rPr>
          <w:rFonts w:hint="eastAsia" w:cs="Arial" w:asciiTheme="minorEastAsia" w:hAnsiTheme="minorEastAsia"/>
          <w:color w:val="auto"/>
          <w:sz w:val="24"/>
          <w:highlight w:val="none"/>
          <w:u w:val="single"/>
        </w:rPr>
        <w:t>（项目名称）</w:t>
      </w:r>
      <w:r>
        <w:rPr>
          <w:rFonts w:ascii="宋体" w:hAnsi="宋体" w:eastAsia="宋体" w:cs="宋体"/>
          <w:color w:val="auto"/>
          <w:sz w:val="24"/>
          <w:highlight w:val="none"/>
        </w:rPr>
        <w:t>采购活动，服务全部由符合政策要求的中小企业承接。相关企业（含联合体中的中小企业、签订分包意向协议的中小企业）的具体情况如下：</w:t>
      </w:r>
    </w:p>
    <w:p w14:paraId="493A740C">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cs="Arial" w:asciiTheme="minorEastAsia" w:hAnsiTheme="minorEastAsia"/>
          <w:color w:val="auto"/>
          <w:sz w:val="24"/>
          <w:highlight w:val="none"/>
        </w:rPr>
        <w:t>1.</w:t>
      </w:r>
      <w:r>
        <w:rPr>
          <w:rFonts w:hint="eastAsia" w:cs="Arial" w:asciiTheme="minorEastAsia" w:hAnsiTheme="minorEastAsia"/>
          <w:color w:val="auto"/>
          <w:sz w:val="24"/>
          <w:highlight w:val="none"/>
          <w:u w:val="single"/>
        </w:rPr>
        <w:t>（标的名称）</w:t>
      </w:r>
      <w:r>
        <w:rPr>
          <w:rFonts w:hint="eastAsia" w:cs="Arial" w:asciiTheme="minorEastAsia" w:hAnsiTheme="minorEastAsia"/>
          <w:color w:val="auto"/>
          <w:sz w:val="24"/>
          <w:highlight w:val="none"/>
        </w:rPr>
        <w:t>,属于</w:t>
      </w:r>
      <w:r>
        <w:rPr>
          <w:rFonts w:hint="eastAsia" w:cs="Arial" w:asciiTheme="minorEastAsia" w:hAnsiTheme="minorEastAsia"/>
          <w:color w:val="auto"/>
          <w:sz w:val="24"/>
          <w:highlight w:val="none"/>
          <w:u w:val="single"/>
        </w:rPr>
        <w:t>（磋商文件中明确的所属行业）</w:t>
      </w:r>
      <w:r>
        <w:rPr>
          <w:rFonts w:ascii="宋体" w:hAnsi="宋体" w:eastAsia="宋体" w:cs="宋体"/>
          <w:color w:val="auto"/>
          <w:sz w:val="24"/>
          <w:highlight w:val="none"/>
        </w:rPr>
        <w:t>；承建（承接）企业为</w:t>
      </w:r>
      <w:r>
        <w:rPr>
          <w:rFonts w:ascii="宋体" w:hAnsi="宋体" w:eastAsia="宋体" w:cs="宋体"/>
          <w:color w:val="auto"/>
          <w:sz w:val="24"/>
          <w:highlight w:val="none"/>
          <w:u w:val="single"/>
        </w:rPr>
        <w:t>（企业名称）</w:t>
      </w:r>
      <w:r>
        <w:rPr>
          <w:rFonts w:ascii="宋体" w:hAnsi="宋体" w:eastAsia="宋体" w:cs="宋体"/>
          <w:color w:val="auto"/>
          <w:sz w:val="24"/>
          <w:highlight w:val="none"/>
        </w:rPr>
        <w:t>，</w:t>
      </w:r>
      <w:r>
        <w:rPr>
          <w:rFonts w:hint="eastAsia" w:cs="Arial" w:asciiTheme="minorEastAsia" w:hAnsiTheme="minorEastAsia"/>
          <w:color w:val="auto"/>
          <w:sz w:val="24"/>
          <w:highlight w:val="none"/>
        </w:rPr>
        <w:t>从业人员</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人，营业收入为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万元，资产总额为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万元，属于</w:t>
      </w:r>
      <w:r>
        <w:rPr>
          <w:rFonts w:hint="eastAsia" w:cs="Arial" w:asciiTheme="minorEastAsia" w:hAnsiTheme="minorEastAsia"/>
          <w:color w:val="auto"/>
          <w:sz w:val="24"/>
          <w:highlight w:val="none"/>
          <w:u w:val="single"/>
        </w:rPr>
        <w:t>（中型企业、小型企业、微型企业）</w:t>
      </w:r>
      <w:r>
        <w:rPr>
          <w:rFonts w:ascii="宋体" w:hAnsi="宋体" w:eastAsia="宋体" w:cs="宋体"/>
          <w:color w:val="auto"/>
          <w:sz w:val="24"/>
          <w:highlight w:val="none"/>
        </w:rPr>
        <w:t>；</w:t>
      </w:r>
    </w:p>
    <w:p w14:paraId="07880B06">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cs="Arial" w:asciiTheme="minorEastAsia" w:hAnsiTheme="minorEastAsia"/>
          <w:color w:val="auto"/>
          <w:sz w:val="24"/>
          <w:highlight w:val="none"/>
        </w:rPr>
        <w:t>2.</w:t>
      </w:r>
      <w:r>
        <w:rPr>
          <w:rFonts w:hint="eastAsia" w:cs="Arial" w:asciiTheme="minorEastAsia" w:hAnsiTheme="minorEastAsia"/>
          <w:color w:val="auto"/>
          <w:sz w:val="24"/>
          <w:highlight w:val="none"/>
          <w:u w:val="single"/>
        </w:rPr>
        <w:t>（标的名称）</w:t>
      </w:r>
      <w:r>
        <w:rPr>
          <w:rFonts w:hint="eastAsia" w:cs="Arial" w:asciiTheme="minorEastAsia" w:hAnsiTheme="minorEastAsia"/>
          <w:color w:val="auto"/>
          <w:sz w:val="24"/>
          <w:highlight w:val="none"/>
        </w:rPr>
        <w:t>,属于</w:t>
      </w:r>
      <w:r>
        <w:rPr>
          <w:rFonts w:hint="eastAsia" w:cs="Arial" w:asciiTheme="minorEastAsia" w:hAnsiTheme="minorEastAsia"/>
          <w:color w:val="auto"/>
          <w:sz w:val="24"/>
          <w:highlight w:val="none"/>
          <w:u w:val="single"/>
        </w:rPr>
        <w:t>（磋商文件中明确的所属行业）</w:t>
      </w:r>
      <w:r>
        <w:rPr>
          <w:rFonts w:ascii="宋体" w:hAnsi="宋体" w:eastAsia="宋体" w:cs="宋体"/>
          <w:color w:val="auto"/>
          <w:sz w:val="24"/>
          <w:highlight w:val="none"/>
        </w:rPr>
        <w:t>；承建（承接）企业为</w:t>
      </w:r>
      <w:r>
        <w:rPr>
          <w:rFonts w:ascii="宋体" w:hAnsi="宋体" w:eastAsia="宋体" w:cs="宋体"/>
          <w:color w:val="auto"/>
          <w:sz w:val="24"/>
          <w:highlight w:val="none"/>
          <w:u w:val="single"/>
        </w:rPr>
        <w:t>（企业名称）</w:t>
      </w:r>
      <w:r>
        <w:rPr>
          <w:rFonts w:ascii="宋体" w:hAnsi="宋体" w:eastAsia="宋体" w:cs="宋体"/>
          <w:color w:val="auto"/>
          <w:sz w:val="24"/>
          <w:highlight w:val="none"/>
        </w:rPr>
        <w:t>，</w:t>
      </w:r>
      <w:r>
        <w:rPr>
          <w:rFonts w:hint="eastAsia" w:cs="Arial" w:asciiTheme="minorEastAsia" w:hAnsiTheme="minorEastAsia"/>
          <w:color w:val="auto"/>
          <w:sz w:val="24"/>
          <w:highlight w:val="none"/>
        </w:rPr>
        <w:t>从业人员</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人，营业收入为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万元，资产总额为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万元，属于</w:t>
      </w:r>
      <w:r>
        <w:rPr>
          <w:rFonts w:hint="eastAsia" w:cs="Arial" w:asciiTheme="minorEastAsia" w:hAnsiTheme="minorEastAsia"/>
          <w:color w:val="auto"/>
          <w:sz w:val="24"/>
          <w:highlight w:val="none"/>
          <w:u w:val="single"/>
        </w:rPr>
        <w:t>（中型企业、小型企业、微型企业）</w:t>
      </w:r>
      <w:r>
        <w:rPr>
          <w:rFonts w:ascii="宋体" w:hAnsi="宋体" w:eastAsia="宋体" w:cs="宋体"/>
          <w:color w:val="auto"/>
          <w:sz w:val="24"/>
          <w:highlight w:val="none"/>
        </w:rPr>
        <w:t>；</w:t>
      </w:r>
    </w:p>
    <w:p w14:paraId="158003D9">
      <w:pPr>
        <w:adjustRightInd w:val="0"/>
        <w:snapToGrid w:val="0"/>
        <w:spacing w:line="56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w:t>
      </w:r>
    </w:p>
    <w:p w14:paraId="36CE969E">
      <w:pPr>
        <w:widowControl/>
        <w:spacing w:line="560" w:lineRule="exact"/>
        <w:ind w:firstLine="480" w:firstLineChars="20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以上企业，不属于大企业的分支机构，不存在控股股东为大企业的情形，也不存在与大企业的负责人为同一人的情形。</w:t>
      </w:r>
    </w:p>
    <w:p w14:paraId="14C7D7AB">
      <w:pPr>
        <w:widowControl/>
        <w:spacing w:line="560" w:lineRule="exact"/>
        <w:ind w:firstLine="480" w:firstLineChars="20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本企业对上述声明内容的真实性负责。如有虚假，将依法承担相应责任。</w:t>
      </w:r>
    </w:p>
    <w:p w14:paraId="6308FBCB">
      <w:pPr>
        <w:widowControl/>
        <w:spacing w:line="560" w:lineRule="exact"/>
        <w:ind w:firstLine="480" w:firstLineChars="200"/>
        <w:jc w:val="right"/>
        <w:rPr>
          <w:rFonts w:cs="Arial" w:asciiTheme="minorEastAsia" w:hAnsiTheme="minorEastAsia"/>
          <w:color w:val="auto"/>
          <w:sz w:val="24"/>
          <w:highlight w:val="none"/>
        </w:rPr>
      </w:pPr>
    </w:p>
    <w:p w14:paraId="726BF6CD">
      <w:pPr>
        <w:widowControl/>
        <w:spacing w:line="560" w:lineRule="exact"/>
        <w:ind w:firstLine="480" w:firstLineChars="200"/>
        <w:jc w:val="right"/>
        <w:rPr>
          <w:rFonts w:cs="Arial" w:asciiTheme="minorEastAsia" w:hAnsiTheme="minorEastAsia"/>
          <w:color w:val="auto"/>
          <w:sz w:val="24"/>
          <w:highlight w:val="none"/>
        </w:rPr>
      </w:pPr>
      <w:r>
        <w:rPr>
          <w:rFonts w:hint="eastAsia" w:cs="Arial" w:asciiTheme="minorEastAsia" w:hAnsiTheme="minorEastAsia"/>
          <w:color w:val="auto"/>
          <w:sz w:val="24"/>
          <w:highlight w:val="none"/>
        </w:rPr>
        <w:t>企业名称：（加盖公章）</w:t>
      </w:r>
    </w:p>
    <w:p w14:paraId="63D352F5">
      <w:pPr>
        <w:widowControl/>
        <w:spacing w:line="560" w:lineRule="exact"/>
        <w:ind w:firstLine="480" w:firstLineChars="20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rPr>
        <w:t xml:space="preserve">                      日  期：</w:t>
      </w:r>
    </w:p>
    <w:p w14:paraId="37611E94">
      <w:pPr>
        <w:adjustRightInd w:val="0"/>
        <w:snapToGrid w:val="0"/>
        <w:spacing w:line="560" w:lineRule="exact"/>
        <w:jc w:val="left"/>
        <w:rPr>
          <w:rFonts w:ascii="宋体" w:hAnsi="宋体" w:eastAsia="宋体" w:cs="宋体"/>
          <w:b/>
          <w:bCs/>
          <w:color w:val="auto"/>
          <w:sz w:val="28"/>
          <w:szCs w:val="28"/>
          <w:highlight w:val="none"/>
          <w:lang w:val="zh-CN"/>
        </w:rPr>
      </w:pPr>
      <w:r>
        <w:rPr>
          <w:color w:val="auto"/>
          <w:sz w:val="28"/>
          <w:highlight w:val="none"/>
        </w:rP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1048385</wp:posOffset>
                </wp:positionV>
                <wp:extent cx="1800225" cy="0"/>
                <wp:effectExtent l="0" t="4445" r="0" b="5080"/>
                <wp:wrapNone/>
                <wp:docPr id="7" name="直接连接符 7"/>
                <wp:cNvGraphicFramePr/>
                <a:graphic xmlns:a="http://schemas.openxmlformats.org/drawingml/2006/main">
                  <a:graphicData uri="http://schemas.microsoft.com/office/word/2010/wordprocessingShape">
                    <wps:wsp>
                      <wps:cNvCnPr/>
                      <wps:spPr>
                        <a:xfrm>
                          <a:off x="1108075" y="9625965"/>
                          <a:ext cx="1800225" cy="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5pt;margin-top:82.55pt;height:0pt;width:141.75pt;z-index:251661312;mso-width-relative:page;mso-height-relative:page;" filled="f" stroked="t" coordsize="21600,21600" o:gfxdata="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jPvbF1AAAAAkBAAAPAAAAAAAAAAEAIAAAACIAAABkcnMvZG93bnJldi54bWxQSwECFAAUAAAA&#10;CACHTuJAtN2OGfIBAAC9AwAADgAAAAAAAAABACAAAAAjAQAAZHJzL2Uyb0RvYy54bWxQSwUGAAAA&#10;AAYABgBZAQAAhwUAAAAA&#10;">
                <v:fill on="f" focussize="0,0"/>
                <v:stroke weight="0.25pt" color="#000000 [3213]" miterlimit="8" joinstyle="miter"/>
                <v:imagedata o:title=""/>
                <o:lock v:ext="edit" aspectratio="f"/>
              </v:line>
            </w:pict>
          </mc:Fallback>
        </mc:AlternateContent>
      </w:r>
      <w:r>
        <w:rPr>
          <w:color w:val="auto"/>
          <w:sz w:val="28"/>
          <w:highlight w:val="none"/>
        </w:rPr>
        <mc:AlternateContent>
          <mc:Choice Requires="wps">
            <w:drawing>
              <wp:anchor distT="0" distB="0" distL="114300" distR="114300" simplePos="0" relativeHeight="251660288" behindDoc="0" locked="0" layoutInCell="1" allowOverlap="1">
                <wp:simplePos x="0" y="0"/>
                <wp:positionH relativeFrom="column">
                  <wp:posOffset>-50165</wp:posOffset>
                </wp:positionH>
                <wp:positionV relativeFrom="paragraph">
                  <wp:posOffset>1061720</wp:posOffset>
                </wp:positionV>
                <wp:extent cx="5311140" cy="278130"/>
                <wp:effectExtent l="0" t="0" r="7620" b="11430"/>
                <wp:wrapNone/>
                <wp:docPr id="1" name="文本框 1"/>
                <wp:cNvGraphicFramePr/>
                <a:graphic xmlns:a="http://schemas.openxmlformats.org/drawingml/2006/main">
                  <a:graphicData uri="http://schemas.microsoft.com/office/word/2010/wordprocessingShape">
                    <wps:wsp>
                      <wps:cNvSpPr txBox="1"/>
                      <wps:spPr>
                        <a:xfrm>
                          <a:off x="1085215" y="9456420"/>
                          <a:ext cx="5311140" cy="2781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83.6pt;height:21.9pt;width:418.2pt;z-index:251660288;mso-width-relative:page;mso-height-relative:page;" fillcolor="#FFFFFF [3201]" filled="t" stroked="f" coordsize="21600,21600" o:gfxdata="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UPhJH9UA&#10;AAAKAQAADwAAAAAAAAABACAAAAAiAAAAZHJzL2Rvd25yZXYueG1sUEsBAhQAFAAAAAgAh07iQOL6&#10;ZUhbAgAAmwQAAA4AAAAAAAAAAQAgAAAAJAEAAGRycy9lMm9Eb2MueG1sUEsFBgAAAAAGAAYAWQEA&#10;APEFAAAAAA==&#10;">
                <v:fill on="t" focussize="0,0"/>
                <v:stroke on="f" weight="0.5pt"/>
                <v:imagedata o:title=""/>
                <o:lock v:ext="edit" aspectratio="f"/>
                <v:textbo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v:textbox>
              </v:shape>
            </w:pict>
          </mc:Fallback>
        </mc:AlternateContent>
      </w:r>
      <w:r>
        <w:rPr>
          <w:rFonts w:hint="eastAsia" w:ascii="宋体" w:hAnsi="宋体" w:eastAsia="宋体" w:cs="宋体"/>
          <w:b/>
          <w:bCs/>
          <w:color w:val="auto"/>
          <w:sz w:val="28"/>
          <w:szCs w:val="28"/>
          <w:highlight w:val="none"/>
          <w:lang w:val="zh-CN"/>
        </w:rPr>
        <w:br w:type="page"/>
      </w:r>
    </w:p>
    <w:p w14:paraId="2FE20366">
      <w:pPr>
        <w:adjustRightInd w:val="0"/>
        <w:snapToGrid w:val="0"/>
        <w:spacing w:line="560" w:lineRule="exact"/>
        <w:jc w:val="center"/>
        <w:rPr>
          <w:rFonts w:ascii="仿宋_GB2312" w:eastAsia="仿宋_GB2312"/>
          <w:b/>
          <w:color w:val="auto"/>
          <w:spacing w:val="6"/>
          <w:sz w:val="30"/>
          <w:szCs w:val="30"/>
          <w:highlight w:val="none"/>
        </w:rPr>
      </w:pPr>
      <w:bookmarkStart w:id="38" w:name="OLE_LINK13"/>
      <w:bookmarkStart w:id="39" w:name="OLE_LINK14"/>
      <w:r>
        <w:rPr>
          <w:rFonts w:hint="eastAsia" w:ascii="宋体" w:hAnsi="宋体" w:eastAsia="宋体" w:cs="宋体"/>
          <w:b/>
          <w:bCs/>
          <w:color w:val="auto"/>
          <w:sz w:val="28"/>
          <w:szCs w:val="28"/>
          <w:highlight w:val="none"/>
          <w:lang w:val="zh-CN"/>
        </w:rPr>
        <w:t>残疾人福利性单位声明函</w:t>
      </w:r>
      <w:bookmarkEnd w:id="38"/>
      <w:bookmarkEnd w:id="39"/>
    </w:p>
    <w:p w14:paraId="7AD7993D">
      <w:pPr>
        <w:widowControl/>
        <w:spacing w:line="560" w:lineRule="exact"/>
        <w:ind w:firstLine="42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D25531">
      <w:pPr>
        <w:widowControl/>
        <w:spacing w:line="560" w:lineRule="exact"/>
        <w:ind w:firstLine="42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本单位对上述声明的真实性负责。如有虚假，将依法承担相应责任。</w:t>
      </w:r>
    </w:p>
    <w:p w14:paraId="2785B2C2">
      <w:pPr>
        <w:widowControl/>
        <w:spacing w:line="560" w:lineRule="exact"/>
        <w:ind w:firstLine="420"/>
        <w:jc w:val="left"/>
        <w:rPr>
          <w:rFonts w:cs="Arial" w:asciiTheme="minorEastAsia" w:hAnsiTheme="minorEastAsia"/>
          <w:color w:val="auto"/>
          <w:sz w:val="24"/>
          <w:highlight w:val="none"/>
        </w:rPr>
      </w:pPr>
    </w:p>
    <w:p w14:paraId="5950A4B6">
      <w:pPr>
        <w:widowControl/>
        <w:spacing w:line="560" w:lineRule="exact"/>
        <w:ind w:firstLine="420"/>
        <w:jc w:val="left"/>
        <w:rPr>
          <w:rFonts w:cs="Arial" w:asciiTheme="minorEastAsia" w:hAnsiTheme="minorEastAsia"/>
          <w:color w:val="auto"/>
          <w:sz w:val="24"/>
          <w:highlight w:val="none"/>
        </w:rPr>
      </w:pPr>
    </w:p>
    <w:p w14:paraId="685E33B8">
      <w:pPr>
        <w:widowControl/>
        <w:spacing w:line="560" w:lineRule="exact"/>
        <w:ind w:firstLine="420"/>
        <w:jc w:val="right"/>
        <w:rPr>
          <w:rFonts w:cs="Arial" w:asciiTheme="minorEastAsia" w:hAnsiTheme="minorEastAsia"/>
          <w:color w:val="auto"/>
          <w:sz w:val="24"/>
          <w:highlight w:val="none"/>
        </w:rPr>
      </w:pPr>
      <w:r>
        <w:rPr>
          <w:rFonts w:hint="eastAsia" w:cs="Arial" w:asciiTheme="minorEastAsia" w:hAnsiTheme="minorEastAsia"/>
          <w:color w:val="auto"/>
          <w:sz w:val="24"/>
          <w:highlight w:val="none"/>
        </w:rPr>
        <w:t xml:space="preserve">               单位名称（盖章）：</w:t>
      </w:r>
    </w:p>
    <w:p w14:paraId="598E0404">
      <w:pPr>
        <w:widowControl/>
        <w:spacing w:line="560" w:lineRule="exact"/>
        <w:ind w:firstLine="420"/>
        <w:jc w:val="center"/>
        <w:rPr>
          <w:rFonts w:ascii="宋体" w:hAnsi="宋体" w:eastAsia="宋体" w:cs="宋体"/>
          <w:color w:val="auto"/>
          <w:sz w:val="24"/>
          <w:highlight w:val="none"/>
        </w:rPr>
      </w:pPr>
      <w:r>
        <w:rPr>
          <w:rFonts w:hint="eastAsia" w:cs="Arial" w:asciiTheme="minorEastAsia" w:hAnsiTheme="minorEastAsia"/>
          <w:color w:val="auto"/>
          <w:sz w:val="24"/>
          <w:highlight w:val="none"/>
        </w:rPr>
        <w:t xml:space="preserve">                                        日  期：</w:t>
      </w:r>
    </w:p>
    <w:p w14:paraId="516684A2">
      <w:pPr>
        <w:widowControl/>
        <w:spacing w:line="560" w:lineRule="exact"/>
        <w:ind w:firstLine="560" w:firstLineChars="200"/>
        <w:jc w:val="left"/>
        <w:rPr>
          <w:rFonts w:ascii="宋体" w:hAnsi="宋体" w:eastAsia="宋体" w:cs="宋体"/>
          <w:color w:val="auto"/>
          <w:sz w:val="28"/>
          <w:szCs w:val="28"/>
          <w:highlight w:val="none"/>
        </w:rPr>
      </w:pPr>
    </w:p>
    <w:p w14:paraId="3DC19337">
      <w:pPr>
        <w:pStyle w:val="26"/>
        <w:ind w:firstLine="560"/>
        <w:rPr>
          <w:rFonts w:ascii="宋体" w:hAnsi="宋体" w:eastAsia="宋体" w:cs="宋体"/>
          <w:color w:val="auto"/>
          <w:sz w:val="28"/>
          <w:szCs w:val="28"/>
          <w:highlight w:val="none"/>
        </w:rPr>
      </w:pPr>
    </w:p>
    <w:p w14:paraId="46ECDDBA">
      <w:pPr>
        <w:pStyle w:val="26"/>
        <w:ind w:firstLine="560"/>
        <w:rPr>
          <w:rFonts w:ascii="宋体" w:hAnsi="宋体" w:eastAsia="宋体" w:cs="宋体"/>
          <w:color w:val="auto"/>
          <w:sz w:val="28"/>
          <w:szCs w:val="28"/>
          <w:highlight w:val="none"/>
        </w:rPr>
      </w:pPr>
    </w:p>
    <w:p w14:paraId="1024A4DC">
      <w:pPr>
        <w:adjustRightInd w:val="0"/>
        <w:snapToGrid w:val="0"/>
        <w:spacing w:line="560" w:lineRule="exact"/>
        <w:jc w:val="center"/>
        <w:rPr>
          <w:rFonts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属于监狱企业的证明文件</w:t>
      </w:r>
    </w:p>
    <w:p w14:paraId="68D46431">
      <w:pPr>
        <w:spacing w:line="56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 文件）</w:t>
      </w:r>
    </w:p>
    <w:p w14:paraId="477644DA">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14:paraId="78F41F93">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w:t>
      </w:r>
      <w:r>
        <w:rPr>
          <w:rFonts w:hint="eastAsia" w:ascii="宋体" w:hAnsi="宋体" w:eastAsia="宋体" w:cs="宋体"/>
          <w:b/>
          <w:color w:val="auto"/>
          <w:sz w:val="28"/>
          <w:szCs w:val="28"/>
          <w:highlight w:val="none"/>
          <w:lang w:val="zh-CN"/>
        </w:rPr>
        <w:t>供应商</w:t>
      </w:r>
      <w:r>
        <w:rPr>
          <w:rFonts w:hint="eastAsia" w:ascii="宋体" w:hAnsi="宋体" w:eastAsia="宋体" w:cs="宋体"/>
          <w:b/>
          <w:color w:val="auto"/>
          <w:sz w:val="28"/>
          <w:szCs w:val="28"/>
          <w:highlight w:val="none"/>
        </w:rPr>
        <w:t>未</w:t>
      </w:r>
      <w:r>
        <w:rPr>
          <w:rFonts w:hint="eastAsia" w:ascii="宋体" w:hAnsi="宋体" w:eastAsia="宋体" w:cs="宋体"/>
          <w:b/>
          <w:color w:val="auto"/>
          <w:sz w:val="28"/>
          <w:szCs w:val="28"/>
          <w:highlight w:val="none"/>
          <w:lang w:val="zh-CN"/>
        </w:rPr>
        <w:t>被</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信用中国</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网站</w:t>
      </w:r>
      <w:r>
        <w:rPr>
          <w:rFonts w:hint="eastAsia" w:ascii="宋体" w:hAnsi="宋体" w:eastAsia="宋体" w:cs="宋体"/>
          <w:b/>
          <w:color w:val="auto"/>
          <w:sz w:val="28"/>
          <w:szCs w:val="28"/>
          <w:highlight w:val="none"/>
        </w:rPr>
        <w:t>（www.creditchina.gov.cn）</w:t>
      </w:r>
      <w:r>
        <w:rPr>
          <w:rFonts w:hint="eastAsia" w:ascii="宋体" w:hAnsi="宋体" w:eastAsia="宋体" w:cs="宋体"/>
          <w:b/>
          <w:color w:val="auto"/>
          <w:sz w:val="28"/>
          <w:szCs w:val="28"/>
          <w:highlight w:val="none"/>
          <w:lang w:val="zh-CN"/>
        </w:rPr>
        <w:t>、</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中国政府采购网</w:t>
      </w:r>
      <w:r>
        <w:rPr>
          <w:rFonts w:hint="eastAsia" w:ascii="宋体" w:hAnsi="宋体" w:eastAsia="宋体" w:cs="宋体"/>
          <w:b/>
          <w:color w:val="auto"/>
          <w:sz w:val="28"/>
          <w:szCs w:val="28"/>
          <w:highlight w:val="none"/>
        </w:rPr>
        <w:t>”（www.ccgp.gov.cn）</w:t>
      </w:r>
      <w:r>
        <w:rPr>
          <w:rFonts w:hint="eastAsia" w:ascii="宋体" w:hAnsi="宋体" w:eastAsia="宋体" w:cs="宋体"/>
          <w:b/>
          <w:color w:val="auto"/>
          <w:sz w:val="28"/>
          <w:szCs w:val="28"/>
          <w:highlight w:val="none"/>
          <w:lang w:val="zh-CN"/>
        </w:rPr>
        <w:t>列入失信被执行人、重大税收违法案件当事人名单、政府采购严重违法失信行为记录名单。</w:t>
      </w:r>
    </w:p>
    <w:p w14:paraId="73080B40">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（提供网页查询截图并加盖供应商公章）</w:t>
      </w:r>
    </w:p>
    <w:p w14:paraId="1ABB2630">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53212559">
      <w:pPr>
        <w:spacing w:line="560" w:lineRule="exact"/>
        <w:outlineLvl w:val="2"/>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六、</w:t>
      </w:r>
      <w:r>
        <w:rPr>
          <w:rFonts w:hint="eastAsia" w:ascii="宋体" w:hAnsi="宋体" w:eastAsia="宋体" w:cs="宋体"/>
          <w:b/>
          <w:color w:val="auto"/>
          <w:sz w:val="28"/>
          <w:szCs w:val="28"/>
          <w:highlight w:val="none"/>
          <w:lang w:val="zh-CN"/>
        </w:rPr>
        <w:t>南京市政府采购供应商信用承诺书</w:t>
      </w:r>
    </w:p>
    <w:p w14:paraId="7EED921C">
      <w:pPr>
        <w:snapToGrid w:val="0"/>
        <w:jc w:val="center"/>
        <w:rPr>
          <w:rFonts w:ascii="方正小标宋简体" w:hAnsi="方正小标宋简体" w:eastAsia="方正小标宋简体" w:cs="方正小标宋简体"/>
          <w:color w:val="auto"/>
          <w:sz w:val="44"/>
          <w:szCs w:val="52"/>
          <w:highlight w:val="none"/>
        </w:rPr>
      </w:pPr>
      <w:r>
        <w:rPr>
          <w:rFonts w:hint="eastAsia" w:ascii="方正小标宋简体" w:hAnsi="方正小标宋简体" w:eastAsia="方正小标宋简体" w:cs="方正小标宋简体"/>
          <w:color w:val="auto"/>
          <w:sz w:val="44"/>
          <w:szCs w:val="52"/>
          <w:highlight w:val="none"/>
        </w:rPr>
        <w:t>南京市政府采购供应商信用承诺书</w:t>
      </w:r>
    </w:p>
    <w:p w14:paraId="0CBADFF0">
      <w:pPr>
        <w:jc w:val="right"/>
        <w:rPr>
          <w:rFonts w:ascii="方正小标宋简体" w:hAnsi="方正小标宋简体" w:eastAsia="方正小标宋简体" w:cs="方正小标宋简体"/>
          <w:color w:val="auto"/>
          <w:sz w:val="22"/>
          <w:szCs w:val="28"/>
          <w:highlight w:val="none"/>
        </w:rPr>
      </w:pPr>
      <w:r>
        <w:rPr>
          <w:rFonts w:hint="eastAsia" w:ascii="方正小标宋简体" w:hAnsi="方正小标宋简体" w:eastAsia="方正小标宋简体" w:cs="方正小标宋简体"/>
          <w:color w:val="auto"/>
          <w:sz w:val="22"/>
          <w:szCs w:val="28"/>
          <w:highlight w:val="none"/>
        </w:rPr>
        <w:t>XXXX年XX月XX日</w:t>
      </w:r>
    </w:p>
    <w:p w14:paraId="2612F987">
      <w:pPr>
        <w:jc w:val="center"/>
        <w:rPr>
          <w:color w:val="auto"/>
          <w:highlight w:val="none"/>
        </w:rPr>
      </w:pPr>
    </w:p>
    <w:tbl>
      <w:tblPr>
        <w:tblStyle w:val="20"/>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7585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148" w:type="dxa"/>
            <w:vAlign w:val="center"/>
          </w:tcPr>
          <w:p w14:paraId="21F7F952">
            <w:pPr>
              <w:tabs>
                <w:tab w:val="left" w:pos="2520"/>
              </w:tabs>
              <w:ind w:left="-420" w:leftChars="-200"/>
              <w:jc w:val="center"/>
              <w:rPr>
                <w:color w:val="auto"/>
                <w:sz w:val="24"/>
                <w:szCs w:val="32"/>
                <w:highlight w:val="none"/>
              </w:rPr>
            </w:pPr>
            <w:r>
              <w:rPr>
                <w:rFonts w:hint="eastAsia"/>
                <w:color w:val="auto"/>
                <w:sz w:val="24"/>
                <w:szCs w:val="32"/>
                <w:highlight w:val="none"/>
              </w:rPr>
              <w:t xml:space="preserve">   单位名称</w:t>
            </w:r>
          </w:p>
        </w:tc>
        <w:tc>
          <w:tcPr>
            <w:tcW w:w="2284" w:type="dxa"/>
            <w:vAlign w:val="center"/>
          </w:tcPr>
          <w:p w14:paraId="090A1123">
            <w:pPr>
              <w:jc w:val="center"/>
              <w:rPr>
                <w:color w:val="auto"/>
                <w:sz w:val="24"/>
                <w:szCs w:val="32"/>
                <w:highlight w:val="none"/>
              </w:rPr>
            </w:pPr>
          </w:p>
        </w:tc>
        <w:tc>
          <w:tcPr>
            <w:tcW w:w="1833" w:type="dxa"/>
            <w:vAlign w:val="center"/>
          </w:tcPr>
          <w:p w14:paraId="501CC9CA">
            <w:pPr>
              <w:jc w:val="center"/>
              <w:rPr>
                <w:color w:val="auto"/>
                <w:sz w:val="24"/>
                <w:szCs w:val="32"/>
                <w:highlight w:val="none"/>
              </w:rPr>
            </w:pPr>
            <w:r>
              <w:rPr>
                <w:rFonts w:hint="eastAsia"/>
                <w:color w:val="auto"/>
                <w:sz w:val="24"/>
                <w:szCs w:val="32"/>
                <w:highlight w:val="none"/>
              </w:rPr>
              <w:t>统一社会信用代码</w:t>
            </w:r>
          </w:p>
        </w:tc>
        <w:tc>
          <w:tcPr>
            <w:tcW w:w="3331" w:type="dxa"/>
            <w:vAlign w:val="center"/>
          </w:tcPr>
          <w:p w14:paraId="4BB087FC">
            <w:pPr>
              <w:tabs>
                <w:tab w:val="left" w:pos="2320"/>
              </w:tabs>
              <w:ind w:right="-678" w:rightChars="-323"/>
              <w:jc w:val="center"/>
              <w:rPr>
                <w:color w:val="auto"/>
                <w:highlight w:val="none"/>
              </w:rPr>
            </w:pPr>
          </w:p>
        </w:tc>
      </w:tr>
      <w:tr w14:paraId="2966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08C33A82">
            <w:pPr>
              <w:jc w:val="center"/>
              <w:rPr>
                <w:color w:val="auto"/>
                <w:sz w:val="24"/>
                <w:szCs w:val="32"/>
                <w:highlight w:val="none"/>
              </w:rPr>
            </w:pPr>
            <w:r>
              <w:rPr>
                <w:rFonts w:hint="eastAsia"/>
                <w:color w:val="auto"/>
                <w:sz w:val="24"/>
                <w:szCs w:val="32"/>
                <w:highlight w:val="none"/>
              </w:rPr>
              <w:t>法定代表人</w:t>
            </w:r>
          </w:p>
        </w:tc>
        <w:tc>
          <w:tcPr>
            <w:tcW w:w="2284" w:type="dxa"/>
            <w:vAlign w:val="center"/>
          </w:tcPr>
          <w:p w14:paraId="353D5CEC">
            <w:pPr>
              <w:jc w:val="center"/>
              <w:rPr>
                <w:color w:val="auto"/>
                <w:sz w:val="24"/>
                <w:szCs w:val="32"/>
                <w:highlight w:val="none"/>
              </w:rPr>
            </w:pPr>
          </w:p>
        </w:tc>
        <w:tc>
          <w:tcPr>
            <w:tcW w:w="1833" w:type="dxa"/>
            <w:vAlign w:val="center"/>
          </w:tcPr>
          <w:p w14:paraId="4E980A16">
            <w:pPr>
              <w:jc w:val="center"/>
              <w:rPr>
                <w:color w:val="auto"/>
                <w:sz w:val="24"/>
                <w:szCs w:val="32"/>
                <w:highlight w:val="none"/>
              </w:rPr>
            </w:pPr>
            <w:r>
              <w:rPr>
                <w:rFonts w:hint="eastAsia"/>
                <w:color w:val="auto"/>
                <w:sz w:val="24"/>
                <w:szCs w:val="32"/>
                <w:highlight w:val="none"/>
              </w:rPr>
              <w:t>联系人</w:t>
            </w:r>
          </w:p>
        </w:tc>
        <w:tc>
          <w:tcPr>
            <w:tcW w:w="3331" w:type="dxa"/>
            <w:vAlign w:val="center"/>
          </w:tcPr>
          <w:p w14:paraId="29246AF4">
            <w:pPr>
              <w:jc w:val="center"/>
              <w:rPr>
                <w:color w:val="auto"/>
                <w:highlight w:val="none"/>
              </w:rPr>
            </w:pPr>
          </w:p>
        </w:tc>
      </w:tr>
      <w:tr w14:paraId="7EF0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52FBF9A6">
            <w:pPr>
              <w:jc w:val="center"/>
              <w:rPr>
                <w:color w:val="auto"/>
                <w:sz w:val="24"/>
                <w:szCs w:val="32"/>
                <w:highlight w:val="none"/>
              </w:rPr>
            </w:pPr>
            <w:r>
              <w:rPr>
                <w:rFonts w:hint="eastAsia"/>
                <w:color w:val="auto"/>
                <w:sz w:val="24"/>
                <w:szCs w:val="32"/>
                <w:highlight w:val="none"/>
              </w:rPr>
              <w:t>联系地址</w:t>
            </w:r>
          </w:p>
        </w:tc>
        <w:tc>
          <w:tcPr>
            <w:tcW w:w="2284" w:type="dxa"/>
            <w:vAlign w:val="center"/>
          </w:tcPr>
          <w:p w14:paraId="30B3A17A">
            <w:pPr>
              <w:jc w:val="center"/>
              <w:rPr>
                <w:color w:val="auto"/>
                <w:sz w:val="24"/>
                <w:szCs w:val="32"/>
                <w:highlight w:val="none"/>
              </w:rPr>
            </w:pPr>
          </w:p>
        </w:tc>
        <w:tc>
          <w:tcPr>
            <w:tcW w:w="1833" w:type="dxa"/>
            <w:vAlign w:val="center"/>
          </w:tcPr>
          <w:p w14:paraId="5CCF511D">
            <w:pPr>
              <w:jc w:val="center"/>
              <w:rPr>
                <w:color w:val="auto"/>
                <w:sz w:val="24"/>
                <w:szCs w:val="32"/>
                <w:highlight w:val="none"/>
              </w:rPr>
            </w:pPr>
            <w:r>
              <w:rPr>
                <w:rFonts w:hint="eastAsia"/>
                <w:color w:val="auto"/>
                <w:sz w:val="24"/>
                <w:szCs w:val="32"/>
                <w:highlight w:val="none"/>
              </w:rPr>
              <w:t>联系电话</w:t>
            </w:r>
          </w:p>
        </w:tc>
        <w:tc>
          <w:tcPr>
            <w:tcW w:w="3331" w:type="dxa"/>
            <w:vAlign w:val="center"/>
          </w:tcPr>
          <w:p w14:paraId="13AD763C">
            <w:pPr>
              <w:jc w:val="center"/>
              <w:rPr>
                <w:color w:val="auto"/>
                <w:highlight w:val="none"/>
              </w:rPr>
            </w:pPr>
          </w:p>
        </w:tc>
      </w:tr>
      <w:tr w14:paraId="0679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7B8E78B4">
            <w:pPr>
              <w:jc w:val="center"/>
              <w:rPr>
                <w:color w:val="auto"/>
                <w:sz w:val="24"/>
                <w:szCs w:val="32"/>
                <w:highlight w:val="none"/>
              </w:rPr>
            </w:pPr>
            <w:r>
              <w:rPr>
                <w:rFonts w:hint="eastAsia"/>
                <w:color w:val="auto"/>
                <w:sz w:val="24"/>
                <w:szCs w:val="32"/>
                <w:highlight w:val="none"/>
              </w:rPr>
              <w:t>信用承诺</w:t>
            </w:r>
          </w:p>
        </w:tc>
        <w:tc>
          <w:tcPr>
            <w:tcW w:w="7448" w:type="dxa"/>
            <w:gridSpan w:val="3"/>
            <w:vAlign w:val="center"/>
          </w:tcPr>
          <w:p w14:paraId="04774E98">
            <w:pPr>
              <w:ind w:firstLine="420" w:firstLineChars="200"/>
              <w:rPr>
                <w:color w:val="auto"/>
                <w:highlight w:val="none"/>
              </w:rPr>
            </w:pPr>
            <w:r>
              <w:rPr>
                <w:rFonts w:hint="eastAsia"/>
                <w:color w:val="auto"/>
                <w:highlight w:val="none"/>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color w:val="auto"/>
                <w:highlight w:val="none"/>
                <w:lang w:eastAsia="zh-CN"/>
              </w:rPr>
              <w:t>中华人民共和国政府采购法</w:t>
            </w:r>
            <w:r>
              <w:rPr>
                <w:rFonts w:hint="eastAsia"/>
                <w:color w:val="auto"/>
                <w:highlight w:val="none"/>
              </w:rPr>
              <w:t>》第二十二条规定的条件，包括：具有独立承担民事责任的能力；具有良好的商业信誉和健全的财务会计制度</w:t>
            </w:r>
            <w:r>
              <w:rPr>
                <w:rFonts w:hint="eastAsia"/>
                <w:color w:val="auto"/>
                <w:highlight w:val="none"/>
                <w:lang w:eastAsia="zh-CN"/>
              </w:rPr>
              <w:t>；具</w:t>
            </w:r>
            <w:r>
              <w:rPr>
                <w:rFonts w:hint="eastAsia"/>
                <w:color w:val="auto"/>
                <w:highlight w:val="none"/>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w:t>
            </w:r>
            <w:r>
              <w:rPr>
                <w:rFonts w:hint="eastAsia"/>
                <w:color w:val="auto"/>
                <w:highlight w:val="none"/>
                <w:lang w:eastAsia="zh-CN"/>
              </w:rPr>
              <w:t>，自</w:t>
            </w:r>
            <w:r>
              <w:rPr>
                <w:rFonts w:hint="eastAsia"/>
                <w:color w:val="auto"/>
                <w:highlight w:val="none"/>
              </w:rPr>
              <w:t>愿承担一切法律责任</w:t>
            </w:r>
            <w:r>
              <w:rPr>
                <w:rFonts w:hint="eastAsia"/>
                <w:color w:val="auto"/>
                <w:highlight w:val="none"/>
                <w:lang w:eastAsia="zh-CN"/>
              </w:rPr>
              <w:t>，并</w:t>
            </w:r>
            <w:r>
              <w:rPr>
                <w:rFonts w:hint="eastAsia"/>
                <w:color w:val="auto"/>
                <w:highlight w:val="none"/>
              </w:rPr>
              <w:t>接受各级政府采购监管部门和有权机关的审查和处罚。</w:t>
            </w:r>
          </w:p>
          <w:p w14:paraId="02FA8965">
            <w:pPr>
              <w:ind w:firstLine="420" w:firstLineChars="200"/>
              <w:rPr>
                <w:color w:val="auto"/>
                <w:highlight w:val="none"/>
              </w:rPr>
            </w:pPr>
          </w:p>
          <w:p w14:paraId="4349754C">
            <w:pPr>
              <w:ind w:firstLine="420" w:firstLineChars="200"/>
              <w:jc w:val="center"/>
              <w:rPr>
                <w:color w:val="auto"/>
                <w:highlight w:val="none"/>
              </w:rPr>
            </w:pPr>
            <w:r>
              <w:rPr>
                <w:rFonts w:hint="eastAsia"/>
                <w:color w:val="auto"/>
                <w:highlight w:val="none"/>
              </w:rPr>
              <w:t>供应商名称（盖章）：</w:t>
            </w:r>
          </w:p>
          <w:p w14:paraId="13416B66">
            <w:pPr>
              <w:ind w:firstLine="420" w:firstLineChars="200"/>
              <w:jc w:val="center"/>
              <w:rPr>
                <w:color w:val="auto"/>
                <w:highlight w:val="none"/>
              </w:rPr>
            </w:pPr>
          </w:p>
          <w:p w14:paraId="11B78594">
            <w:pPr>
              <w:ind w:firstLine="420" w:firstLineChars="200"/>
              <w:jc w:val="center"/>
              <w:rPr>
                <w:color w:val="auto"/>
                <w:highlight w:val="none"/>
              </w:rPr>
            </w:pPr>
            <w:r>
              <w:rPr>
                <w:rFonts w:hint="eastAsia"/>
                <w:color w:val="auto"/>
                <w:highlight w:val="none"/>
              </w:rPr>
              <w:t>法定代表人（签字）：</w:t>
            </w:r>
          </w:p>
          <w:p w14:paraId="3892E349">
            <w:pPr>
              <w:ind w:firstLine="420" w:firstLineChars="200"/>
              <w:jc w:val="center"/>
              <w:rPr>
                <w:color w:val="auto"/>
                <w:highlight w:val="none"/>
              </w:rPr>
            </w:pPr>
          </w:p>
          <w:p w14:paraId="77342ECF">
            <w:pPr>
              <w:ind w:firstLine="420" w:firstLineChars="200"/>
              <w:jc w:val="center"/>
              <w:rPr>
                <w:color w:val="auto"/>
                <w:highlight w:val="none"/>
              </w:rPr>
            </w:pPr>
            <w:r>
              <w:rPr>
                <w:rFonts w:hint="eastAsia"/>
                <w:color w:val="auto"/>
                <w:highlight w:val="none"/>
              </w:rPr>
              <w:t>XXXX年XX月XX日</w:t>
            </w:r>
          </w:p>
        </w:tc>
      </w:tr>
    </w:tbl>
    <w:p w14:paraId="4F12EC94">
      <w:pPr>
        <w:jc w:val="center"/>
        <w:rPr>
          <w:color w:val="auto"/>
          <w:highlight w:val="none"/>
        </w:rPr>
      </w:pPr>
    </w:p>
    <w:p w14:paraId="7B922AB3">
      <w:pP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B7BBC2E">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附件十一、符合性审查索引表</w:t>
      </w:r>
    </w:p>
    <w:p w14:paraId="76FBFE25">
      <w:pPr>
        <w:spacing w:line="560" w:lineRule="exact"/>
        <w:jc w:val="center"/>
        <w:rPr>
          <w:rFonts w:ascii="宋体" w:hAnsi="宋体" w:eastAsia="宋体" w:cs="宋体"/>
          <w:b/>
          <w:color w:val="auto"/>
          <w:sz w:val="28"/>
          <w:szCs w:val="28"/>
          <w:highlight w:val="none"/>
        </w:rPr>
      </w:pPr>
    </w:p>
    <w:p w14:paraId="099A5D29">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符合性审查索引表</w:t>
      </w:r>
    </w:p>
    <w:tbl>
      <w:tblPr>
        <w:tblStyle w:val="19"/>
        <w:tblW w:w="9453" w:type="dxa"/>
        <w:jc w:val="center"/>
        <w:tblLayout w:type="fixed"/>
        <w:tblCellMar>
          <w:top w:w="0" w:type="dxa"/>
          <w:left w:w="10" w:type="dxa"/>
          <w:bottom w:w="0" w:type="dxa"/>
          <w:right w:w="10" w:type="dxa"/>
        </w:tblCellMar>
      </w:tblPr>
      <w:tblGrid>
        <w:gridCol w:w="760"/>
        <w:gridCol w:w="5947"/>
        <w:gridCol w:w="2746"/>
      </w:tblGrid>
      <w:tr w14:paraId="2805868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AA40905">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序号</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41140CB">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1A39133">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在响应文件中的页码位置</w:t>
            </w:r>
          </w:p>
        </w:tc>
      </w:tr>
      <w:tr w14:paraId="48EA44DF">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3724F9">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一</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2D4350">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商务要求中“★”号商务条款满足磋商文件要求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DD1441">
            <w:pPr>
              <w:spacing w:line="560" w:lineRule="exact"/>
              <w:jc w:val="center"/>
              <w:rPr>
                <w:rFonts w:ascii="宋体" w:hAnsi="宋体" w:eastAsia="宋体" w:cs="宋体"/>
                <w:b/>
                <w:color w:val="auto"/>
                <w:szCs w:val="21"/>
                <w:highlight w:val="none"/>
                <w:shd w:val="clear" w:color="auto" w:fill="FFFFFF"/>
              </w:rPr>
            </w:pPr>
          </w:p>
        </w:tc>
      </w:tr>
      <w:tr w14:paraId="42810F5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F9720C9">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二</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83979A">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技术要求中“★”号技术条款满足磋商文件要求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D1603D">
            <w:pPr>
              <w:spacing w:line="560" w:lineRule="exact"/>
              <w:jc w:val="center"/>
              <w:rPr>
                <w:rFonts w:ascii="宋体" w:hAnsi="宋体" w:eastAsia="宋体" w:cs="宋体"/>
                <w:b/>
                <w:color w:val="auto"/>
                <w:szCs w:val="21"/>
                <w:highlight w:val="none"/>
                <w:shd w:val="clear" w:color="auto" w:fill="FFFFFF"/>
              </w:rPr>
            </w:pPr>
          </w:p>
        </w:tc>
      </w:tr>
      <w:tr w14:paraId="66D08326">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6180B46">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三</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6D2D80">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其他实质性内容满足磋商文件要求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85ADEA9">
            <w:pPr>
              <w:spacing w:line="560" w:lineRule="exact"/>
              <w:jc w:val="center"/>
              <w:rPr>
                <w:rFonts w:ascii="宋体" w:hAnsi="宋体" w:eastAsia="宋体" w:cs="宋体"/>
                <w:b/>
                <w:color w:val="auto"/>
                <w:szCs w:val="21"/>
                <w:highlight w:val="none"/>
                <w:shd w:val="clear" w:color="auto" w:fill="FFFFFF"/>
              </w:rPr>
            </w:pPr>
          </w:p>
        </w:tc>
      </w:tr>
      <w:tr w14:paraId="0CCFFC11">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B1E3CF">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1ADE305">
            <w:pPr>
              <w:adjustRightInd w:val="0"/>
              <w:snapToGrid w:val="0"/>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按照磋商文件要求密封、签署、盖章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C3701A">
            <w:pPr>
              <w:spacing w:line="560" w:lineRule="exact"/>
              <w:jc w:val="center"/>
              <w:rPr>
                <w:rFonts w:ascii="宋体" w:hAnsi="宋体" w:eastAsia="宋体" w:cs="宋体"/>
                <w:color w:val="auto"/>
                <w:szCs w:val="21"/>
                <w:highlight w:val="none"/>
              </w:rPr>
            </w:pPr>
          </w:p>
        </w:tc>
      </w:tr>
      <w:tr w14:paraId="0940A5A0">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9D7549">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081FDB">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highlight w:val="none"/>
              </w:rPr>
              <w:t>具备磋商文件中规定资格要求的；</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E6B5871">
            <w:pPr>
              <w:spacing w:line="560" w:lineRule="exact"/>
              <w:jc w:val="center"/>
              <w:rPr>
                <w:rFonts w:ascii="宋体" w:hAnsi="宋体" w:eastAsia="宋体" w:cs="宋体"/>
                <w:color w:val="auto"/>
                <w:szCs w:val="21"/>
                <w:highlight w:val="none"/>
              </w:rPr>
            </w:pPr>
          </w:p>
        </w:tc>
      </w:tr>
      <w:tr w14:paraId="7EE37DED">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18173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9B39F0">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highlight w:val="none"/>
              </w:rPr>
              <w:t>报价未超过磋商文件中规定的预算金额或者最高限价；</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3312C14">
            <w:pPr>
              <w:spacing w:line="560" w:lineRule="exact"/>
              <w:jc w:val="center"/>
              <w:rPr>
                <w:rFonts w:ascii="宋体" w:hAnsi="宋体" w:eastAsia="宋体" w:cs="宋体"/>
                <w:color w:val="auto"/>
                <w:szCs w:val="21"/>
                <w:highlight w:val="none"/>
              </w:rPr>
            </w:pPr>
          </w:p>
        </w:tc>
      </w:tr>
      <w:tr w14:paraId="16F2EF7A">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36B0BF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896E899">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供应商单位负责人为同一人或者存在直接控股、管理关系的不同供应商，不得参加同一合同项下的政府采购活动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9C12DF">
            <w:pPr>
              <w:spacing w:line="560" w:lineRule="exact"/>
              <w:jc w:val="center"/>
              <w:rPr>
                <w:rFonts w:ascii="宋体" w:hAnsi="宋体" w:eastAsia="宋体" w:cs="宋体"/>
                <w:color w:val="auto"/>
                <w:szCs w:val="21"/>
                <w:highlight w:val="none"/>
              </w:rPr>
            </w:pPr>
          </w:p>
        </w:tc>
      </w:tr>
      <w:tr w14:paraId="1E28FCC3">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909FB3">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2ABF48">
            <w:pPr>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为采购项目提供整体设计、规范编制或者项目管理、监理、检测等服务的供应商，不得参加本项目的采购活动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94BEF2">
            <w:pPr>
              <w:spacing w:line="560" w:lineRule="exact"/>
              <w:jc w:val="center"/>
              <w:rPr>
                <w:rFonts w:ascii="宋体" w:hAnsi="宋体" w:eastAsia="宋体" w:cs="宋体"/>
                <w:color w:val="auto"/>
                <w:szCs w:val="21"/>
                <w:highlight w:val="none"/>
              </w:rPr>
            </w:pPr>
          </w:p>
        </w:tc>
      </w:tr>
      <w:tr w14:paraId="5D2CF3C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E023CF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778A9E">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磋商小组认为供应商的报价明显低于其他通过符合性审查供应商的报价，有可能影响工程质量或者不能诚信履约的，应当要求其在评标现场合理的时间内提供书面说明，必要时提交相关证明材料；供应商不能证明其报价合理性的，磋商小组应当将其作为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71204B2">
            <w:pPr>
              <w:spacing w:line="560" w:lineRule="exact"/>
              <w:jc w:val="center"/>
              <w:rPr>
                <w:rFonts w:ascii="宋体" w:hAnsi="宋体" w:eastAsia="宋体" w:cs="宋体"/>
                <w:color w:val="auto"/>
                <w:szCs w:val="21"/>
                <w:highlight w:val="none"/>
              </w:rPr>
            </w:pPr>
          </w:p>
        </w:tc>
      </w:tr>
      <w:tr w14:paraId="4652B53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370081F">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AD9A16E">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响应文件含有采购人不能接受的附加条件的按照无效响应处理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F45F95">
            <w:pPr>
              <w:spacing w:line="560" w:lineRule="exact"/>
              <w:jc w:val="center"/>
              <w:rPr>
                <w:rFonts w:ascii="宋体" w:hAnsi="宋体" w:eastAsia="宋体" w:cs="宋体"/>
                <w:color w:val="auto"/>
                <w:szCs w:val="21"/>
                <w:highlight w:val="none"/>
              </w:rPr>
            </w:pPr>
          </w:p>
        </w:tc>
      </w:tr>
      <w:tr w14:paraId="78F76B38">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C7FD1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5C4E95F">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无法律、法规和采购文件规定的其他无效情形</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0CF027C">
            <w:pPr>
              <w:spacing w:line="560" w:lineRule="exact"/>
              <w:jc w:val="center"/>
              <w:rPr>
                <w:rFonts w:ascii="宋体" w:hAnsi="宋体" w:eastAsia="宋体" w:cs="宋体"/>
                <w:color w:val="auto"/>
                <w:szCs w:val="21"/>
                <w:highlight w:val="none"/>
              </w:rPr>
            </w:pPr>
          </w:p>
        </w:tc>
      </w:tr>
    </w:tbl>
    <w:p w14:paraId="2386CFF6">
      <w:pPr>
        <w:pStyle w:val="26"/>
        <w:rPr>
          <w:color w:val="auto"/>
          <w:highlight w:val="none"/>
        </w:rPr>
      </w:pPr>
    </w:p>
    <w:p w14:paraId="0DFD6A4B">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62696145">
      <w:pPr>
        <w:adjustRightInd w:val="0"/>
        <w:snapToGrid w:val="0"/>
        <w:spacing w:line="560" w:lineRule="exact"/>
        <w:ind w:firstLine="480" w:firstLineChars="200"/>
        <w:jc w:val="lef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   年    月    日</w:t>
      </w:r>
    </w:p>
    <w:p w14:paraId="7735A9E1">
      <w:pPr>
        <w:spacing w:line="560" w:lineRule="exact"/>
        <w:ind w:firstLine="480" w:firstLineChars="200"/>
        <w:rPr>
          <w:rFonts w:ascii="宋体" w:hAnsi="宋体" w:eastAsia="宋体" w:cs="宋体"/>
          <w:color w:val="auto"/>
          <w:sz w:val="24"/>
          <w:highlight w:val="none"/>
        </w:rPr>
      </w:pPr>
    </w:p>
    <w:p w14:paraId="69011C8D">
      <w:pPr>
        <w:spacing w:line="560" w:lineRule="exact"/>
        <w:ind w:firstLine="482" w:firstLineChars="200"/>
        <w:rPr>
          <w:rFonts w:ascii="宋体" w:hAnsi="宋体" w:eastAsia="宋体" w:cs="宋体"/>
          <w:b/>
          <w:bCs/>
          <w:color w:val="auto"/>
          <w:sz w:val="24"/>
          <w:highlight w:val="none"/>
        </w:rPr>
      </w:pPr>
      <w:r>
        <w:rPr>
          <w:rFonts w:hint="eastAsia" w:ascii="宋体" w:hAnsi="宋体" w:eastAsia="宋体" w:cs="宋体"/>
          <w:b/>
          <w:bCs/>
          <w:color w:val="auto"/>
          <w:sz w:val="24"/>
          <w:highlight w:val="none"/>
        </w:rPr>
        <w:t>注：供应商应当根据实际情况和竞争性磋商文件内容提供符合性审查证明文件，并标注相关证明材料在响应文件的位置页码。“按照磋商文件要求密封、签署、盖章”等无法填写具体页码的符合性审查项目，可以不填写。供应商不得虚报、瞒报、漏报或虚假承诺。</w:t>
      </w:r>
    </w:p>
    <w:p w14:paraId="012D8284">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sz w:val="28"/>
          <w:szCs w:val="28"/>
          <w:highlight w:val="none"/>
        </w:rPr>
        <w:t>附件十二、采购需要的其他证明文件及材料（格式自拟）</w:t>
      </w:r>
      <w:bookmarkEnd w:id="34"/>
    </w:p>
    <w:p w14:paraId="6D6CDEDA">
      <w:pPr>
        <w:rPr>
          <w:rFonts w:hint="eastAsia" w:ascii="宋体" w:hAnsi="宋体" w:eastAsia="宋体" w:cs="宋体"/>
          <w:b/>
          <w:color w:val="auto"/>
          <w:sz w:val="28"/>
          <w:szCs w:val="28"/>
          <w:highlight w:val="none"/>
          <w:lang w:val="zh-CN"/>
        </w:rPr>
      </w:pPr>
    </w:p>
    <w:sectPr>
      <w:headerReference r:id="rId5" w:type="default"/>
      <w:footerReference r:id="rId6" w:type="default"/>
      <w:pgSz w:w="11906" w:h="16838"/>
      <w:pgMar w:top="1440" w:right="1083" w:bottom="1440" w:left="1083" w:header="454"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660AD99-AB6C-4457-A85F-345C36C112F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2" w:fontKey="{6DFEA5F2-DC9F-4E5D-874E-FA0505E80239}"/>
  </w:font>
  <w:font w:name="仿宋_GB2312">
    <w:panose1 w:val="02010609030101010101"/>
    <w:charset w:val="86"/>
    <w:family w:val="modern"/>
    <w:pitch w:val="default"/>
    <w:sig w:usb0="00000001" w:usb1="080E0000" w:usb2="00000000" w:usb3="00000000" w:csb0="00040000" w:csb1="00000000"/>
    <w:embedRegular r:id="rId3" w:fontKey="{9B163D85-C271-4E0C-B404-8F94D72AD58E}"/>
  </w:font>
  <w:font w:name="方正小标宋简体">
    <w:panose1 w:val="03000509000000000000"/>
    <w:charset w:val="86"/>
    <w:family w:val="auto"/>
    <w:pitch w:val="default"/>
    <w:sig w:usb0="00000001" w:usb1="080E0000" w:usb2="00000000" w:usb3="00000000" w:csb0="00040000" w:csb1="00000000"/>
    <w:embedRegular r:id="rId4" w:fontKey="{627CE578-C27E-4A23-AE06-A94056F16E77}"/>
  </w:font>
  <w:font w:name="WPSEMBED1">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8B23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7F5B">
    <w:pPr>
      <w:spacing w:before="1" w:line="176" w:lineRule="auto"/>
      <w:ind w:left="203"/>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FB2F7">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39C9">
    <w:pPr>
      <w:pStyle w:val="12"/>
      <w:pBdr>
        <w:bottom w:val="single" w:color="auto" w:sz="4" w:space="1"/>
      </w:pBdr>
      <w:jc w:val="left"/>
    </w:pPr>
    <w:r>
      <w:drawing>
        <wp:inline distT="0" distB="0" distL="114300" distR="114300">
          <wp:extent cx="2325370" cy="360045"/>
          <wp:effectExtent l="0" t="0" r="635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2325370" cy="3600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3YTNkNGZmNmQ0NDI1YTFjYTcwNGI2ZDkxYjM4YTIifQ=="/>
  </w:docVars>
  <w:rsids>
    <w:rsidRoot w:val="00B1351E"/>
    <w:rsid w:val="00051400"/>
    <w:rsid w:val="000707E0"/>
    <w:rsid w:val="000D2CBD"/>
    <w:rsid w:val="000D5C24"/>
    <w:rsid w:val="00102251"/>
    <w:rsid w:val="00157764"/>
    <w:rsid w:val="001B0A0B"/>
    <w:rsid w:val="001B554B"/>
    <w:rsid w:val="001D73F8"/>
    <w:rsid w:val="00215FBD"/>
    <w:rsid w:val="00256F18"/>
    <w:rsid w:val="002E2063"/>
    <w:rsid w:val="003579D5"/>
    <w:rsid w:val="003C1A85"/>
    <w:rsid w:val="00404858"/>
    <w:rsid w:val="0041728C"/>
    <w:rsid w:val="004472CD"/>
    <w:rsid w:val="00452E07"/>
    <w:rsid w:val="004A129B"/>
    <w:rsid w:val="005479D9"/>
    <w:rsid w:val="00561113"/>
    <w:rsid w:val="005A5FCB"/>
    <w:rsid w:val="00604A29"/>
    <w:rsid w:val="006A2CB3"/>
    <w:rsid w:val="006E1F84"/>
    <w:rsid w:val="00721D77"/>
    <w:rsid w:val="0077405D"/>
    <w:rsid w:val="007A4A4A"/>
    <w:rsid w:val="008358E4"/>
    <w:rsid w:val="008C54F9"/>
    <w:rsid w:val="008E60EB"/>
    <w:rsid w:val="00A0345F"/>
    <w:rsid w:val="00A269D7"/>
    <w:rsid w:val="00A529C4"/>
    <w:rsid w:val="00AA527C"/>
    <w:rsid w:val="00AC4C19"/>
    <w:rsid w:val="00AD4C4B"/>
    <w:rsid w:val="00B1351E"/>
    <w:rsid w:val="00B14872"/>
    <w:rsid w:val="00B201E6"/>
    <w:rsid w:val="00B406F4"/>
    <w:rsid w:val="00B40A57"/>
    <w:rsid w:val="00B44DBA"/>
    <w:rsid w:val="00C11C32"/>
    <w:rsid w:val="00C17CD4"/>
    <w:rsid w:val="00C269B9"/>
    <w:rsid w:val="00D26B8C"/>
    <w:rsid w:val="00D37742"/>
    <w:rsid w:val="00DE7245"/>
    <w:rsid w:val="00E828B6"/>
    <w:rsid w:val="00E83520"/>
    <w:rsid w:val="00EF51F9"/>
    <w:rsid w:val="00FA154F"/>
    <w:rsid w:val="00FE10C6"/>
    <w:rsid w:val="012D50FA"/>
    <w:rsid w:val="02807496"/>
    <w:rsid w:val="02EB4148"/>
    <w:rsid w:val="036E4E13"/>
    <w:rsid w:val="03903D1D"/>
    <w:rsid w:val="03B13F02"/>
    <w:rsid w:val="03CC3AD6"/>
    <w:rsid w:val="03DB30BC"/>
    <w:rsid w:val="04380992"/>
    <w:rsid w:val="04E41D38"/>
    <w:rsid w:val="050A0BBC"/>
    <w:rsid w:val="05141CFE"/>
    <w:rsid w:val="05143E2A"/>
    <w:rsid w:val="06657159"/>
    <w:rsid w:val="068E5516"/>
    <w:rsid w:val="06CA37C2"/>
    <w:rsid w:val="07117EF5"/>
    <w:rsid w:val="07941252"/>
    <w:rsid w:val="086F75C9"/>
    <w:rsid w:val="09975029"/>
    <w:rsid w:val="09BA5BAF"/>
    <w:rsid w:val="0A174A8C"/>
    <w:rsid w:val="0B106E41"/>
    <w:rsid w:val="0B680A65"/>
    <w:rsid w:val="0BCD628C"/>
    <w:rsid w:val="0C2A0D1F"/>
    <w:rsid w:val="0C663F0A"/>
    <w:rsid w:val="0C8C2129"/>
    <w:rsid w:val="0CE1116D"/>
    <w:rsid w:val="0D97200A"/>
    <w:rsid w:val="0E5A5297"/>
    <w:rsid w:val="0E7E2314"/>
    <w:rsid w:val="0E820EE6"/>
    <w:rsid w:val="0EC7070D"/>
    <w:rsid w:val="0ECC778A"/>
    <w:rsid w:val="0F1A3DB4"/>
    <w:rsid w:val="0F987405"/>
    <w:rsid w:val="0FDD000F"/>
    <w:rsid w:val="102A096E"/>
    <w:rsid w:val="10971F20"/>
    <w:rsid w:val="10CC09FE"/>
    <w:rsid w:val="11056A56"/>
    <w:rsid w:val="115742F6"/>
    <w:rsid w:val="11D609AE"/>
    <w:rsid w:val="11D96296"/>
    <w:rsid w:val="11DA60F7"/>
    <w:rsid w:val="126D6927"/>
    <w:rsid w:val="12AD5E74"/>
    <w:rsid w:val="131D659F"/>
    <w:rsid w:val="136F51CE"/>
    <w:rsid w:val="13B80BA2"/>
    <w:rsid w:val="13BF7656"/>
    <w:rsid w:val="14587163"/>
    <w:rsid w:val="146229D6"/>
    <w:rsid w:val="157A2AC8"/>
    <w:rsid w:val="15936581"/>
    <w:rsid w:val="1598397D"/>
    <w:rsid w:val="15D60AA0"/>
    <w:rsid w:val="161552E4"/>
    <w:rsid w:val="16504622"/>
    <w:rsid w:val="16573B76"/>
    <w:rsid w:val="1670755D"/>
    <w:rsid w:val="16B31744"/>
    <w:rsid w:val="16BF6A28"/>
    <w:rsid w:val="17614581"/>
    <w:rsid w:val="18625308"/>
    <w:rsid w:val="18DD500E"/>
    <w:rsid w:val="18E87832"/>
    <w:rsid w:val="191F0631"/>
    <w:rsid w:val="193C34F7"/>
    <w:rsid w:val="194D4B4A"/>
    <w:rsid w:val="19582824"/>
    <w:rsid w:val="19FA6497"/>
    <w:rsid w:val="1A860CF1"/>
    <w:rsid w:val="1AD751A4"/>
    <w:rsid w:val="1ADC729C"/>
    <w:rsid w:val="1B1C713C"/>
    <w:rsid w:val="1BD417C5"/>
    <w:rsid w:val="1BF34DB3"/>
    <w:rsid w:val="1C75662F"/>
    <w:rsid w:val="1C756A0B"/>
    <w:rsid w:val="1D313CDE"/>
    <w:rsid w:val="1D7640D1"/>
    <w:rsid w:val="1D8F0099"/>
    <w:rsid w:val="1DED4DC0"/>
    <w:rsid w:val="1E363769"/>
    <w:rsid w:val="1EDD76D2"/>
    <w:rsid w:val="2018390A"/>
    <w:rsid w:val="20B479EF"/>
    <w:rsid w:val="212747AB"/>
    <w:rsid w:val="217703D3"/>
    <w:rsid w:val="21C10A3D"/>
    <w:rsid w:val="2270630D"/>
    <w:rsid w:val="227F2879"/>
    <w:rsid w:val="23576818"/>
    <w:rsid w:val="23F24EDE"/>
    <w:rsid w:val="24A014EB"/>
    <w:rsid w:val="24A124E7"/>
    <w:rsid w:val="24AC1531"/>
    <w:rsid w:val="25565CCE"/>
    <w:rsid w:val="255B4ABB"/>
    <w:rsid w:val="265D2145"/>
    <w:rsid w:val="269C3827"/>
    <w:rsid w:val="26DC7F15"/>
    <w:rsid w:val="26E0714E"/>
    <w:rsid w:val="27491D0E"/>
    <w:rsid w:val="276814DE"/>
    <w:rsid w:val="2899001E"/>
    <w:rsid w:val="28D36478"/>
    <w:rsid w:val="292357F3"/>
    <w:rsid w:val="29907F67"/>
    <w:rsid w:val="2C574AC3"/>
    <w:rsid w:val="2C7212B2"/>
    <w:rsid w:val="2E156399"/>
    <w:rsid w:val="2E540D40"/>
    <w:rsid w:val="2E8A7052"/>
    <w:rsid w:val="2E8E7EF9"/>
    <w:rsid w:val="2EC66F87"/>
    <w:rsid w:val="2EE713B8"/>
    <w:rsid w:val="2F555953"/>
    <w:rsid w:val="2F6C02C7"/>
    <w:rsid w:val="2F792957"/>
    <w:rsid w:val="2FC44AE4"/>
    <w:rsid w:val="30022ECB"/>
    <w:rsid w:val="301F5452"/>
    <w:rsid w:val="307B05C4"/>
    <w:rsid w:val="30B32047"/>
    <w:rsid w:val="31244B45"/>
    <w:rsid w:val="31EF0CAF"/>
    <w:rsid w:val="322F0DF9"/>
    <w:rsid w:val="3443479E"/>
    <w:rsid w:val="35A16CAA"/>
    <w:rsid w:val="36AF3103"/>
    <w:rsid w:val="36C070BE"/>
    <w:rsid w:val="370C2303"/>
    <w:rsid w:val="375B71BD"/>
    <w:rsid w:val="37C618BA"/>
    <w:rsid w:val="38471EB1"/>
    <w:rsid w:val="38A5208A"/>
    <w:rsid w:val="39AC25BE"/>
    <w:rsid w:val="3A6F58F4"/>
    <w:rsid w:val="3B163750"/>
    <w:rsid w:val="3B40060A"/>
    <w:rsid w:val="3B7D2DFC"/>
    <w:rsid w:val="3BA55747"/>
    <w:rsid w:val="3BBF1D19"/>
    <w:rsid w:val="3E304F19"/>
    <w:rsid w:val="3E6F7550"/>
    <w:rsid w:val="3ED732F8"/>
    <w:rsid w:val="3F731171"/>
    <w:rsid w:val="3F900A76"/>
    <w:rsid w:val="4003768D"/>
    <w:rsid w:val="40DE0ED4"/>
    <w:rsid w:val="412F731A"/>
    <w:rsid w:val="41B54DD8"/>
    <w:rsid w:val="42707BEA"/>
    <w:rsid w:val="42FE21D8"/>
    <w:rsid w:val="44503BB9"/>
    <w:rsid w:val="44F739D7"/>
    <w:rsid w:val="45E37A16"/>
    <w:rsid w:val="4686246A"/>
    <w:rsid w:val="46D32AC0"/>
    <w:rsid w:val="470B5B56"/>
    <w:rsid w:val="475D08EA"/>
    <w:rsid w:val="47C976EB"/>
    <w:rsid w:val="48156EAC"/>
    <w:rsid w:val="48256D81"/>
    <w:rsid w:val="48276F9D"/>
    <w:rsid w:val="49830203"/>
    <w:rsid w:val="49AB70D7"/>
    <w:rsid w:val="49F4251A"/>
    <w:rsid w:val="4A180F44"/>
    <w:rsid w:val="4A223DEB"/>
    <w:rsid w:val="4AE84B05"/>
    <w:rsid w:val="4B750BF3"/>
    <w:rsid w:val="4C066EC9"/>
    <w:rsid w:val="4C2C4D07"/>
    <w:rsid w:val="4C3E2B07"/>
    <w:rsid w:val="4C431ECB"/>
    <w:rsid w:val="4DAD38EE"/>
    <w:rsid w:val="4E263E3E"/>
    <w:rsid w:val="4E562E89"/>
    <w:rsid w:val="4F8C2AB6"/>
    <w:rsid w:val="506F1682"/>
    <w:rsid w:val="50B82E88"/>
    <w:rsid w:val="50EE52D5"/>
    <w:rsid w:val="51137A93"/>
    <w:rsid w:val="519D19E4"/>
    <w:rsid w:val="521D233C"/>
    <w:rsid w:val="52262073"/>
    <w:rsid w:val="53425315"/>
    <w:rsid w:val="53D742A1"/>
    <w:rsid w:val="541E2FB8"/>
    <w:rsid w:val="55F148B1"/>
    <w:rsid w:val="56427159"/>
    <w:rsid w:val="567710EF"/>
    <w:rsid w:val="567D5FDA"/>
    <w:rsid w:val="56A3539F"/>
    <w:rsid w:val="57A852D8"/>
    <w:rsid w:val="57F9079B"/>
    <w:rsid w:val="593037D7"/>
    <w:rsid w:val="59943D66"/>
    <w:rsid w:val="599E2E37"/>
    <w:rsid w:val="59C06124"/>
    <w:rsid w:val="5A530E1D"/>
    <w:rsid w:val="5AFE34D7"/>
    <w:rsid w:val="5B3A6B8F"/>
    <w:rsid w:val="5BE82147"/>
    <w:rsid w:val="5CE1495D"/>
    <w:rsid w:val="5D2B74A0"/>
    <w:rsid w:val="5D2C7D48"/>
    <w:rsid w:val="5D7A7717"/>
    <w:rsid w:val="5D8575BD"/>
    <w:rsid w:val="5D930E01"/>
    <w:rsid w:val="5DB744C7"/>
    <w:rsid w:val="5DC62309"/>
    <w:rsid w:val="5EE94B54"/>
    <w:rsid w:val="5EEA61D6"/>
    <w:rsid w:val="5FB76A00"/>
    <w:rsid w:val="60B826C9"/>
    <w:rsid w:val="611F36E4"/>
    <w:rsid w:val="613D4CE3"/>
    <w:rsid w:val="61447E20"/>
    <w:rsid w:val="61FD79A7"/>
    <w:rsid w:val="63443C97"/>
    <w:rsid w:val="63F47983"/>
    <w:rsid w:val="6410048D"/>
    <w:rsid w:val="646A5DEF"/>
    <w:rsid w:val="655B398A"/>
    <w:rsid w:val="65763377"/>
    <w:rsid w:val="65EC0A86"/>
    <w:rsid w:val="66442BB6"/>
    <w:rsid w:val="666318E2"/>
    <w:rsid w:val="66E177BD"/>
    <w:rsid w:val="676C64F0"/>
    <w:rsid w:val="6805621B"/>
    <w:rsid w:val="68064081"/>
    <w:rsid w:val="681C1AF7"/>
    <w:rsid w:val="684E77D6"/>
    <w:rsid w:val="68CE415D"/>
    <w:rsid w:val="68D47FEC"/>
    <w:rsid w:val="69B72FBE"/>
    <w:rsid w:val="6AA11F55"/>
    <w:rsid w:val="6C110856"/>
    <w:rsid w:val="6C1B3E73"/>
    <w:rsid w:val="6C294FED"/>
    <w:rsid w:val="6CBC5AB4"/>
    <w:rsid w:val="6D413DAD"/>
    <w:rsid w:val="6D7E14B2"/>
    <w:rsid w:val="6DAF6B98"/>
    <w:rsid w:val="6E8906D7"/>
    <w:rsid w:val="6ED55122"/>
    <w:rsid w:val="6EE61E74"/>
    <w:rsid w:val="6F304B92"/>
    <w:rsid w:val="70AD2067"/>
    <w:rsid w:val="70CC520D"/>
    <w:rsid w:val="72012278"/>
    <w:rsid w:val="72361A07"/>
    <w:rsid w:val="724C422E"/>
    <w:rsid w:val="73426189"/>
    <w:rsid w:val="73BA29C5"/>
    <w:rsid w:val="73E062D3"/>
    <w:rsid w:val="74B37C31"/>
    <w:rsid w:val="752A00AA"/>
    <w:rsid w:val="75A841F2"/>
    <w:rsid w:val="76337A08"/>
    <w:rsid w:val="765468FF"/>
    <w:rsid w:val="77286DE9"/>
    <w:rsid w:val="777803CC"/>
    <w:rsid w:val="78DE29DC"/>
    <w:rsid w:val="79022643"/>
    <w:rsid w:val="796B1C04"/>
    <w:rsid w:val="7A3748A8"/>
    <w:rsid w:val="7AB82698"/>
    <w:rsid w:val="7B0507BC"/>
    <w:rsid w:val="7B85593E"/>
    <w:rsid w:val="7BF152FF"/>
    <w:rsid w:val="7CC5180D"/>
    <w:rsid w:val="7CCF6F3E"/>
    <w:rsid w:val="7CDB5685"/>
    <w:rsid w:val="7DF67674"/>
    <w:rsid w:val="7E1338F7"/>
    <w:rsid w:val="7E292420"/>
    <w:rsid w:val="7F74625E"/>
    <w:rsid w:val="7FB46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autoRedefine/>
    <w:qFormat/>
    <w:uiPriority w:val="0"/>
    <w:rPr>
      <w:rFonts w:ascii="楷体_GB2312" w:hAnsi="Arial" w:eastAsia="楷体_GB2312"/>
      <w:sz w:val="28"/>
    </w:rPr>
  </w:style>
  <w:style w:type="paragraph" w:styleId="7">
    <w:name w:val="Body Text Indent"/>
    <w:basedOn w:val="1"/>
    <w:qFormat/>
    <w:uiPriority w:val="0"/>
    <w:pPr>
      <w:spacing w:after="120"/>
      <w:ind w:left="420" w:leftChars="200"/>
    </w:pPr>
  </w:style>
  <w:style w:type="paragraph" w:styleId="8">
    <w:name w:val="index 4"/>
    <w:basedOn w:val="1"/>
    <w:next w:val="1"/>
    <w:semiHidden/>
    <w:qFormat/>
    <w:uiPriority w:val="0"/>
    <w:pPr>
      <w:ind w:left="1260"/>
    </w:pPr>
  </w:style>
  <w:style w:type="paragraph" w:styleId="9">
    <w:name w:val="Plain Text"/>
    <w:basedOn w:val="1"/>
    <w:qFormat/>
    <w:uiPriority w:val="0"/>
    <w:rPr>
      <w:rFonts w:ascii="宋体" w:hAnsi="Courier New" w:cs="Times New Roman"/>
      <w:kern w:val="0"/>
      <w:sz w:val="20"/>
      <w:szCs w:val="21"/>
    </w:rPr>
  </w:style>
  <w:style w:type="paragraph" w:styleId="10">
    <w:name w:val="Balloon Text"/>
    <w:basedOn w:val="1"/>
    <w:link w:val="3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szCs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17">
    <w:name w:val="Body Text First Indent"/>
    <w:basedOn w:val="6"/>
    <w:qFormat/>
    <w:uiPriority w:val="0"/>
    <w:pPr>
      <w:ind w:firstLine="420" w:firstLineChars="100"/>
    </w:pPr>
    <w:rPr>
      <w:rFonts w:ascii="Times New Roman" w:hAnsi="Times New Roman" w:cs="Times New Roman"/>
      <w:kern w:val="0"/>
      <w:sz w:val="20"/>
    </w:rPr>
  </w:style>
  <w:style w:type="paragraph" w:styleId="18">
    <w:name w:val="Body Text First Indent 2"/>
    <w:basedOn w:val="7"/>
    <w:next w:val="1"/>
    <w:qFormat/>
    <w:uiPriority w:val="99"/>
    <w:pPr>
      <w:ind w:firstLine="420" w:firstLineChars="200"/>
    </w:pPr>
    <w:rPr>
      <w:rFonts w:ascii="Times New Roman" w:hAnsi="Times New Roman" w:eastAsia="宋体" w:cs="宋体"/>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styleId="25">
    <w:name w:val="footnote reference"/>
    <w:qFormat/>
    <w:uiPriority w:val="0"/>
    <w:rPr>
      <w:vertAlign w:val="superscript"/>
    </w:rPr>
  </w:style>
  <w:style w:type="paragraph" w:customStyle="1" w:styleId="26">
    <w:name w:val="首行缩进"/>
    <w:basedOn w:val="1"/>
    <w:qFormat/>
    <w:uiPriority w:val="99"/>
    <w:pPr>
      <w:spacing w:line="360" w:lineRule="auto"/>
      <w:ind w:firstLine="480" w:firstLineChars="200"/>
    </w:pPr>
    <w:rPr>
      <w:sz w:val="24"/>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styleId="28">
    <w:name w:val="List Paragraph"/>
    <w:basedOn w:val="1"/>
    <w:qFormat/>
    <w:uiPriority w:val="99"/>
    <w:pPr>
      <w:ind w:firstLine="420" w:firstLineChars="200"/>
    </w:pPr>
    <w:rPr>
      <w:rFonts w:ascii="Calibri" w:hAnsi="Calibri" w:cs="宋体"/>
      <w:szCs w:val="22"/>
    </w:rPr>
  </w:style>
  <w:style w:type="paragraph" w:customStyle="1" w:styleId="29">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30">
    <w:name w:val="列出段落1"/>
    <w:basedOn w:val="1"/>
    <w:qFormat/>
    <w:uiPriority w:val="0"/>
    <w:pPr>
      <w:ind w:firstLine="420" w:firstLineChars="200"/>
    </w:pPr>
    <w:rPr>
      <w:rFonts w:ascii="Calibri" w:hAnsi="Calibri"/>
      <w:szCs w:val="22"/>
    </w:rPr>
  </w:style>
  <w:style w:type="paragraph" w:customStyle="1" w:styleId="3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2">
    <w:name w:val="font11"/>
    <w:basedOn w:val="21"/>
    <w:qFormat/>
    <w:uiPriority w:val="0"/>
    <w:rPr>
      <w:rFonts w:hint="eastAsia" w:ascii="宋体" w:hAnsi="宋体" w:eastAsia="宋体" w:cs="宋体"/>
      <w:b/>
      <w:bCs/>
      <w:color w:val="000000"/>
      <w:sz w:val="21"/>
      <w:szCs w:val="21"/>
      <w:u w:val="none"/>
    </w:rPr>
  </w:style>
  <w:style w:type="character" w:customStyle="1" w:styleId="33">
    <w:name w:val="font21"/>
    <w:basedOn w:val="21"/>
    <w:qFormat/>
    <w:uiPriority w:val="0"/>
    <w:rPr>
      <w:rFonts w:hint="eastAsia" w:ascii="宋体" w:hAnsi="宋体" w:eastAsia="宋体" w:cs="宋体"/>
      <w:color w:val="000000"/>
      <w:sz w:val="21"/>
      <w:szCs w:val="21"/>
      <w:u w:val="none"/>
    </w:rPr>
  </w:style>
  <w:style w:type="paragraph" w:customStyle="1" w:styleId="34">
    <w:name w:val="无列表1"/>
    <w:semiHidden/>
    <w:qFormat/>
    <w:uiPriority w:val="0"/>
    <w:rPr>
      <w:rFonts w:ascii="Calibri" w:hAnsi="Calibri" w:eastAsia="宋体" w:cs="Times New Roman"/>
      <w:sz w:val="21"/>
      <w:szCs w:val="22"/>
      <w:lang w:val="en-US" w:eastAsia="zh-CN" w:bidi="ar-SA"/>
    </w:rPr>
  </w:style>
  <w:style w:type="character" w:customStyle="1" w:styleId="35">
    <w:name w:val="批注框文本 字符"/>
    <w:basedOn w:val="21"/>
    <w:link w:val="10"/>
    <w:qFormat/>
    <w:uiPriority w:val="0"/>
    <w:rPr>
      <w:rFonts w:asciiTheme="minorHAnsi" w:hAnsiTheme="minorHAnsi" w:eastAsiaTheme="minorEastAsia" w:cstheme="minorBidi"/>
      <w:kern w:val="2"/>
      <w:sz w:val="18"/>
      <w:szCs w:val="18"/>
    </w:rPr>
  </w:style>
  <w:style w:type="paragraph" w:customStyle="1" w:styleId="36">
    <w:name w:val="Table Text"/>
    <w:basedOn w:val="1"/>
    <w:semiHidden/>
    <w:qFormat/>
    <w:uiPriority w:val="0"/>
    <w:rPr>
      <w:rFonts w:ascii="微软雅黑" w:hAnsi="微软雅黑" w:eastAsia="微软雅黑" w:cs="微软雅黑"/>
      <w:sz w:val="20"/>
      <w:szCs w:val="20"/>
      <w:lang w:eastAsia="en-US"/>
    </w:rPr>
  </w:style>
  <w:style w:type="table" w:customStyle="1" w:styleId="37">
    <w:name w:val="Table Normal"/>
    <w:qFormat/>
    <w:uiPriority w:val="0"/>
    <w:tblPr>
      <w:tblCellMar>
        <w:top w:w="0" w:type="dxa"/>
        <w:left w:w="0" w:type="dxa"/>
        <w:bottom w:w="0" w:type="dxa"/>
        <w:right w:w="0" w:type="dxa"/>
      </w:tblCellMar>
    </w:tblPr>
  </w:style>
  <w:style w:type="paragraph" w:customStyle="1" w:styleId="38">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39">
    <w:name w:val="标题 31"/>
    <w:basedOn w:val="1"/>
    <w:next w:val="40"/>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customStyle="1" w:styleId="40">
    <w:name w:val="正文缩进1"/>
    <w:basedOn w:val="1"/>
    <w:qFormat/>
    <w:uiPriority w:val="0"/>
    <w:pPr>
      <w:ind w:firstLine="420"/>
    </w:pPr>
    <w:rPr>
      <w:szCs w:val="21"/>
    </w:rPr>
  </w:style>
  <w:style w:type="paragraph" w:customStyle="1" w:styleId="41">
    <w:name w:val="正文首行缩进 211"/>
    <w:basedOn w:val="42"/>
    <w:next w:val="1"/>
    <w:qFormat/>
    <w:uiPriority w:val="0"/>
    <w:pPr>
      <w:spacing w:after="0" w:line="360" w:lineRule="auto"/>
      <w:ind w:left="0" w:firstLine="420"/>
    </w:pPr>
    <w:rPr>
      <w:rFonts w:ascii="宋体" w:hAnsi="宋体" w:eastAsia="宋体" w:cs="Times New Roman"/>
      <w:szCs w:val="20"/>
    </w:rPr>
  </w:style>
  <w:style w:type="paragraph" w:customStyle="1" w:styleId="42">
    <w:name w:val="正文文本缩进11"/>
    <w:basedOn w:val="1"/>
    <w:next w:val="43"/>
    <w:unhideWhenUsed/>
    <w:qFormat/>
    <w:uiPriority w:val="0"/>
    <w:pPr>
      <w:spacing w:after="120"/>
      <w:ind w:left="420"/>
    </w:pPr>
  </w:style>
  <w:style w:type="paragraph" w:customStyle="1" w:styleId="43">
    <w:name w:val="寄信人地址1"/>
    <w:basedOn w:val="1"/>
    <w:qFormat/>
    <w:uiPriority w:val="0"/>
    <w:rPr>
      <w:rFonts w:ascii="Arial" w:hAnsi="Arial"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16</Pages>
  <Words>45</Words>
  <Characters>59</Characters>
  <Lines>182</Lines>
  <Paragraphs>51</Paragraphs>
  <TotalTime>36</TotalTime>
  <ScaleCrop>false</ScaleCrop>
  <LinksUpToDate>false</LinksUpToDate>
  <CharactersWithSpaces>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2026-08-10T01:44:00Z</dcterms:created>
  <dc:creator>admin</dc:creator>
  <cp:lastModifiedBy>殊途同归</cp:lastModifiedBy>
  <dcterms:modified xsi:type="dcterms:W3CDTF">2026-10-09T03:33:15Z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31C0EC13C9CC4CAEBB700D8A3C98B74F_13</vt:lpwstr>
  </property>
  <property fmtid="{D5CDD505-2E9C-101B-9397-08002B2CF9AE}" pid="4" name="KSOTemplateDocerSaveRecord">
    <vt:lpwstr>eyJoZGlkIjoiMGNmNmE2Y2RmYTAxZDU1NGNlYWQwNmQ4NTEwYTEwMGEiLCJ1c2VySWQiOiI0NDc2ODQwOTEifQ==</vt:lpwstr>
  </property>
</Properties>
</file>