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C77533">
      <w:pPr>
        <w:ind w:left="422"/>
      </w:pPr>
    </w:p>
    <w:p w14:paraId="42E7EBE3">
      <w:pPr>
        <w:adjustRightInd w:val="0"/>
        <w:snapToGrid w:val="0"/>
        <w:spacing w:line="360" w:lineRule="auto"/>
        <w:ind w:left="422" w:firstLine="880"/>
        <w:jc w:val="center"/>
        <w:rPr>
          <w:rFonts w:hint="eastAsia" w:ascii="黑体" w:hAnsi="黑体" w:eastAsia="黑体" w:cs="黑体"/>
          <w:sz w:val="44"/>
          <w:szCs w:val="44"/>
        </w:rPr>
      </w:pPr>
    </w:p>
    <w:p w14:paraId="56512C72">
      <w:pPr>
        <w:adjustRightInd w:val="0"/>
        <w:snapToGrid w:val="0"/>
        <w:spacing w:line="360" w:lineRule="auto"/>
        <w:jc w:val="center"/>
        <w:rPr>
          <w:rFonts w:hint="eastAsia" w:ascii="黑体" w:hAnsi="黑体" w:eastAsia="黑体" w:cs="黑体"/>
          <w:sz w:val="44"/>
          <w:szCs w:val="44"/>
        </w:rPr>
      </w:pPr>
      <w:r>
        <w:rPr>
          <w:rFonts w:hint="eastAsia" w:ascii="黑体" w:hAnsi="黑体" w:eastAsia="黑体" w:cs="黑体"/>
          <w:sz w:val="44"/>
          <w:szCs w:val="44"/>
        </w:rPr>
        <w:t>南京市栖霞区迈皋桥社区卫生服务中心儿童眼保健服务采购项目</w:t>
      </w:r>
    </w:p>
    <w:p w14:paraId="0322E81C">
      <w:pPr>
        <w:adjustRightInd w:val="0"/>
        <w:snapToGrid w:val="0"/>
        <w:spacing w:line="360" w:lineRule="auto"/>
        <w:ind w:left="422" w:firstLine="960"/>
        <w:jc w:val="center"/>
        <w:rPr>
          <w:rFonts w:hint="eastAsia" w:ascii="黑体" w:hAnsi="黑体" w:eastAsia="黑体" w:cs="黑体"/>
          <w:sz w:val="48"/>
          <w:szCs w:val="48"/>
        </w:rPr>
      </w:pPr>
    </w:p>
    <w:p w14:paraId="50E35947">
      <w:pPr>
        <w:pStyle w:val="2"/>
      </w:pPr>
    </w:p>
    <w:p w14:paraId="2FD09547"/>
    <w:p w14:paraId="20807B5E">
      <w:pPr>
        <w:pStyle w:val="2"/>
      </w:pPr>
    </w:p>
    <w:p w14:paraId="07E8798E"/>
    <w:p w14:paraId="20F836CE">
      <w:pPr>
        <w:pStyle w:val="2"/>
      </w:pPr>
    </w:p>
    <w:p w14:paraId="46DFE081">
      <w:pPr>
        <w:adjustRightInd w:val="0"/>
        <w:snapToGrid w:val="0"/>
        <w:spacing w:line="360" w:lineRule="auto"/>
        <w:ind w:firstLine="1920" w:firstLineChars="400"/>
        <w:jc w:val="left"/>
        <w:rPr>
          <w:rFonts w:hint="eastAsia" w:ascii="黑体" w:hAnsi="黑体" w:eastAsia="黑体" w:cs="黑体"/>
          <w:sz w:val="48"/>
          <w:szCs w:val="48"/>
        </w:rPr>
      </w:pPr>
      <w:r>
        <w:rPr>
          <w:rFonts w:hint="eastAsia" w:ascii="黑体" w:hAnsi="黑体" w:eastAsia="黑体" w:cs="黑体"/>
          <w:sz w:val="48"/>
          <w:szCs w:val="48"/>
        </w:rPr>
        <w:t>竞争性磋商采购文件</w:t>
      </w:r>
    </w:p>
    <w:p w14:paraId="15B48A5C">
      <w:pPr>
        <w:adjustRightInd w:val="0"/>
        <w:snapToGrid w:val="0"/>
        <w:spacing w:line="360" w:lineRule="auto"/>
        <w:ind w:left="422" w:firstLine="562"/>
        <w:jc w:val="center"/>
        <w:rPr>
          <w:rFonts w:hint="eastAsia" w:ascii="黑体" w:hAnsi="黑体" w:eastAsia="黑体" w:cs="黑体"/>
          <w:b/>
          <w:bCs/>
          <w:snapToGrid w:val="0"/>
          <w:kern w:val="0"/>
          <w:sz w:val="28"/>
          <w:szCs w:val="28"/>
        </w:rPr>
      </w:pPr>
    </w:p>
    <w:p w14:paraId="2E4B7E8B">
      <w:pPr>
        <w:adjustRightInd w:val="0"/>
        <w:snapToGrid w:val="0"/>
        <w:spacing w:line="360" w:lineRule="auto"/>
        <w:rPr>
          <w:rFonts w:hint="eastAsia" w:ascii="黑体" w:hAnsi="黑体" w:eastAsia="黑体" w:cs="黑体"/>
          <w:snapToGrid w:val="0"/>
          <w:kern w:val="0"/>
          <w:sz w:val="30"/>
          <w:szCs w:val="30"/>
        </w:rPr>
      </w:pPr>
    </w:p>
    <w:p w14:paraId="168640A1">
      <w:pPr>
        <w:adjustRightInd w:val="0"/>
        <w:snapToGrid w:val="0"/>
        <w:spacing w:line="360" w:lineRule="auto"/>
        <w:rPr>
          <w:rFonts w:hint="eastAsia" w:ascii="黑体" w:hAnsi="黑体" w:eastAsia="黑体" w:cs="黑体"/>
          <w:snapToGrid w:val="0"/>
          <w:kern w:val="0"/>
          <w:sz w:val="36"/>
          <w:szCs w:val="36"/>
        </w:rPr>
      </w:pPr>
    </w:p>
    <w:p w14:paraId="7B98498A">
      <w:pPr>
        <w:adjustRightInd w:val="0"/>
        <w:snapToGrid w:val="0"/>
        <w:spacing w:line="360" w:lineRule="auto"/>
        <w:rPr>
          <w:rFonts w:hint="eastAsia" w:ascii="黑体" w:hAnsi="黑体" w:eastAsia="黑体" w:cs="黑体"/>
          <w:snapToGrid w:val="0"/>
          <w:kern w:val="0"/>
          <w:sz w:val="36"/>
          <w:szCs w:val="36"/>
        </w:rPr>
      </w:pPr>
    </w:p>
    <w:p w14:paraId="5E09D079">
      <w:pPr>
        <w:adjustRightInd w:val="0"/>
        <w:snapToGrid w:val="0"/>
        <w:spacing w:line="360" w:lineRule="auto"/>
        <w:rPr>
          <w:rFonts w:hint="eastAsia" w:ascii="黑体" w:hAnsi="黑体" w:eastAsia="黑体" w:cs="黑体"/>
          <w:snapToGrid w:val="0"/>
          <w:kern w:val="0"/>
          <w:sz w:val="32"/>
          <w:szCs w:val="32"/>
        </w:rPr>
      </w:pPr>
      <w:r>
        <w:rPr>
          <w:rFonts w:hint="eastAsia" w:ascii="黑体" w:hAnsi="黑体" w:eastAsia="黑体" w:cs="黑体"/>
          <w:snapToGrid w:val="0"/>
          <w:kern w:val="0"/>
          <w:sz w:val="32"/>
          <w:szCs w:val="32"/>
        </w:rPr>
        <w:t>采购单位：南京市栖霞区迈皋桥社区卫生服务中心</w:t>
      </w:r>
    </w:p>
    <w:p w14:paraId="60AB06BD">
      <w:pPr>
        <w:adjustRightInd w:val="0"/>
        <w:snapToGrid w:val="0"/>
        <w:spacing w:line="360" w:lineRule="auto"/>
        <w:rPr>
          <w:rFonts w:hint="eastAsia" w:ascii="黑体" w:hAnsi="黑体" w:eastAsia="黑体" w:cs="黑体"/>
          <w:snapToGrid w:val="0"/>
          <w:kern w:val="0"/>
          <w:sz w:val="32"/>
          <w:szCs w:val="32"/>
        </w:rPr>
      </w:pPr>
      <w:r>
        <w:rPr>
          <w:rFonts w:hint="eastAsia" w:ascii="黑体" w:hAnsi="黑体" w:eastAsia="黑体" w:cs="黑体"/>
          <w:snapToGrid w:val="0"/>
          <w:kern w:val="0"/>
          <w:sz w:val="32"/>
          <w:szCs w:val="32"/>
        </w:rPr>
        <w:t>招标代理：江苏国衡工程咨询有限公司</w:t>
      </w:r>
    </w:p>
    <w:p w14:paraId="597D1912">
      <w:pPr>
        <w:adjustRightInd w:val="0"/>
        <w:snapToGrid w:val="0"/>
        <w:spacing w:line="360" w:lineRule="auto"/>
        <w:rPr>
          <w:rFonts w:hint="eastAsia" w:ascii="黑体" w:hAnsi="黑体" w:eastAsia="黑体" w:cs="黑体"/>
          <w:snapToGrid w:val="0"/>
          <w:kern w:val="0"/>
          <w:sz w:val="32"/>
          <w:szCs w:val="32"/>
          <w:highlight w:val="yellow"/>
        </w:rPr>
      </w:pPr>
      <w:r>
        <w:rPr>
          <w:rFonts w:hint="eastAsia" w:ascii="黑体" w:hAnsi="黑体" w:eastAsia="黑体" w:cs="黑体"/>
          <w:snapToGrid w:val="0"/>
          <w:kern w:val="0"/>
          <w:sz w:val="32"/>
          <w:szCs w:val="32"/>
        </w:rPr>
        <w:t>采购编号：宁国[2026]-ZB-0014号</w:t>
      </w:r>
    </w:p>
    <w:p w14:paraId="2F37AEDE">
      <w:pPr>
        <w:adjustRightInd w:val="0"/>
        <w:snapToGrid w:val="0"/>
        <w:spacing w:line="360" w:lineRule="auto"/>
        <w:ind w:left="422" w:firstLine="640"/>
        <w:rPr>
          <w:rFonts w:hint="eastAsia" w:ascii="黑体" w:hAnsi="黑体" w:eastAsia="黑体" w:cs="黑体"/>
          <w:snapToGrid w:val="0"/>
          <w:kern w:val="0"/>
          <w:sz w:val="32"/>
          <w:szCs w:val="32"/>
          <w:highlight w:val="yellow"/>
        </w:rPr>
      </w:pPr>
    </w:p>
    <w:p w14:paraId="063C40A3">
      <w:pPr>
        <w:adjustRightInd w:val="0"/>
        <w:snapToGrid w:val="0"/>
        <w:spacing w:line="360" w:lineRule="auto"/>
        <w:ind w:left="422" w:firstLine="640"/>
        <w:rPr>
          <w:rFonts w:hint="eastAsia" w:ascii="黑体" w:hAnsi="黑体" w:eastAsia="黑体" w:cs="黑体"/>
          <w:snapToGrid w:val="0"/>
          <w:kern w:val="0"/>
          <w:sz w:val="32"/>
          <w:szCs w:val="32"/>
        </w:rPr>
      </w:pPr>
    </w:p>
    <w:p w14:paraId="18F28EFF">
      <w:pPr>
        <w:adjustRightInd w:val="0"/>
        <w:snapToGrid w:val="0"/>
        <w:spacing w:line="360" w:lineRule="auto"/>
        <w:rPr>
          <w:rFonts w:hint="eastAsia" w:ascii="黑体" w:hAnsi="黑体" w:eastAsia="黑体" w:cs="黑体"/>
          <w:snapToGrid w:val="0"/>
          <w:kern w:val="0"/>
          <w:sz w:val="32"/>
          <w:szCs w:val="32"/>
        </w:rPr>
      </w:pPr>
    </w:p>
    <w:p w14:paraId="2C64844F">
      <w:pPr>
        <w:adjustRightInd w:val="0"/>
        <w:snapToGrid w:val="0"/>
        <w:spacing w:line="360" w:lineRule="auto"/>
        <w:jc w:val="center"/>
        <w:rPr>
          <w:rFonts w:hint="eastAsia" w:ascii="黑体" w:hAnsi="黑体" w:eastAsia="黑体" w:cs="黑体"/>
          <w:snapToGrid w:val="0"/>
          <w:kern w:val="0"/>
          <w:sz w:val="32"/>
          <w:szCs w:val="32"/>
        </w:rPr>
      </w:pPr>
      <w:r>
        <w:rPr>
          <w:rFonts w:hint="eastAsia" w:ascii="黑体" w:hAnsi="黑体" w:eastAsia="黑体" w:cs="黑体"/>
          <w:snapToGrid w:val="0"/>
          <w:kern w:val="0"/>
          <w:sz w:val="32"/>
          <w:szCs w:val="32"/>
        </w:rPr>
        <w:t>二〇二六年三月</w:t>
      </w:r>
    </w:p>
    <w:p w14:paraId="2734A2F7">
      <w:pPr>
        <w:adjustRightInd w:val="0"/>
        <w:snapToGrid w:val="0"/>
        <w:spacing w:line="360" w:lineRule="auto"/>
        <w:ind w:left="422" w:firstLine="640"/>
        <w:jc w:val="center"/>
        <w:rPr>
          <w:rFonts w:hint="eastAsia" w:ascii="黑体" w:hAnsi="黑体" w:eastAsia="黑体" w:cs="黑体"/>
          <w:snapToGrid w:val="0"/>
          <w:kern w:val="0"/>
          <w:sz w:val="32"/>
          <w:szCs w:val="32"/>
        </w:rPr>
      </w:pPr>
    </w:p>
    <w:p w14:paraId="295CB686">
      <w:pPr>
        <w:adjustRightInd w:val="0"/>
        <w:snapToGrid w:val="0"/>
        <w:spacing w:line="360" w:lineRule="auto"/>
        <w:rPr>
          <w:rFonts w:hint="eastAsia" w:ascii="黑体" w:hAnsi="黑体" w:eastAsia="黑体" w:cs="黑体"/>
          <w:snapToGrid w:val="0"/>
          <w:kern w:val="0"/>
          <w:sz w:val="32"/>
          <w:szCs w:val="32"/>
        </w:rPr>
      </w:pPr>
    </w:p>
    <w:p w14:paraId="64D2EF85">
      <w:pPr>
        <w:adjustRightInd w:val="0"/>
        <w:snapToGrid w:val="0"/>
        <w:spacing w:line="360" w:lineRule="auto"/>
        <w:ind w:left="422" w:firstLine="640"/>
        <w:jc w:val="center"/>
        <w:rPr>
          <w:rFonts w:hint="eastAsia" w:ascii="黑体" w:hAnsi="黑体" w:eastAsia="黑体" w:cs="黑体"/>
          <w:snapToGrid w:val="0"/>
          <w:kern w:val="0"/>
          <w:sz w:val="32"/>
          <w:szCs w:val="32"/>
        </w:rPr>
      </w:pPr>
    </w:p>
    <w:p w14:paraId="0B3BAE0A">
      <w:pPr>
        <w:pStyle w:val="2"/>
        <w:ind w:left="422"/>
      </w:pPr>
    </w:p>
    <w:sdt>
      <w:sdtPr>
        <w:rPr>
          <w:rFonts w:ascii="宋体" w:hAnsi="宋体" w:eastAsia="宋体"/>
        </w:rPr>
        <w:id w:val="147461791"/>
        <w:docPartObj>
          <w:docPartGallery w:val="Table of Contents"/>
          <w:docPartUnique/>
        </w:docPartObj>
      </w:sdtPr>
      <w:sdtEndPr>
        <w:rPr>
          <w:rFonts w:ascii="宋体" w:hAnsi="宋体" w:eastAsia="宋体"/>
        </w:rPr>
      </w:sdtEndPr>
      <w:sdtContent>
        <w:p w14:paraId="0B907E9E">
          <w:pPr>
            <w:ind w:left="422"/>
            <w:jc w:val="center"/>
          </w:pPr>
          <w:bookmarkStart w:id="0" w:name="_Toc27105"/>
          <w:bookmarkStart w:id="1" w:name="_Toc507142084"/>
          <w:r>
            <w:rPr>
              <w:rFonts w:ascii="宋体" w:hAnsi="宋体" w:eastAsia="宋体"/>
              <w:sz w:val="32"/>
              <w:szCs w:val="32"/>
            </w:rPr>
            <w:t>目录</w:t>
          </w:r>
        </w:p>
        <w:p w14:paraId="415623BA">
          <w:pPr>
            <w:pStyle w:val="103"/>
            <w:tabs>
              <w:tab w:val="right" w:leader="dot" w:pos="8306"/>
            </w:tabs>
            <w:spacing w:line="480" w:lineRule="auto"/>
          </w:pPr>
          <w:r>
            <w:fldChar w:fldCharType="begin"/>
          </w:r>
          <w:r>
            <w:instrText xml:space="preserve">TOC \o "1-1" \h \u </w:instrText>
          </w:r>
          <w:r>
            <w:fldChar w:fldCharType="separate"/>
          </w:r>
          <w:r>
            <w:fldChar w:fldCharType="begin"/>
          </w:r>
          <w:r>
            <w:instrText xml:space="preserve"> HYPERLINK \l "_Toc6687" </w:instrText>
          </w:r>
          <w:r>
            <w:fldChar w:fldCharType="separate"/>
          </w:r>
          <w:r>
            <w:rPr>
              <w:rFonts w:hint="eastAsia" w:ascii="黑体" w:hAnsi="黑体" w:eastAsia="黑体" w:cs="黑体"/>
              <w:snapToGrid w:val="0"/>
              <w:szCs w:val="24"/>
            </w:rPr>
            <w:t>一、竞</w:t>
          </w:r>
          <w:r>
            <w:rPr>
              <w:rFonts w:ascii="Times New Roman" w:eastAsia="黑体"/>
              <w:snapToGrid w:val="0"/>
              <w:szCs w:val="24"/>
            </w:rPr>
            <w:t>争性磋商采购公告</w:t>
          </w:r>
          <w:r>
            <w:tab/>
          </w:r>
          <w:r>
            <w:fldChar w:fldCharType="begin"/>
          </w:r>
          <w:r>
            <w:instrText xml:space="preserve"> PAGEREF _Toc6687 \h </w:instrText>
          </w:r>
          <w:r>
            <w:fldChar w:fldCharType="separate"/>
          </w:r>
          <w:r>
            <w:t>1</w:t>
          </w:r>
          <w:r>
            <w:fldChar w:fldCharType="end"/>
          </w:r>
          <w:r>
            <w:fldChar w:fldCharType="end"/>
          </w:r>
        </w:p>
        <w:p w14:paraId="20A5767B">
          <w:pPr>
            <w:pStyle w:val="103"/>
            <w:tabs>
              <w:tab w:val="right" w:leader="dot" w:pos="8306"/>
            </w:tabs>
            <w:spacing w:line="480" w:lineRule="auto"/>
          </w:pPr>
          <w:r>
            <w:fldChar w:fldCharType="begin"/>
          </w:r>
          <w:r>
            <w:instrText xml:space="preserve"> HYPERLINK \l "_Toc32474" </w:instrText>
          </w:r>
          <w:r>
            <w:fldChar w:fldCharType="separate"/>
          </w:r>
          <w:r>
            <w:rPr>
              <w:rFonts w:hint="eastAsia" w:ascii="黑体" w:hAnsi="黑体" w:eastAsia="黑体" w:cs="黑体"/>
              <w:snapToGrid w:val="0"/>
              <w:szCs w:val="24"/>
            </w:rPr>
            <w:t>二、</w:t>
          </w:r>
          <w:r>
            <w:rPr>
              <w:rFonts w:hint="eastAsia" w:ascii="黑体" w:hAnsi="黑体" w:eastAsia="黑体" w:cs="黑体"/>
              <w:szCs w:val="21"/>
            </w:rPr>
            <w:t>供应商须知前附表</w:t>
          </w:r>
          <w:r>
            <w:tab/>
          </w:r>
          <w:r>
            <w:fldChar w:fldCharType="begin"/>
          </w:r>
          <w:r>
            <w:instrText xml:space="preserve"> PAGEREF _Toc32474 \h </w:instrText>
          </w:r>
          <w:r>
            <w:fldChar w:fldCharType="separate"/>
          </w:r>
          <w:r>
            <w:t>4</w:t>
          </w:r>
          <w:r>
            <w:fldChar w:fldCharType="end"/>
          </w:r>
          <w:r>
            <w:fldChar w:fldCharType="end"/>
          </w:r>
        </w:p>
        <w:p w14:paraId="06BF1358">
          <w:pPr>
            <w:pStyle w:val="103"/>
            <w:tabs>
              <w:tab w:val="right" w:leader="dot" w:pos="8306"/>
            </w:tabs>
            <w:spacing w:line="480" w:lineRule="auto"/>
          </w:pPr>
          <w:r>
            <w:fldChar w:fldCharType="begin"/>
          </w:r>
          <w:r>
            <w:instrText xml:space="preserve"> HYPERLINK \l "_Toc22051" </w:instrText>
          </w:r>
          <w:r>
            <w:fldChar w:fldCharType="separate"/>
          </w:r>
          <w:r>
            <w:rPr>
              <w:rFonts w:hint="eastAsia" w:ascii="黑体" w:hAnsi="黑体" w:eastAsia="黑体" w:cs="黑体"/>
              <w:snapToGrid w:val="0"/>
              <w:szCs w:val="24"/>
            </w:rPr>
            <w:t>三、供应商须知</w:t>
          </w:r>
          <w:r>
            <w:tab/>
          </w:r>
          <w:r>
            <w:fldChar w:fldCharType="begin"/>
          </w:r>
          <w:r>
            <w:instrText xml:space="preserve"> PAGEREF _Toc22051 \h </w:instrText>
          </w:r>
          <w:r>
            <w:fldChar w:fldCharType="separate"/>
          </w:r>
          <w:r>
            <w:t>6</w:t>
          </w:r>
          <w:r>
            <w:fldChar w:fldCharType="end"/>
          </w:r>
          <w:r>
            <w:fldChar w:fldCharType="end"/>
          </w:r>
        </w:p>
        <w:p w14:paraId="6B55D575">
          <w:pPr>
            <w:pStyle w:val="103"/>
            <w:tabs>
              <w:tab w:val="right" w:leader="dot" w:pos="8306"/>
            </w:tabs>
            <w:spacing w:line="480" w:lineRule="auto"/>
          </w:pPr>
          <w:r>
            <w:fldChar w:fldCharType="begin"/>
          </w:r>
          <w:r>
            <w:instrText xml:space="preserve"> HYPERLINK \l "_Toc26331" </w:instrText>
          </w:r>
          <w:r>
            <w:fldChar w:fldCharType="separate"/>
          </w:r>
          <w:r>
            <w:rPr>
              <w:rFonts w:hint="eastAsia" w:ascii="黑体" w:hAnsi="黑体" w:eastAsia="黑体" w:cs="黑体"/>
              <w:snapToGrid w:val="0"/>
              <w:szCs w:val="24"/>
            </w:rPr>
            <w:t>四、评标办法和标准</w:t>
          </w:r>
          <w:r>
            <w:tab/>
          </w:r>
          <w:r>
            <w:fldChar w:fldCharType="begin"/>
          </w:r>
          <w:r>
            <w:instrText xml:space="preserve"> PAGEREF _Toc26331 \h </w:instrText>
          </w:r>
          <w:r>
            <w:fldChar w:fldCharType="separate"/>
          </w:r>
          <w:r>
            <w:t>15</w:t>
          </w:r>
          <w:r>
            <w:fldChar w:fldCharType="end"/>
          </w:r>
          <w:r>
            <w:fldChar w:fldCharType="end"/>
          </w:r>
        </w:p>
        <w:p w14:paraId="56EAD613">
          <w:pPr>
            <w:pStyle w:val="103"/>
            <w:tabs>
              <w:tab w:val="right" w:leader="dot" w:pos="8306"/>
            </w:tabs>
            <w:spacing w:line="480" w:lineRule="auto"/>
          </w:pPr>
          <w:r>
            <w:fldChar w:fldCharType="begin"/>
          </w:r>
          <w:r>
            <w:instrText xml:space="preserve"> HYPERLINK \l "_Toc4585" </w:instrText>
          </w:r>
          <w:r>
            <w:fldChar w:fldCharType="separate"/>
          </w:r>
          <w:r>
            <w:rPr>
              <w:rFonts w:hint="eastAsia" w:ascii="黑体" w:hAnsi="黑体" w:eastAsia="黑体" w:cs="黑体"/>
              <w:snapToGrid w:val="0"/>
              <w:szCs w:val="24"/>
            </w:rPr>
            <w:t>五、采购需求</w:t>
          </w:r>
          <w:r>
            <w:tab/>
          </w:r>
          <w:r>
            <w:fldChar w:fldCharType="begin"/>
          </w:r>
          <w:r>
            <w:instrText xml:space="preserve"> PAGEREF _Toc4585 \h </w:instrText>
          </w:r>
          <w:r>
            <w:fldChar w:fldCharType="separate"/>
          </w:r>
          <w:r>
            <w:t>18</w:t>
          </w:r>
          <w:r>
            <w:fldChar w:fldCharType="end"/>
          </w:r>
          <w:r>
            <w:fldChar w:fldCharType="end"/>
          </w:r>
        </w:p>
        <w:p w14:paraId="0A237863">
          <w:pPr>
            <w:pStyle w:val="103"/>
            <w:tabs>
              <w:tab w:val="right" w:leader="dot" w:pos="8306"/>
            </w:tabs>
            <w:spacing w:line="480" w:lineRule="auto"/>
          </w:pPr>
          <w:r>
            <w:fldChar w:fldCharType="begin"/>
          </w:r>
          <w:r>
            <w:instrText xml:space="preserve"> HYPERLINK \l "_Toc22094" </w:instrText>
          </w:r>
          <w:r>
            <w:fldChar w:fldCharType="separate"/>
          </w:r>
          <w:r>
            <w:rPr>
              <w:rFonts w:hint="eastAsia" w:ascii="黑体" w:hAnsi="黑体" w:eastAsia="黑体" w:cs="黑体"/>
              <w:snapToGrid w:val="0"/>
              <w:szCs w:val="24"/>
            </w:rPr>
            <w:t>六、采购合同书（参考格式文本）</w:t>
          </w:r>
          <w:r>
            <w:tab/>
          </w:r>
          <w:r>
            <w:fldChar w:fldCharType="begin"/>
          </w:r>
          <w:r>
            <w:instrText xml:space="preserve"> PAGEREF _Toc22094 \h </w:instrText>
          </w:r>
          <w:r>
            <w:fldChar w:fldCharType="separate"/>
          </w:r>
          <w:r>
            <w:t>22</w:t>
          </w:r>
          <w:r>
            <w:fldChar w:fldCharType="end"/>
          </w:r>
          <w:r>
            <w:fldChar w:fldCharType="end"/>
          </w:r>
        </w:p>
        <w:p w14:paraId="0DCE2D82">
          <w:pPr>
            <w:pStyle w:val="103"/>
            <w:tabs>
              <w:tab w:val="right" w:leader="dot" w:pos="8306"/>
            </w:tabs>
            <w:spacing w:line="480" w:lineRule="auto"/>
          </w:pPr>
          <w:r>
            <w:fldChar w:fldCharType="begin"/>
          </w:r>
          <w:r>
            <w:instrText xml:space="preserve"> HYPERLINK \l "_Toc24800" </w:instrText>
          </w:r>
          <w:r>
            <w:fldChar w:fldCharType="separate"/>
          </w:r>
          <w:r>
            <w:rPr>
              <w:rFonts w:hint="eastAsia" w:ascii="黑体" w:hAnsi="黑体" w:eastAsia="黑体" w:cs="黑体"/>
              <w:snapToGrid w:val="0"/>
              <w:szCs w:val="24"/>
            </w:rPr>
            <w:t>七、 附件（响应文件格式）</w:t>
          </w:r>
          <w:r>
            <w:tab/>
          </w:r>
          <w:r>
            <w:fldChar w:fldCharType="begin"/>
          </w:r>
          <w:r>
            <w:instrText xml:space="preserve"> PAGEREF _Toc24800 \h </w:instrText>
          </w:r>
          <w:r>
            <w:fldChar w:fldCharType="separate"/>
          </w:r>
          <w:r>
            <w:t>27</w:t>
          </w:r>
          <w:r>
            <w:fldChar w:fldCharType="end"/>
          </w:r>
          <w:r>
            <w:fldChar w:fldCharType="end"/>
          </w:r>
        </w:p>
        <w:p w14:paraId="39B488E7">
          <w:pPr>
            <w:pStyle w:val="103"/>
            <w:tabs>
              <w:tab w:val="right" w:leader="dot" w:pos="8306"/>
            </w:tabs>
          </w:pPr>
        </w:p>
        <w:p w14:paraId="5DF4D3FE">
          <w:pPr>
            <w:ind w:left="422"/>
          </w:pPr>
          <w:r>
            <w:fldChar w:fldCharType="end"/>
          </w:r>
        </w:p>
      </w:sdtContent>
    </w:sdt>
    <w:p w14:paraId="14759B75">
      <w:pPr>
        <w:ind w:left="422"/>
      </w:pPr>
    </w:p>
    <w:p w14:paraId="7ED9855B">
      <w:pPr>
        <w:widowControl/>
        <w:jc w:val="left"/>
        <w:rPr>
          <w:rFonts w:hint="eastAsia" w:ascii="黑体" w:hAnsi="黑体" w:eastAsia="黑体" w:cs="黑体"/>
          <w:snapToGrid w:val="0"/>
          <w:kern w:val="0"/>
          <w:sz w:val="24"/>
          <w:szCs w:val="24"/>
        </w:rPr>
      </w:pPr>
      <w:bookmarkStart w:id="2" w:name="_Toc6687"/>
      <w:r>
        <w:rPr>
          <w:rFonts w:hint="eastAsia" w:ascii="黑体" w:hAnsi="黑体" w:eastAsia="黑体" w:cs="黑体"/>
          <w:snapToGrid w:val="0"/>
          <w:kern w:val="0"/>
          <w:sz w:val="24"/>
          <w:szCs w:val="24"/>
        </w:rPr>
        <w:br w:type="page"/>
      </w:r>
    </w:p>
    <w:p w14:paraId="0A93EEED">
      <w:pPr>
        <w:sectPr>
          <w:footerReference r:id="rId6" w:type="first"/>
          <w:headerReference r:id="rId3" w:type="default"/>
          <w:footerReference r:id="rId4" w:type="default"/>
          <w:footerReference r:id="rId5" w:type="even"/>
          <w:pgSz w:w="11906" w:h="16838"/>
          <w:pgMar w:top="1440" w:right="1644" w:bottom="1440" w:left="1644" w:header="624" w:footer="907" w:gutter="0"/>
          <w:pgNumType w:fmt="upperRoman"/>
          <w:cols w:space="720" w:num="1"/>
          <w:titlePg/>
          <w:docGrid w:type="linesAndChars" w:linePitch="312" w:charSpace="0"/>
        </w:sectPr>
      </w:pPr>
    </w:p>
    <w:p w14:paraId="53E1F539"/>
    <w:p w14:paraId="1E896B3E">
      <w:pPr>
        <w:pStyle w:val="3"/>
        <w:rPr>
          <w:rFonts w:hint="eastAsia"/>
        </w:rPr>
      </w:pPr>
      <w:r>
        <w:rPr>
          <w:rFonts w:hint="eastAsia"/>
        </w:rPr>
        <w:t>一、竞</w:t>
      </w:r>
      <w:r>
        <w:t>争性磋商采购公告</w:t>
      </w:r>
      <w:bookmarkEnd w:id="0"/>
      <w:bookmarkEnd w:id="1"/>
      <w:bookmarkEnd w:id="2"/>
    </w:p>
    <w:p w14:paraId="18E3F3B5"/>
    <w:p w14:paraId="7C09137C">
      <w:pPr>
        <w:adjustRightInd w:val="0"/>
        <w:snapToGrid w:val="0"/>
        <w:spacing w:line="360" w:lineRule="auto"/>
        <w:ind w:firstLine="420" w:firstLineChars="200"/>
        <w:rPr>
          <w:rFonts w:hint="eastAsia" w:ascii="黑体" w:hAnsi="黑体" w:eastAsia="黑体" w:cs="黑体"/>
          <w:snapToGrid w:val="0"/>
          <w:kern w:val="0"/>
          <w:szCs w:val="21"/>
        </w:rPr>
      </w:pPr>
      <w:r>
        <w:rPr>
          <w:rFonts w:hint="eastAsia" w:ascii="黑体" w:hAnsi="黑体" w:eastAsia="黑体" w:cs="黑体"/>
          <w:snapToGrid w:val="0"/>
          <w:kern w:val="0"/>
          <w:szCs w:val="21"/>
        </w:rPr>
        <w:t>项目概况</w:t>
      </w:r>
    </w:p>
    <w:p w14:paraId="033D66C0">
      <w:pPr>
        <w:adjustRightInd w:val="0"/>
        <w:snapToGrid w:val="0"/>
        <w:spacing w:line="360" w:lineRule="auto"/>
        <w:ind w:firstLine="420" w:firstLineChars="200"/>
        <w:rPr>
          <w:rFonts w:hint="eastAsia" w:ascii="黑体" w:hAnsi="黑体" w:eastAsia="黑体" w:cs="黑体"/>
          <w:snapToGrid w:val="0"/>
          <w:kern w:val="0"/>
          <w:szCs w:val="21"/>
        </w:rPr>
      </w:pPr>
      <w:bookmarkStart w:id="3" w:name="OLE_LINK3"/>
      <w:r>
        <w:rPr>
          <w:rFonts w:hint="eastAsia" w:ascii="黑体" w:hAnsi="黑体" w:eastAsia="黑体" w:cs="黑体"/>
          <w:snapToGrid w:val="0"/>
          <w:kern w:val="0"/>
          <w:szCs w:val="21"/>
          <w:u w:val="single"/>
        </w:rPr>
        <w:t xml:space="preserve"> 南京市栖霞区迈皋桥社区卫生服务中心</w:t>
      </w:r>
      <w:bookmarkEnd w:id="3"/>
      <w:r>
        <w:rPr>
          <w:rFonts w:hint="eastAsia" w:ascii="黑体" w:hAnsi="黑体" w:eastAsia="黑体" w:cs="黑体"/>
          <w:snapToGrid w:val="0"/>
          <w:kern w:val="0"/>
          <w:szCs w:val="21"/>
          <w:u w:val="single"/>
        </w:rPr>
        <w:t xml:space="preserve"> </w:t>
      </w:r>
      <w:r>
        <w:rPr>
          <w:rFonts w:hint="eastAsia" w:ascii="黑体" w:hAnsi="黑体" w:eastAsia="黑体" w:cs="黑体"/>
          <w:snapToGrid w:val="0"/>
          <w:kern w:val="0"/>
          <w:szCs w:val="21"/>
        </w:rPr>
        <w:t>的</w:t>
      </w:r>
      <w:r>
        <w:rPr>
          <w:rFonts w:hint="eastAsia" w:ascii="黑体" w:hAnsi="黑体" w:eastAsia="黑体" w:cs="黑体"/>
          <w:snapToGrid w:val="0"/>
          <w:kern w:val="0"/>
          <w:szCs w:val="21"/>
          <w:u w:val="single"/>
        </w:rPr>
        <w:t xml:space="preserve">南京市栖霞区迈皋桥社区卫生服务中心儿童眼保健服务采购项目 </w:t>
      </w:r>
      <w:r>
        <w:rPr>
          <w:rFonts w:hint="eastAsia" w:ascii="黑体" w:hAnsi="黑体" w:eastAsia="黑体" w:cs="黑体"/>
          <w:snapToGrid w:val="0"/>
          <w:color w:val="000000" w:themeColor="text1"/>
          <w:kern w:val="0"/>
          <w:szCs w:val="21"/>
          <w14:textFill>
            <w14:solidFill>
              <w14:schemeClr w14:val="tx1"/>
            </w14:solidFill>
          </w14:textFill>
        </w:rPr>
        <w:t>的潜在供应商应在南京市秦淮区洪武路23号隆盛大厦5楼获取采购文件，并于</w:t>
      </w:r>
      <w:r>
        <w:rPr>
          <w:rFonts w:hint="eastAsia" w:ascii="黑体" w:hAnsi="黑体" w:eastAsia="黑体" w:cs="黑体"/>
          <w:snapToGrid w:val="0"/>
          <w:color w:val="000000" w:themeColor="text1"/>
          <w:kern w:val="0"/>
          <w:szCs w:val="21"/>
          <w:lang w:eastAsia="zh-CN"/>
          <w14:textFill>
            <w14:solidFill>
              <w14:schemeClr w14:val="tx1"/>
            </w14:solidFill>
          </w14:textFill>
        </w:rPr>
        <w:t>2026年3月</w:t>
      </w:r>
      <w:r>
        <w:rPr>
          <w:rFonts w:hint="eastAsia" w:ascii="黑体" w:hAnsi="黑体" w:eastAsia="黑体" w:cs="黑体"/>
          <w:snapToGrid w:val="0"/>
          <w:color w:val="000000" w:themeColor="text1"/>
          <w:kern w:val="0"/>
          <w:szCs w:val="21"/>
          <w:u w:val="single"/>
          <w14:textFill>
            <w14:solidFill>
              <w14:schemeClr w14:val="tx1"/>
            </w14:solidFill>
          </w14:textFill>
        </w:rPr>
        <w:t xml:space="preserve"> 19 </w:t>
      </w:r>
      <w:r>
        <w:rPr>
          <w:rFonts w:hint="eastAsia" w:ascii="黑体" w:hAnsi="黑体" w:eastAsia="黑体" w:cs="黑体"/>
          <w:snapToGrid w:val="0"/>
          <w:color w:val="000000" w:themeColor="text1"/>
          <w:kern w:val="0"/>
          <w:szCs w:val="21"/>
          <w14:textFill>
            <w14:solidFill>
              <w14:schemeClr w14:val="tx1"/>
            </w14:solidFill>
          </w14:textFill>
        </w:rPr>
        <w:t>日</w:t>
      </w:r>
      <w:r>
        <w:rPr>
          <w:rFonts w:hint="eastAsia" w:ascii="黑体" w:hAnsi="黑体" w:eastAsia="黑体" w:cs="黑体"/>
          <w:snapToGrid w:val="0"/>
          <w:color w:val="000000" w:themeColor="text1"/>
          <w:kern w:val="0"/>
          <w:szCs w:val="21"/>
          <w:u w:val="single"/>
          <w14:textFill>
            <w14:solidFill>
              <w14:schemeClr w14:val="tx1"/>
            </w14:solidFill>
          </w14:textFill>
        </w:rPr>
        <w:t xml:space="preserve">  14 </w:t>
      </w:r>
      <w:r>
        <w:rPr>
          <w:rFonts w:hint="eastAsia" w:ascii="黑体" w:hAnsi="黑体" w:eastAsia="黑体" w:cs="黑体"/>
          <w:snapToGrid w:val="0"/>
          <w:color w:val="000000" w:themeColor="text1"/>
          <w:kern w:val="0"/>
          <w:szCs w:val="21"/>
          <w14:textFill>
            <w14:solidFill>
              <w14:schemeClr w14:val="tx1"/>
            </w14:solidFill>
          </w14:textFill>
        </w:rPr>
        <w:t>点</w:t>
      </w:r>
      <w:r>
        <w:rPr>
          <w:rFonts w:hint="eastAsia" w:ascii="黑体" w:hAnsi="黑体" w:eastAsia="黑体" w:cs="黑体"/>
          <w:snapToGrid w:val="0"/>
          <w:color w:val="000000" w:themeColor="text1"/>
          <w:kern w:val="0"/>
          <w:szCs w:val="21"/>
          <w:u w:val="single"/>
          <w14:textFill>
            <w14:solidFill>
              <w14:schemeClr w14:val="tx1"/>
            </w14:solidFill>
          </w14:textFill>
        </w:rPr>
        <w:t xml:space="preserve"> 30 </w:t>
      </w:r>
      <w:r>
        <w:rPr>
          <w:rFonts w:hint="eastAsia" w:ascii="黑体" w:hAnsi="黑体" w:eastAsia="黑体" w:cs="黑体"/>
          <w:snapToGrid w:val="0"/>
          <w:color w:val="000000" w:themeColor="text1"/>
          <w:kern w:val="0"/>
          <w:szCs w:val="21"/>
          <w14:textFill>
            <w14:solidFill>
              <w14:schemeClr w14:val="tx1"/>
            </w14:solidFill>
          </w14:textFill>
        </w:rPr>
        <w:t>分（北京</w:t>
      </w:r>
      <w:r>
        <w:rPr>
          <w:rFonts w:hint="eastAsia" w:ascii="黑体" w:hAnsi="黑体" w:eastAsia="黑体" w:cs="黑体"/>
          <w:snapToGrid w:val="0"/>
          <w:kern w:val="0"/>
          <w:szCs w:val="21"/>
        </w:rPr>
        <w:t>时间）前提交响应文件。</w:t>
      </w:r>
    </w:p>
    <w:p w14:paraId="659B7A09">
      <w:pPr>
        <w:spacing w:line="480" w:lineRule="exact"/>
        <w:ind w:firstLine="420" w:firstLineChars="200"/>
        <w:jc w:val="left"/>
        <w:rPr>
          <w:rFonts w:hint="eastAsia" w:ascii="黑体" w:hAnsi="黑体" w:eastAsia="黑体" w:cs="黑体"/>
          <w:snapToGrid w:val="0"/>
          <w:kern w:val="0"/>
          <w:szCs w:val="21"/>
        </w:rPr>
      </w:pPr>
      <w:r>
        <w:rPr>
          <w:rFonts w:hint="eastAsia" w:ascii="黑体" w:hAnsi="黑体" w:eastAsia="黑体" w:cs="黑体"/>
          <w:szCs w:val="32"/>
          <w:u w:val="single"/>
        </w:rPr>
        <w:t>江苏国衡工程咨询有限公司</w:t>
      </w:r>
      <w:r>
        <w:rPr>
          <w:rFonts w:ascii="黑体" w:hAnsi="黑体" w:eastAsia="黑体" w:cs="黑体"/>
          <w:szCs w:val="32"/>
        </w:rPr>
        <w:t>受</w:t>
      </w:r>
      <w:r>
        <w:rPr>
          <w:rFonts w:hint="eastAsia" w:ascii="黑体" w:hAnsi="黑体" w:eastAsia="黑体" w:cs="黑体"/>
          <w:szCs w:val="32"/>
          <w:u w:val="single"/>
        </w:rPr>
        <w:t xml:space="preserve"> </w:t>
      </w:r>
      <w:r>
        <w:rPr>
          <w:rFonts w:hint="eastAsia" w:ascii="黑体" w:hAnsi="黑体" w:eastAsia="黑体" w:cs="黑体"/>
          <w:snapToGrid w:val="0"/>
          <w:kern w:val="0"/>
          <w:szCs w:val="21"/>
          <w:u w:val="single"/>
        </w:rPr>
        <w:t>南京市栖霞区迈皋桥社区卫生服务中心</w:t>
      </w:r>
      <w:r>
        <w:rPr>
          <w:rFonts w:hint="eastAsia" w:ascii="黑体" w:hAnsi="黑体" w:eastAsia="黑体" w:cs="黑体"/>
          <w:szCs w:val="32"/>
          <w:u w:val="single"/>
        </w:rPr>
        <w:t xml:space="preserve"> </w:t>
      </w:r>
      <w:r>
        <w:rPr>
          <w:rFonts w:eastAsia="黑体"/>
          <w:szCs w:val="32"/>
        </w:rPr>
        <w:t>的</w:t>
      </w:r>
      <w:r>
        <w:rPr>
          <w:rFonts w:hint="eastAsia" w:ascii="黑体" w:hAnsi="黑体" w:eastAsia="黑体" w:cs="黑体"/>
          <w:szCs w:val="32"/>
        </w:rPr>
        <w:t>委托</w:t>
      </w:r>
      <w:r>
        <w:rPr>
          <w:rFonts w:hint="eastAsia" w:ascii="黑体" w:hAnsi="黑体" w:eastAsia="黑体" w:cs="黑体"/>
          <w:snapToGrid w:val="0"/>
          <w:kern w:val="0"/>
          <w:szCs w:val="21"/>
        </w:rPr>
        <w:t>，对</w:t>
      </w:r>
      <w:r>
        <w:rPr>
          <w:rFonts w:hint="eastAsia" w:ascii="黑体" w:hAnsi="黑体" w:eastAsia="黑体" w:cs="黑体"/>
          <w:szCs w:val="32"/>
          <w:u w:val="single"/>
        </w:rPr>
        <w:t>南京市栖霞区迈皋桥社区卫生服务中心儿童眼保健服务采购项目</w:t>
      </w:r>
      <w:r>
        <w:rPr>
          <w:rFonts w:hint="eastAsia" w:ascii="黑体" w:hAnsi="黑体" w:eastAsia="黑体" w:cs="黑体"/>
          <w:szCs w:val="32"/>
        </w:rPr>
        <w:t>进行竞争性磋商采购，</w:t>
      </w:r>
      <w:r>
        <w:rPr>
          <w:rFonts w:hint="eastAsia" w:ascii="黑体" w:hAnsi="黑体" w:eastAsia="黑体" w:cs="黑体"/>
          <w:snapToGrid w:val="0"/>
          <w:kern w:val="0"/>
          <w:szCs w:val="21"/>
        </w:rPr>
        <w:t>现欢迎符合相关条件的供应商前来参加。</w:t>
      </w:r>
    </w:p>
    <w:p w14:paraId="18A5A482">
      <w:pPr>
        <w:pStyle w:val="4"/>
      </w:pPr>
      <w:bookmarkStart w:id="4" w:name="_Toc28350"/>
      <w:bookmarkStart w:id="5" w:name="_Toc32397"/>
      <w:r>
        <w:rPr>
          <w:rFonts w:hint="eastAsia"/>
        </w:rPr>
        <w:t>（一）项目基本情况</w:t>
      </w:r>
      <w:bookmarkEnd w:id="4"/>
      <w:bookmarkEnd w:id="5"/>
    </w:p>
    <w:p w14:paraId="25A4D5A9">
      <w:pPr>
        <w:adjustRightInd w:val="0"/>
        <w:snapToGrid w:val="0"/>
        <w:spacing w:line="480" w:lineRule="exact"/>
        <w:ind w:firstLine="420" w:firstLineChars="200"/>
        <w:rPr>
          <w:rFonts w:hint="eastAsia" w:ascii="黑体" w:hAnsi="黑体" w:eastAsia="黑体" w:cs="黑体"/>
          <w:snapToGrid w:val="0"/>
          <w:kern w:val="0"/>
          <w:szCs w:val="21"/>
          <w:u w:val="single"/>
        </w:rPr>
      </w:pPr>
      <w:r>
        <w:rPr>
          <w:rFonts w:hint="eastAsia" w:ascii="黑体" w:hAnsi="黑体" w:eastAsia="黑体" w:cs="黑体"/>
          <w:snapToGrid w:val="0"/>
          <w:kern w:val="0"/>
          <w:szCs w:val="21"/>
        </w:rPr>
        <w:t>项目编号：宁国[2026]-ZB-0014号</w:t>
      </w:r>
    </w:p>
    <w:p w14:paraId="3FA58458">
      <w:pPr>
        <w:adjustRightInd w:val="0"/>
        <w:snapToGrid w:val="0"/>
        <w:spacing w:line="480" w:lineRule="exact"/>
        <w:ind w:firstLine="420" w:firstLineChars="200"/>
        <w:rPr>
          <w:rFonts w:hint="eastAsia" w:ascii="黑体" w:hAnsi="黑体" w:eastAsia="黑体" w:cs="黑体"/>
          <w:szCs w:val="32"/>
        </w:rPr>
      </w:pPr>
      <w:r>
        <w:rPr>
          <w:rFonts w:hint="eastAsia" w:ascii="黑体" w:hAnsi="黑体" w:eastAsia="黑体" w:cs="黑体"/>
          <w:snapToGrid w:val="0"/>
          <w:kern w:val="0"/>
          <w:szCs w:val="21"/>
        </w:rPr>
        <w:t>项目名称：</w:t>
      </w:r>
      <w:r>
        <w:rPr>
          <w:rFonts w:hint="eastAsia" w:ascii="黑体" w:hAnsi="黑体" w:eastAsia="黑体" w:cs="黑体"/>
          <w:szCs w:val="32"/>
        </w:rPr>
        <w:t>南京市栖霞区迈皋桥社区卫生服务中心儿童眼保健服务采购项目</w:t>
      </w:r>
    </w:p>
    <w:p w14:paraId="4BD2F68A">
      <w:pPr>
        <w:adjustRightInd w:val="0"/>
        <w:snapToGrid w:val="0"/>
        <w:spacing w:line="480" w:lineRule="exact"/>
        <w:ind w:firstLine="420" w:firstLineChars="200"/>
        <w:rPr>
          <w:rFonts w:hint="eastAsia" w:ascii="黑体" w:hAnsi="黑体" w:eastAsia="黑体" w:cs="黑体"/>
          <w:snapToGrid w:val="0"/>
          <w:kern w:val="0"/>
          <w:szCs w:val="21"/>
        </w:rPr>
      </w:pPr>
      <w:r>
        <w:rPr>
          <w:rFonts w:hint="eastAsia" w:ascii="黑体" w:hAnsi="黑体" w:eastAsia="黑体" w:cs="黑体"/>
          <w:snapToGrid w:val="0"/>
          <w:kern w:val="0"/>
          <w:szCs w:val="21"/>
        </w:rPr>
        <w:t xml:space="preserve">采购方式：竞争性磋商 </w:t>
      </w:r>
    </w:p>
    <w:p w14:paraId="7748EC6A">
      <w:pPr>
        <w:adjustRightInd w:val="0"/>
        <w:snapToGrid w:val="0"/>
        <w:spacing w:line="480" w:lineRule="exact"/>
        <w:ind w:firstLine="420" w:firstLineChars="200"/>
        <w:rPr>
          <w:rFonts w:hint="eastAsia" w:ascii="黑体" w:hAnsi="黑体" w:eastAsia="黑体" w:cs="黑体"/>
          <w:snapToGrid w:val="0"/>
          <w:kern w:val="0"/>
          <w:szCs w:val="21"/>
        </w:rPr>
      </w:pPr>
      <w:r>
        <w:rPr>
          <w:rFonts w:ascii="黑体" w:hAnsi="黑体" w:eastAsia="黑体" w:cs="黑体"/>
          <w:snapToGrid w:val="0"/>
          <w:kern w:val="0"/>
          <w:szCs w:val="21"/>
        </w:rPr>
        <w:t>本项目所属行业：</w:t>
      </w:r>
      <w:r>
        <w:rPr>
          <w:rFonts w:hint="eastAsia" w:ascii="黑体" w:hAnsi="黑体" w:eastAsia="黑体" w:cs="黑体"/>
          <w:snapToGrid w:val="0"/>
          <w:kern w:val="0"/>
          <w:szCs w:val="21"/>
        </w:rPr>
        <w:t>其他未列明行业</w:t>
      </w:r>
    </w:p>
    <w:p w14:paraId="2266A4FB">
      <w:pPr>
        <w:adjustRightInd w:val="0"/>
        <w:snapToGrid w:val="0"/>
        <w:spacing w:line="480" w:lineRule="exact"/>
        <w:ind w:firstLine="420" w:firstLineChars="200"/>
        <w:rPr>
          <w:rFonts w:hint="eastAsia" w:ascii="黑体" w:hAnsi="黑体" w:eastAsia="黑体" w:cs="黑体"/>
          <w:snapToGrid w:val="0"/>
          <w:kern w:val="0"/>
          <w:szCs w:val="21"/>
        </w:rPr>
      </w:pPr>
      <w:r>
        <w:rPr>
          <w:rFonts w:hint="eastAsia" w:ascii="黑体" w:hAnsi="黑体" w:eastAsia="黑体" w:cs="黑体"/>
          <w:snapToGrid w:val="0"/>
          <w:kern w:val="0"/>
          <w:szCs w:val="21"/>
        </w:rPr>
        <w:t xml:space="preserve">预算金额：200000元 </w:t>
      </w:r>
    </w:p>
    <w:p w14:paraId="43A28802">
      <w:pPr>
        <w:adjustRightInd w:val="0"/>
        <w:snapToGrid w:val="0"/>
        <w:spacing w:line="480" w:lineRule="exact"/>
        <w:ind w:firstLine="422" w:firstLineChars="200"/>
        <w:rPr>
          <w:rFonts w:hint="eastAsia" w:ascii="黑体" w:hAnsi="黑体" w:eastAsia="黑体" w:cs="黑体"/>
          <w:b/>
          <w:bCs/>
          <w:szCs w:val="32"/>
        </w:rPr>
      </w:pPr>
      <w:r>
        <w:rPr>
          <w:rFonts w:hint="eastAsia" w:ascii="黑体" w:hAnsi="黑体" w:eastAsia="黑体" w:cs="黑体"/>
          <w:b/>
          <w:bCs/>
          <w:snapToGrid w:val="0"/>
          <w:kern w:val="0"/>
          <w:szCs w:val="21"/>
        </w:rPr>
        <w:t>最高限价：</w:t>
      </w:r>
      <w:r>
        <w:rPr>
          <w:rFonts w:hint="eastAsia" w:ascii="黑体" w:hAnsi="黑体" w:eastAsia="黑体" w:cs="黑体"/>
          <w:b/>
          <w:bCs/>
          <w:szCs w:val="32"/>
        </w:rPr>
        <w:t>门诊眼保健基础筛查服务</w:t>
      </w:r>
      <w:r>
        <w:rPr>
          <w:rFonts w:ascii="黑体" w:hAnsi="黑体" w:eastAsia="黑体" w:cs="黑体"/>
          <w:b/>
          <w:bCs/>
          <w:szCs w:val="32"/>
        </w:rPr>
        <w:t>报价不超过省市医保部门批准收费价格的</w:t>
      </w:r>
      <w:r>
        <w:rPr>
          <w:rFonts w:hint="eastAsia" w:ascii="黑体" w:hAnsi="黑体" w:eastAsia="黑体" w:cs="黑体"/>
          <w:b/>
          <w:bCs/>
          <w:szCs w:val="32"/>
        </w:rPr>
        <w:t>45%；其他视功能辅助检查筛查及拓展服务报价</w:t>
      </w:r>
      <w:r>
        <w:rPr>
          <w:rFonts w:ascii="黑体" w:hAnsi="黑体" w:eastAsia="黑体" w:cs="黑体"/>
          <w:b/>
          <w:bCs/>
          <w:szCs w:val="32"/>
        </w:rPr>
        <w:t>不超过省市医保部门批准收费价格的</w:t>
      </w:r>
      <w:r>
        <w:rPr>
          <w:rFonts w:hint="eastAsia" w:ascii="黑体" w:hAnsi="黑体" w:eastAsia="黑体" w:cs="黑体"/>
          <w:b/>
          <w:bCs/>
          <w:szCs w:val="32"/>
        </w:rPr>
        <w:t>55%。</w:t>
      </w:r>
    </w:p>
    <w:p w14:paraId="4D4884F9">
      <w:pPr>
        <w:adjustRightInd w:val="0"/>
        <w:snapToGrid w:val="0"/>
        <w:spacing w:line="480" w:lineRule="exact"/>
        <w:ind w:firstLine="420" w:firstLineChars="200"/>
        <w:rPr>
          <w:rFonts w:hint="eastAsia" w:ascii="黑体" w:hAnsi="黑体" w:eastAsia="黑体" w:cs="黑体"/>
          <w:snapToGrid w:val="0"/>
          <w:kern w:val="0"/>
          <w:szCs w:val="21"/>
        </w:rPr>
      </w:pPr>
      <w:r>
        <w:rPr>
          <w:rFonts w:hint="eastAsia" w:ascii="黑体" w:hAnsi="黑体" w:eastAsia="黑体" w:cs="黑体"/>
          <w:snapToGrid w:val="0"/>
          <w:kern w:val="0"/>
          <w:szCs w:val="21"/>
        </w:rPr>
        <w:t>采购需求：</w:t>
      </w:r>
      <w:r>
        <w:rPr>
          <w:rFonts w:ascii="黑体" w:hAnsi="黑体" w:eastAsia="黑体" w:cs="黑体"/>
          <w:snapToGrid w:val="0"/>
          <w:kern w:val="0"/>
          <w:szCs w:val="21"/>
        </w:rPr>
        <w:t>本项目为</w:t>
      </w:r>
      <w:r>
        <w:rPr>
          <w:rFonts w:hint="eastAsia" w:ascii="黑体" w:hAnsi="黑体" w:eastAsia="黑体" w:cs="黑体"/>
          <w:szCs w:val="32"/>
        </w:rPr>
        <w:t>南京市栖霞区迈皋桥社区卫生服务中心儿童眼保健服务采购项目</w:t>
      </w:r>
      <w:r>
        <w:rPr>
          <w:rFonts w:ascii="黑体" w:hAnsi="黑体" w:eastAsia="黑体" w:cs="黑体"/>
          <w:snapToGrid w:val="0"/>
          <w:kern w:val="0"/>
          <w:szCs w:val="21"/>
        </w:rPr>
        <w:t>。包括适龄儿童 （含幼托幼机构）的视功能普查及筛查工作，进行眼病高危因素、屈光度、视力的筛查， 对视光异常者进行验光、矫治、转介、随访，电子健康档案的建立、更新、维护、统计 工作；进行眼保健和用眼卫生习惯相关知识宣传、普及工作。具体要求及内容详见竞争性磋商文件第</w:t>
      </w:r>
      <w:r>
        <w:rPr>
          <w:rFonts w:hint="eastAsia" w:ascii="黑体" w:hAnsi="黑体" w:eastAsia="黑体" w:cs="黑体"/>
          <w:snapToGrid w:val="0"/>
          <w:kern w:val="0"/>
          <w:szCs w:val="21"/>
        </w:rPr>
        <w:t>五</w:t>
      </w:r>
      <w:r>
        <w:rPr>
          <w:rFonts w:ascii="黑体" w:hAnsi="黑体" w:eastAsia="黑体" w:cs="黑体"/>
          <w:snapToGrid w:val="0"/>
          <w:kern w:val="0"/>
          <w:szCs w:val="21"/>
        </w:rPr>
        <w:t>章</w:t>
      </w:r>
      <w:r>
        <w:rPr>
          <w:rFonts w:hint="eastAsia" w:ascii="黑体" w:hAnsi="黑体" w:eastAsia="黑体" w:cs="黑体"/>
          <w:snapToGrid w:val="0"/>
          <w:kern w:val="0"/>
          <w:szCs w:val="21"/>
        </w:rPr>
        <w:t>“采购需求”</w:t>
      </w:r>
      <w:r>
        <w:rPr>
          <w:rFonts w:ascii="黑体" w:hAnsi="黑体" w:eastAsia="黑体" w:cs="黑体"/>
          <w:snapToGrid w:val="0"/>
          <w:kern w:val="0"/>
          <w:szCs w:val="21"/>
        </w:rPr>
        <w:t>。</w:t>
      </w:r>
    </w:p>
    <w:p w14:paraId="722232E6">
      <w:pPr>
        <w:adjustRightInd w:val="0"/>
        <w:snapToGrid w:val="0"/>
        <w:spacing w:line="480" w:lineRule="exact"/>
        <w:ind w:firstLine="420" w:firstLineChars="200"/>
        <w:rPr>
          <w:rFonts w:hint="eastAsia" w:ascii="黑体" w:hAnsi="黑体" w:eastAsia="黑体" w:cs="黑体"/>
          <w:snapToGrid w:val="0"/>
          <w:kern w:val="0"/>
          <w:szCs w:val="21"/>
        </w:rPr>
      </w:pPr>
      <w:r>
        <w:rPr>
          <w:rFonts w:hint="eastAsia" w:ascii="黑体" w:hAnsi="黑体" w:eastAsia="黑体" w:cs="黑体"/>
          <w:snapToGrid w:val="0"/>
          <w:kern w:val="0"/>
          <w:szCs w:val="21"/>
        </w:rPr>
        <w:t>合同履行期限：</w:t>
      </w:r>
      <w:bookmarkStart w:id="6" w:name="_Hlk216963030"/>
      <w:r>
        <w:rPr>
          <w:rFonts w:hint="eastAsia" w:ascii="黑体" w:hAnsi="黑体" w:eastAsia="黑体" w:cs="黑体"/>
          <w:snapToGrid w:val="0"/>
          <w:kern w:val="0"/>
          <w:szCs w:val="21"/>
        </w:rPr>
        <w:t>自合同签订之日起</w:t>
      </w:r>
      <w:bookmarkEnd w:id="6"/>
      <w:r>
        <w:rPr>
          <w:rFonts w:hint="eastAsia" w:ascii="黑体" w:hAnsi="黑体" w:eastAsia="黑体" w:cs="黑体"/>
          <w:snapToGrid w:val="0"/>
          <w:kern w:val="0"/>
          <w:szCs w:val="21"/>
        </w:rPr>
        <w:t>一年。</w:t>
      </w:r>
    </w:p>
    <w:p w14:paraId="250797B8">
      <w:pPr>
        <w:pStyle w:val="4"/>
      </w:pPr>
      <w:bookmarkStart w:id="7" w:name="_Toc28209"/>
      <w:bookmarkStart w:id="8" w:name="_Toc9901"/>
      <w:r>
        <w:rPr>
          <w:rFonts w:hint="eastAsia"/>
        </w:rPr>
        <w:t>（二）申请人的资格要求</w:t>
      </w:r>
      <w:bookmarkEnd w:id="7"/>
      <w:bookmarkEnd w:id="8"/>
    </w:p>
    <w:p w14:paraId="2F54328E">
      <w:pPr>
        <w:snapToGrid w:val="0"/>
        <w:spacing w:line="480" w:lineRule="exact"/>
        <w:ind w:firstLine="424" w:firstLineChars="202"/>
        <w:rPr>
          <w:rFonts w:hint="eastAsia" w:ascii="宋体" w:hAnsi="宋体" w:cs="黑体"/>
          <w:b/>
          <w:szCs w:val="21"/>
        </w:rPr>
      </w:pPr>
      <w:r>
        <w:rPr>
          <w:rFonts w:hint="eastAsia" w:ascii="宋体" w:hAnsi="宋体" w:cs="黑体"/>
          <w:b/>
          <w:szCs w:val="21"/>
        </w:rPr>
        <w:t>1.满足以下规定;</w:t>
      </w:r>
    </w:p>
    <w:p w14:paraId="4C243AB7">
      <w:pPr>
        <w:adjustRightInd w:val="0"/>
        <w:snapToGrid w:val="0"/>
        <w:spacing w:line="480" w:lineRule="exact"/>
        <w:ind w:firstLine="420" w:firstLineChars="200"/>
        <w:rPr>
          <w:rFonts w:hint="eastAsia" w:ascii="黑体" w:hAnsi="黑体" w:eastAsia="黑体" w:cs="黑体"/>
          <w:snapToGrid w:val="0"/>
          <w:kern w:val="0"/>
          <w:szCs w:val="21"/>
        </w:rPr>
      </w:pPr>
      <w:bookmarkStart w:id="9" w:name="OLE_LINK4"/>
      <w:r>
        <w:rPr>
          <w:rFonts w:hint="eastAsia" w:ascii="黑体" w:hAnsi="黑体" w:eastAsia="黑体" w:cs="黑体"/>
          <w:snapToGrid w:val="0"/>
          <w:kern w:val="0"/>
          <w:szCs w:val="21"/>
        </w:rPr>
        <w:t xml:space="preserve">（1）具有独立承担民事责任的能力（提供法人或者其他组织的营业执照；供应商为自然人的提供其身份证）； </w:t>
      </w:r>
    </w:p>
    <w:p w14:paraId="24ED631C">
      <w:pPr>
        <w:adjustRightInd w:val="0"/>
        <w:snapToGrid w:val="0"/>
        <w:spacing w:line="480" w:lineRule="exact"/>
        <w:ind w:firstLine="420" w:firstLineChars="200"/>
        <w:rPr>
          <w:rFonts w:hint="eastAsia" w:ascii="黑体" w:hAnsi="黑体" w:eastAsia="黑体" w:cs="黑体"/>
          <w:snapToGrid w:val="0"/>
          <w:kern w:val="0"/>
          <w:szCs w:val="21"/>
        </w:rPr>
      </w:pPr>
      <w:r>
        <w:rPr>
          <w:rFonts w:hint="eastAsia" w:ascii="黑体" w:hAnsi="黑体" w:eastAsia="黑体" w:cs="黑体"/>
          <w:snapToGrid w:val="0"/>
          <w:kern w:val="0"/>
          <w:szCs w:val="21"/>
        </w:rPr>
        <w:t>（2）具有良好的商业信誉和健全的财务会计制度（提供2024年度经审计的报告或者</w:t>
      </w:r>
      <w:r>
        <w:rPr>
          <w:rFonts w:hint="eastAsia" w:ascii="黑体" w:hAnsi="黑体" w:eastAsia="黑体"/>
        </w:rPr>
        <w:t>参加本次采购活动近半年任意一个月的会计报表</w:t>
      </w:r>
      <w:r>
        <w:rPr>
          <w:rFonts w:hint="eastAsia" w:ascii="黑体" w:hAnsi="黑体" w:eastAsia="黑体" w:cs="黑体"/>
          <w:snapToGrid w:val="0"/>
          <w:kern w:val="0"/>
          <w:szCs w:val="21"/>
        </w:rPr>
        <w:t>，或磋商截止时间前六个月内银行出具的资信证明，或财政部门认可的专业担保机构出具的投标担保函）；</w:t>
      </w:r>
    </w:p>
    <w:p w14:paraId="420000D7">
      <w:pPr>
        <w:adjustRightInd w:val="0"/>
        <w:snapToGrid w:val="0"/>
        <w:spacing w:line="480" w:lineRule="exact"/>
        <w:ind w:firstLine="420" w:firstLineChars="200"/>
        <w:rPr>
          <w:rFonts w:hint="eastAsia" w:ascii="黑体" w:hAnsi="黑体" w:eastAsia="黑体" w:cs="黑体"/>
          <w:snapToGrid w:val="0"/>
          <w:kern w:val="0"/>
          <w:szCs w:val="21"/>
        </w:rPr>
      </w:pPr>
      <w:r>
        <w:rPr>
          <w:rFonts w:hint="eastAsia" w:ascii="黑体" w:hAnsi="黑体" w:eastAsia="黑体" w:cs="黑体"/>
          <w:snapToGrid w:val="0"/>
          <w:kern w:val="0"/>
          <w:szCs w:val="21"/>
        </w:rPr>
        <w:t>（3）具有履行合同所必需的设备和专业技术能力（提供承诺书）；</w:t>
      </w:r>
    </w:p>
    <w:p w14:paraId="152CFF84">
      <w:pPr>
        <w:adjustRightInd w:val="0"/>
        <w:snapToGrid w:val="0"/>
        <w:spacing w:line="480" w:lineRule="exact"/>
        <w:ind w:firstLine="420" w:firstLineChars="200"/>
        <w:rPr>
          <w:rFonts w:hint="eastAsia" w:ascii="黑体" w:hAnsi="黑体" w:eastAsia="黑体" w:cs="黑体"/>
          <w:snapToGrid w:val="0"/>
          <w:kern w:val="0"/>
          <w:szCs w:val="21"/>
        </w:rPr>
      </w:pPr>
      <w:r>
        <w:rPr>
          <w:rFonts w:hint="eastAsia" w:ascii="黑体" w:hAnsi="黑体" w:eastAsia="黑体" w:cs="黑体"/>
          <w:snapToGrid w:val="0"/>
          <w:kern w:val="0"/>
          <w:szCs w:val="21"/>
        </w:rPr>
        <w:t>（4）具有依法缴纳税收和社会保障资金的良好记录（提供参加本次政府采购活动前半年内（至少一个月）依法缴纳税收和社会保障资金的相关资料，根据国家相关政策免缴或迟缴的需要提供相关证明材料）；</w:t>
      </w:r>
    </w:p>
    <w:p w14:paraId="7A532266">
      <w:pPr>
        <w:adjustRightInd w:val="0"/>
        <w:snapToGrid w:val="0"/>
        <w:spacing w:line="480" w:lineRule="exact"/>
        <w:ind w:firstLine="420" w:firstLineChars="200"/>
        <w:rPr>
          <w:rFonts w:hint="eastAsia" w:ascii="黑体" w:hAnsi="黑体" w:eastAsia="黑体" w:cs="黑体"/>
          <w:snapToGrid w:val="0"/>
          <w:kern w:val="0"/>
          <w:szCs w:val="21"/>
        </w:rPr>
      </w:pPr>
      <w:r>
        <w:rPr>
          <w:rFonts w:hint="eastAsia" w:ascii="黑体" w:hAnsi="黑体" w:eastAsia="黑体" w:cs="黑体"/>
          <w:snapToGrid w:val="0"/>
          <w:kern w:val="0"/>
          <w:szCs w:val="21"/>
        </w:rPr>
        <w:t>（5）参加采购活动前三年内，在经营活动中没有重大违法记录（提供承诺书）</w:t>
      </w:r>
      <w:bookmarkEnd w:id="9"/>
      <w:r>
        <w:rPr>
          <w:rFonts w:hint="eastAsia" w:ascii="黑体" w:hAnsi="黑体" w:eastAsia="黑体" w:cs="黑体"/>
          <w:snapToGrid w:val="0"/>
          <w:kern w:val="0"/>
          <w:szCs w:val="21"/>
        </w:rPr>
        <w:t>；</w:t>
      </w:r>
    </w:p>
    <w:p w14:paraId="625B8CC7">
      <w:pPr>
        <w:snapToGrid w:val="0"/>
        <w:spacing w:line="480" w:lineRule="exact"/>
        <w:ind w:firstLine="424" w:firstLineChars="202"/>
        <w:rPr>
          <w:rFonts w:hint="eastAsia" w:ascii="黑体" w:hAnsi="黑体" w:eastAsia="黑体" w:cs="黑体"/>
          <w:b/>
          <w:szCs w:val="21"/>
        </w:rPr>
      </w:pPr>
      <w:r>
        <w:rPr>
          <w:rFonts w:hint="eastAsia" w:ascii="黑体" w:hAnsi="黑体" w:eastAsia="黑体" w:cs="黑体"/>
          <w:snapToGrid w:val="0"/>
          <w:kern w:val="0"/>
          <w:szCs w:val="21"/>
        </w:rPr>
        <w:t>（6）法律、行政法规规定的其他条件。</w:t>
      </w:r>
    </w:p>
    <w:p w14:paraId="6D349385">
      <w:pPr>
        <w:adjustRightInd w:val="0"/>
        <w:snapToGrid w:val="0"/>
        <w:spacing w:line="480" w:lineRule="exact"/>
        <w:ind w:firstLine="422" w:firstLineChars="200"/>
        <w:rPr>
          <w:rFonts w:hint="eastAsia" w:ascii="黑体" w:hAnsi="黑体" w:eastAsia="黑体" w:cs="黑体"/>
          <w:snapToGrid w:val="0"/>
          <w:kern w:val="0"/>
          <w:szCs w:val="21"/>
        </w:rPr>
      </w:pPr>
      <w:r>
        <w:rPr>
          <w:rFonts w:hint="eastAsia" w:ascii="黑体" w:hAnsi="黑体" w:eastAsia="黑体" w:cs="黑体"/>
          <w:b/>
          <w:szCs w:val="21"/>
        </w:rPr>
        <w:t>2.落实政府采购政策需满足的资格要求：</w:t>
      </w:r>
      <w:r>
        <w:rPr>
          <w:rFonts w:hint="eastAsia" w:ascii="黑体" w:hAnsi="黑体" w:eastAsia="黑体" w:cs="黑体"/>
          <w:snapToGrid w:val="0"/>
          <w:kern w:val="0"/>
          <w:szCs w:val="21"/>
        </w:rPr>
        <w:t>供应商如为中小微企业、监狱企业、残疾人福利性单位、节能环保产品须提供相关证明材料。</w:t>
      </w:r>
    </w:p>
    <w:p w14:paraId="43E9D2D3">
      <w:pPr>
        <w:adjustRightInd w:val="0"/>
        <w:snapToGrid w:val="0"/>
        <w:spacing w:line="480" w:lineRule="exact"/>
        <w:ind w:firstLine="422" w:firstLineChars="200"/>
        <w:rPr>
          <w:rFonts w:hint="eastAsia" w:ascii="黑体" w:hAnsi="黑体" w:eastAsia="黑体" w:cs="黑体"/>
          <w:b/>
          <w:bCs/>
          <w:snapToGrid w:val="0"/>
          <w:kern w:val="0"/>
          <w:szCs w:val="21"/>
        </w:rPr>
      </w:pPr>
      <w:r>
        <w:rPr>
          <w:rFonts w:hint="eastAsia" w:ascii="黑体" w:hAnsi="黑体" w:eastAsia="黑体" w:cs="黑体"/>
          <w:b/>
          <w:szCs w:val="21"/>
        </w:rPr>
        <w:t>3.本项目的特定资格要求：</w:t>
      </w:r>
      <w:r>
        <w:rPr>
          <w:rFonts w:hint="eastAsia" w:ascii="黑体" w:hAnsi="黑体" w:eastAsia="黑体" w:cs="黑体"/>
          <w:b/>
          <w:bCs/>
          <w:snapToGrid w:val="0"/>
          <w:kern w:val="0"/>
          <w:szCs w:val="21"/>
        </w:rPr>
        <w:t>供应商须具有有效期内的医疗机构执业许可证且诊疗科目包含眼科；单位或个人设置诊所的，应取得诊所备案凭证。</w:t>
      </w:r>
    </w:p>
    <w:p w14:paraId="7C49D452">
      <w:pPr>
        <w:adjustRightInd w:val="0"/>
        <w:snapToGrid w:val="0"/>
        <w:spacing w:line="480" w:lineRule="exact"/>
        <w:ind w:firstLine="422" w:firstLineChars="200"/>
        <w:rPr>
          <w:rFonts w:hint="eastAsia" w:ascii="黑体" w:hAnsi="黑体" w:eastAsia="黑体" w:cs="黑体"/>
          <w:b/>
          <w:szCs w:val="21"/>
        </w:rPr>
      </w:pPr>
      <w:bookmarkStart w:id="10" w:name="_Hlk166075817"/>
      <w:r>
        <w:rPr>
          <w:rFonts w:hint="eastAsia" w:ascii="黑体" w:hAnsi="黑体" w:eastAsia="黑体" w:cs="黑体"/>
          <w:b/>
          <w:szCs w:val="21"/>
        </w:rPr>
        <w:t>4.本项目不允许联合体投标。</w:t>
      </w:r>
      <w:bookmarkEnd w:id="10"/>
    </w:p>
    <w:p w14:paraId="535917A3">
      <w:pPr>
        <w:snapToGrid w:val="0"/>
        <w:spacing w:line="480" w:lineRule="exact"/>
        <w:ind w:firstLine="426" w:firstLineChars="202"/>
        <w:rPr>
          <w:rFonts w:hint="eastAsia" w:ascii="黑体" w:hAnsi="黑体" w:eastAsia="黑体" w:cs="黑体"/>
          <w:b/>
          <w:szCs w:val="21"/>
        </w:rPr>
      </w:pPr>
      <w:bookmarkStart w:id="11" w:name="OLE_LINK15"/>
      <w:r>
        <w:rPr>
          <w:rFonts w:hint="eastAsia" w:ascii="黑体" w:hAnsi="黑体" w:eastAsia="黑体" w:cs="黑体"/>
          <w:b/>
          <w:szCs w:val="21"/>
        </w:rPr>
        <w:t>5.拒绝下述供应商参加本次采购活动：</w:t>
      </w:r>
    </w:p>
    <w:p w14:paraId="1BEC9F0F">
      <w:pPr>
        <w:spacing w:line="480" w:lineRule="exact"/>
        <w:ind w:firstLine="420" w:firstLineChars="200"/>
        <w:rPr>
          <w:rFonts w:hint="eastAsia" w:ascii="黑体" w:hAnsi="黑体" w:eastAsia="黑体" w:cs="黑体"/>
          <w:bCs/>
          <w:szCs w:val="21"/>
          <w:lang w:val="zh-CN"/>
        </w:rPr>
      </w:pPr>
      <w:r>
        <w:rPr>
          <w:rFonts w:hint="eastAsia" w:ascii="黑体" w:hAnsi="黑体" w:eastAsia="黑体" w:cs="黑体"/>
          <w:bCs/>
          <w:szCs w:val="21"/>
          <w:lang w:val="zh-CN"/>
        </w:rPr>
        <w:t>5.1</w:t>
      </w:r>
      <w:r>
        <w:rPr>
          <w:rFonts w:hint="eastAsia" w:ascii="黑体" w:hAnsi="黑体" w:eastAsia="黑体" w:cs="黑体"/>
          <w:bCs/>
          <w:szCs w:val="21"/>
          <w:lang w:val="zh-CN"/>
        </w:rPr>
        <w:tab/>
      </w:r>
      <w:r>
        <w:rPr>
          <w:rFonts w:hint="eastAsia" w:ascii="黑体" w:hAnsi="黑体" w:eastAsia="黑体" w:cs="黑体"/>
          <w:bCs/>
          <w:szCs w:val="21"/>
          <w:lang w:val="zh-CN"/>
        </w:rPr>
        <w:t>单位负责人为同一人或者存在直接控股、管理关系的不同供应商，不得参加同一合同项下的政府采购活动。</w:t>
      </w:r>
    </w:p>
    <w:p w14:paraId="5F9EC9EE">
      <w:pPr>
        <w:spacing w:line="480" w:lineRule="exact"/>
        <w:ind w:firstLine="420" w:firstLineChars="200"/>
        <w:rPr>
          <w:rFonts w:hint="eastAsia" w:ascii="黑体" w:hAnsi="黑体" w:eastAsia="黑体" w:cs="黑体"/>
          <w:bCs/>
          <w:szCs w:val="21"/>
          <w:lang w:val="zh-CN"/>
        </w:rPr>
      </w:pPr>
      <w:r>
        <w:rPr>
          <w:rFonts w:hint="eastAsia" w:ascii="黑体" w:hAnsi="黑体" w:eastAsia="黑体" w:cs="黑体"/>
          <w:bCs/>
          <w:szCs w:val="21"/>
          <w:lang w:val="zh-CN"/>
        </w:rPr>
        <w:t>5</w:t>
      </w:r>
      <w:r>
        <w:rPr>
          <w:rFonts w:ascii="黑体" w:hAnsi="黑体" w:eastAsia="黑体" w:cs="黑体"/>
          <w:bCs/>
          <w:szCs w:val="21"/>
          <w:lang w:val="zh-CN"/>
        </w:rPr>
        <w:t>.</w:t>
      </w:r>
      <w:r>
        <w:rPr>
          <w:rFonts w:hint="eastAsia" w:ascii="黑体" w:hAnsi="黑体" w:eastAsia="黑体" w:cs="黑体"/>
          <w:bCs/>
          <w:szCs w:val="21"/>
          <w:lang w:val="zh-CN"/>
        </w:rPr>
        <w:t>2为采购项目提供整体设计、规范编制或者项目管理、监理、检测等服务的供应商，不得再参加该采购项目的其他采购活动。</w:t>
      </w:r>
    </w:p>
    <w:p w14:paraId="7A5ADF17">
      <w:pPr>
        <w:spacing w:line="480" w:lineRule="exact"/>
        <w:ind w:firstLine="420" w:firstLineChars="200"/>
        <w:rPr>
          <w:rFonts w:hint="eastAsia" w:ascii="黑体" w:hAnsi="黑体" w:eastAsia="黑体" w:cs="黑体"/>
          <w:bCs/>
          <w:szCs w:val="21"/>
          <w:lang w:val="zh-CN"/>
        </w:rPr>
      </w:pPr>
      <w:r>
        <w:rPr>
          <w:rFonts w:hint="eastAsia" w:ascii="黑体" w:hAnsi="黑体" w:eastAsia="黑体" w:cs="黑体"/>
          <w:bCs/>
          <w:szCs w:val="21"/>
          <w:lang w:val="zh-CN"/>
        </w:rPr>
        <w:t>5</w:t>
      </w:r>
      <w:r>
        <w:rPr>
          <w:rFonts w:ascii="黑体" w:hAnsi="黑体" w:eastAsia="黑体" w:cs="黑体"/>
          <w:bCs/>
          <w:szCs w:val="21"/>
          <w:lang w:val="zh-CN"/>
        </w:rPr>
        <w:t>.</w:t>
      </w:r>
      <w:r>
        <w:rPr>
          <w:rFonts w:hint="eastAsia" w:ascii="黑体" w:hAnsi="黑体" w:eastAsia="黑体" w:cs="黑体"/>
          <w:bCs/>
          <w:szCs w:val="21"/>
          <w:lang w:val="zh-CN"/>
        </w:rPr>
        <w:t>3</w:t>
      </w:r>
      <w:bookmarkEnd w:id="11"/>
      <w:r>
        <w:rPr>
          <w:rFonts w:hint="eastAsia" w:ascii="黑体" w:hAnsi="黑体" w:eastAsia="黑体" w:cs="黑体"/>
          <w:bCs/>
          <w:szCs w:val="21"/>
          <w:lang w:val="zh-CN"/>
        </w:rPr>
        <w:t>拒绝列入失信被执行人、重大税收违法案件当事人名单、政府采购严重违法失信行为记录名单的供应商参与政府采购活动。采购人或招标代理机构通过“信用中国”网站(www.creditchina.gov.cn)、“中国政府采购网”(www.ccgp.gov.cn)等渠道查询供应商信用记录。</w:t>
      </w:r>
    </w:p>
    <w:p w14:paraId="0B2D67D9">
      <w:pPr>
        <w:pStyle w:val="4"/>
      </w:pPr>
      <w:bookmarkStart w:id="12" w:name="_Toc22358"/>
      <w:bookmarkStart w:id="13" w:name="_Toc1683"/>
      <w:r>
        <w:rPr>
          <w:rFonts w:hint="eastAsia"/>
        </w:rPr>
        <w:t>（三）获取采购文件</w:t>
      </w:r>
      <w:bookmarkEnd w:id="12"/>
      <w:bookmarkEnd w:id="13"/>
    </w:p>
    <w:p w14:paraId="6A139219">
      <w:pPr>
        <w:spacing w:line="480" w:lineRule="exact"/>
        <w:ind w:firstLine="420" w:firstLineChars="200"/>
        <w:rPr>
          <w:rFonts w:hint="eastAsia" w:ascii="黑体" w:hAnsi="黑体" w:eastAsia="黑体" w:cs="黑体"/>
          <w:bCs/>
          <w:szCs w:val="21"/>
          <w:lang w:val="zh-CN"/>
        </w:rPr>
      </w:pPr>
      <w:r>
        <w:rPr>
          <w:rFonts w:hint="eastAsia" w:ascii="黑体" w:hAnsi="黑体" w:eastAsia="黑体" w:cs="黑体"/>
          <w:bCs/>
          <w:szCs w:val="21"/>
          <w:lang w:val="zh-CN"/>
        </w:rPr>
        <w:t>3.1 时间：自采购公告发布之日起5个工作日；</w:t>
      </w:r>
    </w:p>
    <w:p w14:paraId="67F88962">
      <w:pPr>
        <w:spacing w:line="480" w:lineRule="exact"/>
        <w:ind w:firstLine="420" w:firstLineChars="200"/>
        <w:rPr>
          <w:rFonts w:hint="eastAsia" w:ascii="黑体" w:hAnsi="黑体" w:eastAsia="黑体" w:cs="黑体"/>
          <w:bCs/>
          <w:szCs w:val="21"/>
          <w:lang w:val="zh-CN"/>
        </w:rPr>
      </w:pPr>
      <w:r>
        <w:rPr>
          <w:rFonts w:hint="eastAsia" w:ascii="黑体" w:hAnsi="黑体" w:eastAsia="黑体" w:cs="黑体"/>
          <w:bCs/>
          <w:szCs w:val="21"/>
          <w:lang w:val="zh-CN"/>
        </w:rPr>
        <w:t>3.2 方式：在栖霞区政府门户网站“公示公告”栏目免费下载电子版采购文件。</w:t>
      </w:r>
    </w:p>
    <w:p w14:paraId="523D5635">
      <w:pPr>
        <w:pStyle w:val="4"/>
      </w:pPr>
      <w:bookmarkStart w:id="14" w:name="_Toc1824"/>
      <w:bookmarkStart w:id="15" w:name="_Toc32253"/>
      <w:r>
        <w:rPr>
          <w:rFonts w:hint="eastAsia"/>
        </w:rPr>
        <w:t>（四）响应文件提交</w:t>
      </w:r>
      <w:bookmarkEnd w:id="14"/>
      <w:bookmarkEnd w:id="15"/>
    </w:p>
    <w:p w14:paraId="1621165C">
      <w:pPr>
        <w:adjustRightInd w:val="0"/>
        <w:snapToGrid w:val="0"/>
        <w:spacing w:line="480" w:lineRule="exact"/>
        <w:ind w:firstLine="420" w:firstLineChars="200"/>
        <w:rPr>
          <w:rFonts w:hint="eastAsia" w:ascii="黑体" w:hAnsi="黑体" w:eastAsia="黑体" w:cs="黑体"/>
          <w:snapToGrid w:val="0"/>
          <w:color w:val="000000" w:themeColor="text1"/>
          <w:kern w:val="0"/>
          <w:szCs w:val="21"/>
          <w14:textFill>
            <w14:solidFill>
              <w14:schemeClr w14:val="tx1"/>
            </w14:solidFill>
          </w14:textFill>
        </w:rPr>
      </w:pPr>
      <w:r>
        <w:rPr>
          <w:rFonts w:hint="eastAsia" w:ascii="黑体" w:hAnsi="黑体" w:eastAsia="黑体" w:cs="黑体"/>
          <w:snapToGrid w:val="0"/>
          <w:color w:val="000000" w:themeColor="text1"/>
          <w:kern w:val="0"/>
          <w:szCs w:val="21"/>
          <w14:textFill>
            <w14:solidFill>
              <w14:schemeClr w14:val="tx1"/>
            </w14:solidFill>
          </w14:textFill>
        </w:rPr>
        <w:t>磋商响应文件开始接收时间：</w:t>
      </w:r>
      <w:r>
        <w:rPr>
          <w:rFonts w:hint="eastAsia" w:ascii="黑体" w:hAnsi="黑体" w:eastAsia="黑体" w:cs="黑体"/>
          <w:snapToGrid w:val="0"/>
          <w:color w:val="000000" w:themeColor="text1"/>
          <w:kern w:val="0"/>
          <w:szCs w:val="21"/>
          <w:u w:val="single"/>
          <w14:textFill>
            <w14:solidFill>
              <w14:schemeClr w14:val="tx1"/>
            </w14:solidFill>
          </w14:textFill>
        </w:rPr>
        <w:t>2026</w:t>
      </w:r>
      <w:r>
        <w:rPr>
          <w:rFonts w:hint="eastAsia" w:ascii="黑体" w:hAnsi="黑体" w:eastAsia="黑体" w:cs="黑体"/>
          <w:snapToGrid w:val="0"/>
          <w:color w:val="000000" w:themeColor="text1"/>
          <w:kern w:val="0"/>
          <w:szCs w:val="21"/>
          <w14:textFill>
            <w14:solidFill>
              <w14:schemeClr w14:val="tx1"/>
            </w14:solidFill>
          </w14:textFill>
        </w:rPr>
        <w:t>年</w:t>
      </w:r>
      <w:r>
        <w:rPr>
          <w:rFonts w:hint="eastAsia" w:ascii="黑体" w:hAnsi="黑体" w:eastAsia="黑体" w:cs="黑体"/>
          <w:snapToGrid w:val="0"/>
          <w:color w:val="000000" w:themeColor="text1"/>
          <w:kern w:val="0"/>
          <w:szCs w:val="21"/>
          <w:u w:val="single"/>
          <w14:textFill>
            <w14:solidFill>
              <w14:schemeClr w14:val="tx1"/>
            </w14:solidFill>
          </w14:textFill>
        </w:rPr>
        <w:t xml:space="preserve"> 03 </w:t>
      </w:r>
      <w:r>
        <w:rPr>
          <w:rFonts w:hint="eastAsia" w:ascii="黑体" w:hAnsi="黑体" w:eastAsia="黑体" w:cs="黑体"/>
          <w:snapToGrid w:val="0"/>
          <w:color w:val="000000" w:themeColor="text1"/>
          <w:kern w:val="0"/>
          <w:szCs w:val="21"/>
          <w14:textFill>
            <w14:solidFill>
              <w14:schemeClr w14:val="tx1"/>
            </w14:solidFill>
          </w14:textFill>
        </w:rPr>
        <w:t>月</w:t>
      </w:r>
      <w:r>
        <w:rPr>
          <w:rFonts w:hint="eastAsia" w:ascii="黑体" w:hAnsi="黑体" w:eastAsia="黑体" w:cs="黑体"/>
          <w:snapToGrid w:val="0"/>
          <w:color w:val="000000" w:themeColor="text1"/>
          <w:kern w:val="0"/>
          <w:szCs w:val="21"/>
          <w:u w:val="single"/>
          <w14:textFill>
            <w14:solidFill>
              <w14:schemeClr w14:val="tx1"/>
            </w14:solidFill>
          </w14:textFill>
        </w:rPr>
        <w:t xml:space="preserve"> 19 </w:t>
      </w:r>
      <w:r>
        <w:rPr>
          <w:rFonts w:hint="eastAsia" w:ascii="黑体" w:hAnsi="黑体" w:eastAsia="黑体" w:cs="黑体"/>
          <w:snapToGrid w:val="0"/>
          <w:color w:val="000000" w:themeColor="text1"/>
          <w:kern w:val="0"/>
          <w:szCs w:val="21"/>
          <w14:textFill>
            <w14:solidFill>
              <w14:schemeClr w14:val="tx1"/>
            </w14:solidFill>
          </w14:textFill>
        </w:rPr>
        <w:t>日下午</w:t>
      </w:r>
      <w:r>
        <w:rPr>
          <w:rFonts w:ascii="黑体" w:hAnsi="黑体" w:eastAsia="黑体" w:cs="黑体"/>
          <w:snapToGrid w:val="0"/>
          <w:color w:val="000000" w:themeColor="text1"/>
          <w:kern w:val="0"/>
          <w:szCs w:val="21"/>
          <w14:textFill>
            <w14:solidFill>
              <w14:schemeClr w14:val="tx1"/>
            </w14:solidFill>
          </w14:textFill>
        </w:rPr>
        <w:t>14</w:t>
      </w:r>
      <w:r>
        <w:rPr>
          <w:rFonts w:hint="eastAsia" w:ascii="黑体" w:hAnsi="黑体" w:eastAsia="黑体" w:cs="黑体"/>
          <w:snapToGrid w:val="0"/>
          <w:color w:val="000000" w:themeColor="text1"/>
          <w:kern w:val="0"/>
          <w:szCs w:val="21"/>
          <w14:textFill>
            <w14:solidFill>
              <w14:schemeClr w14:val="tx1"/>
            </w14:solidFill>
          </w14:textFill>
        </w:rPr>
        <w:t>：00（北京时间）</w:t>
      </w:r>
    </w:p>
    <w:p w14:paraId="0E637881">
      <w:pPr>
        <w:adjustRightInd w:val="0"/>
        <w:snapToGrid w:val="0"/>
        <w:spacing w:line="480" w:lineRule="exact"/>
        <w:ind w:firstLine="420" w:firstLineChars="200"/>
        <w:rPr>
          <w:rFonts w:hint="eastAsia" w:ascii="黑体" w:hAnsi="黑体" w:eastAsia="黑体" w:cs="黑体"/>
          <w:snapToGrid w:val="0"/>
          <w:color w:val="000000" w:themeColor="text1"/>
          <w:kern w:val="0"/>
          <w:szCs w:val="21"/>
          <w14:textFill>
            <w14:solidFill>
              <w14:schemeClr w14:val="tx1"/>
            </w14:solidFill>
          </w14:textFill>
        </w:rPr>
      </w:pPr>
      <w:r>
        <w:rPr>
          <w:rFonts w:hint="eastAsia" w:ascii="黑体" w:hAnsi="黑体" w:eastAsia="黑体" w:cs="黑体"/>
          <w:snapToGrid w:val="0"/>
          <w:color w:val="000000" w:themeColor="text1"/>
          <w:kern w:val="0"/>
          <w:szCs w:val="21"/>
          <w14:textFill>
            <w14:solidFill>
              <w14:schemeClr w14:val="tx1"/>
            </w14:solidFill>
          </w14:textFill>
        </w:rPr>
        <w:t>磋商响应文件接收截止时间：</w:t>
      </w:r>
      <w:r>
        <w:rPr>
          <w:rFonts w:hint="eastAsia" w:ascii="黑体" w:hAnsi="黑体" w:eastAsia="黑体" w:cs="黑体"/>
          <w:snapToGrid w:val="0"/>
          <w:color w:val="000000" w:themeColor="text1"/>
          <w:kern w:val="0"/>
          <w:szCs w:val="21"/>
          <w:u w:val="single"/>
          <w14:textFill>
            <w14:solidFill>
              <w14:schemeClr w14:val="tx1"/>
            </w14:solidFill>
          </w14:textFill>
        </w:rPr>
        <w:t>2026</w:t>
      </w:r>
      <w:r>
        <w:rPr>
          <w:rFonts w:hint="eastAsia" w:ascii="黑体" w:hAnsi="黑体" w:eastAsia="黑体" w:cs="黑体"/>
          <w:snapToGrid w:val="0"/>
          <w:color w:val="000000" w:themeColor="text1"/>
          <w:kern w:val="0"/>
          <w:szCs w:val="21"/>
          <w14:textFill>
            <w14:solidFill>
              <w14:schemeClr w14:val="tx1"/>
            </w14:solidFill>
          </w14:textFill>
        </w:rPr>
        <w:t>年</w:t>
      </w:r>
      <w:r>
        <w:rPr>
          <w:rFonts w:hint="eastAsia" w:ascii="黑体" w:hAnsi="黑体" w:eastAsia="黑体" w:cs="黑体"/>
          <w:snapToGrid w:val="0"/>
          <w:color w:val="000000" w:themeColor="text1"/>
          <w:kern w:val="0"/>
          <w:szCs w:val="21"/>
          <w:u w:val="single"/>
          <w14:textFill>
            <w14:solidFill>
              <w14:schemeClr w14:val="tx1"/>
            </w14:solidFill>
          </w14:textFill>
        </w:rPr>
        <w:t xml:space="preserve"> 03 </w:t>
      </w:r>
      <w:r>
        <w:rPr>
          <w:rFonts w:hint="eastAsia" w:ascii="黑体" w:hAnsi="黑体" w:eastAsia="黑体" w:cs="黑体"/>
          <w:snapToGrid w:val="0"/>
          <w:color w:val="000000" w:themeColor="text1"/>
          <w:kern w:val="0"/>
          <w:szCs w:val="21"/>
          <w14:textFill>
            <w14:solidFill>
              <w14:schemeClr w14:val="tx1"/>
            </w14:solidFill>
          </w14:textFill>
        </w:rPr>
        <w:t>月</w:t>
      </w:r>
      <w:r>
        <w:rPr>
          <w:rFonts w:hint="eastAsia" w:ascii="黑体" w:hAnsi="黑体" w:eastAsia="黑体" w:cs="黑体"/>
          <w:snapToGrid w:val="0"/>
          <w:color w:val="000000" w:themeColor="text1"/>
          <w:kern w:val="0"/>
          <w:szCs w:val="21"/>
          <w:u w:val="single"/>
          <w14:textFill>
            <w14:solidFill>
              <w14:schemeClr w14:val="tx1"/>
            </w14:solidFill>
          </w14:textFill>
        </w:rPr>
        <w:t xml:space="preserve"> 19</w:t>
      </w:r>
      <w:r>
        <w:rPr>
          <w:rFonts w:hint="eastAsia" w:ascii="黑体" w:hAnsi="黑体" w:eastAsia="黑体" w:cs="黑体"/>
          <w:snapToGrid w:val="0"/>
          <w:color w:val="000000" w:themeColor="text1"/>
          <w:kern w:val="0"/>
          <w:szCs w:val="21"/>
          <w14:textFill>
            <w14:solidFill>
              <w14:schemeClr w14:val="tx1"/>
            </w14:solidFill>
          </w14:textFill>
        </w:rPr>
        <w:t>日下午1</w:t>
      </w:r>
      <w:r>
        <w:rPr>
          <w:rFonts w:ascii="黑体" w:hAnsi="黑体" w:eastAsia="黑体" w:cs="黑体"/>
          <w:snapToGrid w:val="0"/>
          <w:color w:val="000000" w:themeColor="text1"/>
          <w:kern w:val="0"/>
          <w:szCs w:val="21"/>
          <w14:textFill>
            <w14:solidFill>
              <w14:schemeClr w14:val="tx1"/>
            </w14:solidFill>
          </w14:textFill>
        </w:rPr>
        <w:t>4</w:t>
      </w:r>
      <w:r>
        <w:rPr>
          <w:rFonts w:hint="eastAsia" w:ascii="黑体" w:hAnsi="黑体" w:eastAsia="黑体" w:cs="黑体"/>
          <w:snapToGrid w:val="0"/>
          <w:color w:val="000000" w:themeColor="text1"/>
          <w:kern w:val="0"/>
          <w:szCs w:val="21"/>
          <w14:textFill>
            <w14:solidFill>
              <w14:schemeClr w14:val="tx1"/>
            </w14:solidFill>
          </w14:textFill>
        </w:rPr>
        <w:t>：30（北京时间）</w:t>
      </w:r>
    </w:p>
    <w:p w14:paraId="19129F5E">
      <w:pPr>
        <w:adjustRightInd w:val="0"/>
        <w:snapToGrid w:val="0"/>
        <w:spacing w:line="480" w:lineRule="exact"/>
        <w:ind w:firstLine="420" w:firstLineChars="200"/>
        <w:rPr>
          <w:rFonts w:hint="eastAsia" w:ascii="黑体" w:hAnsi="黑体" w:eastAsia="黑体" w:cs="黑体"/>
          <w:snapToGrid w:val="0"/>
          <w:kern w:val="0"/>
          <w:szCs w:val="21"/>
        </w:rPr>
      </w:pPr>
      <w:r>
        <w:rPr>
          <w:rFonts w:hint="eastAsia" w:ascii="黑体" w:hAnsi="黑体" w:eastAsia="黑体" w:cs="黑体"/>
          <w:snapToGrid w:val="0"/>
          <w:kern w:val="0"/>
          <w:szCs w:val="21"/>
        </w:rPr>
        <w:t>磋商响应文件接收地点：南京市秦淮区洪武路23号隆盛大厦5楼会议室；</w:t>
      </w:r>
    </w:p>
    <w:p w14:paraId="7A789CF5">
      <w:pPr>
        <w:adjustRightInd w:val="0"/>
        <w:snapToGrid w:val="0"/>
        <w:spacing w:line="480" w:lineRule="exact"/>
        <w:ind w:firstLine="420" w:firstLineChars="200"/>
        <w:rPr>
          <w:rFonts w:hint="eastAsia" w:ascii="黑体" w:hAnsi="黑体" w:eastAsia="黑体" w:cs="黑体"/>
          <w:snapToGrid w:val="0"/>
          <w:kern w:val="0"/>
          <w:szCs w:val="21"/>
        </w:rPr>
      </w:pPr>
      <w:r>
        <w:rPr>
          <w:rFonts w:hint="eastAsia" w:ascii="黑体" w:hAnsi="黑体" w:eastAsia="黑体" w:cs="黑体"/>
          <w:snapToGrid w:val="0"/>
          <w:kern w:val="0"/>
          <w:szCs w:val="21"/>
        </w:rPr>
        <w:t>磋商响应文件份数：纸质文件壹式叁份（壹份正本、贰份副本），每份响应文件须清楚标明“正本”或“副本”字样。电子版响应文件（U 盘）壹份（随纸质文件一并提交）。当纸质副本文件、电子版文件和纸质正本文件不一致时，以纸质正本文件为准。</w:t>
      </w:r>
    </w:p>
    <w:p w14:paraId="002A4B9C">
      <w:pPr>
        <w:pStyle w:val="4"/>
      </w:pPr>
      <w:bookmarkStart w:id="16" w:name="_Toc4355"/>
      <w:bookmarkStart w:id="17" w:name="_Toc12961"/>
      <w:r>
        <w:rPr>
          <w:rFonts w:hint="eastAsia"/>
        </w:rPr>
        <w:t>（五）开启</w:t>
      </w:r>
      <w:bookmarkEnd w:id="16"/>
      <w:bookmarkEnd w:id="17"/>
    </w:p>
    <w:p w14:paraId="71A342A9">
      <w:pPr>
        <w:adjustRightInd w:val="0"/>
        <w:snapToGrid w:val="0"/>
        <w:spacing w:line="480" w:lineRule="exact"/>
        <w:ind w:firstLine="420" w:firstLineChars="200"/>
        <w:rPr>
          <w:rFonts w:hint="eastAsia" w:ascii="黑体" w:hAnsi="黑体" w:eastAsia="黑体" w:cs="黑体"/>
          <w:snapToGrid w:val="0"/>
          <w:color w:val="000000" w:themeColor="text1"/>
          <w:kern w:val="0"/>
          <w:szCs w:val="21"/>
          <w14:textFill>
            <w14:solidFill>
              <w14:schemeClr w14:val="tx1"/>
            </w14:solidFill>
          </w14:textFill>
        </w:rPr>
      </w:pPr>
      <w:r>
        <w:rPr>
          <w:rFonts w:hint="eastAsia" w:ascii="黑体" w:hAnsi="黑体" w:eastAsia="黑体" w:cs="黑体"/>
          <w:snapToGrid w:val="0"/>
          <w:color w:val="000000" w:themeColor="text1"/>
          <w:kern w:val="0"/>
          <w:szCs w:val="21"/>
          <w14:textFill>
            <w14:solidFill>
              <w14:schemeClr w14:val="tx1"/>
            </w14:solidFill>
          </w14:textFill>
        </w:rPr>
        <w:t>磋商时间：2026年</w:t>
      </w:r>
      <w:r>
        <w:rPr>
          <w:rFonts w:hint="eastAsia" w:ascii="黑体" w:hAnsi="黑体" w:eastAsia="黑体" w:cs="黑体"/>
          <w:snapToGrid w:val="0"/>
          <w:color w:val="000000" w:themeColor="text1"/>
          <w:kern w:val="0"/>
          <w:szCs w:val="21"/>
          <w:u w:val="single"/>
          <w14:textFill>
            <w14:solidFill>
              <w14:schemeClr w14:val="tx1"/>
            </w14:solidFill>
          </w14:textFill>
        </w:rPr>
        <w:t xml:space="preserve"> 03</w:t>
      </w:r>
      <w:r>
        <w:rPr>
          <w:rFonts w:hint="eastAsia" w:ascii="黑体" w:hAnsi="黑体" w:eastAsia="黑体" w:cs="黑体"/>
          <w:snapToGrid w:val="0"/>
          <w:color w:val="000000" w:themeColor="text1"/>
          <w:kern w:val="0"/>
          <w:szCs w:val="21"/>
          <w14:textFill>
            <w14:solidFill>
              <w14:schemeClr w14:val="tx1"/>
            </w14:solidFill>
          </w14:textFill>
        </w:rPr>
        <w:t>月</w:t>
      </w:r>
      <w:r>
        <w:rPr>
          <w:rFonts w:hint="eastAsia" w:ascii="黑体" w:hAnsi="黑体" w:eastAsia="黑体" w:cs="黑体"/>
          <w:snapToGrid w:val="0"/>
          <w:color w:val="000000" w:themeColor="text1"/>
          <w:kern w:val="0"/>
          <w:szCs w:val="21"/>
          <w:u w:val="single"/>
          <w14:textFill>
            <w14:solidFill>
              <w14:schemeClr w14:val="tx1"/>
            </w14:solidFill>
          </w14:textFill>
        </w:rPr>
        <w:t xml:space="preserve"> 19 </w:t>
      </w:r>
      <w:r>
        <w:rPr>
          <w:rFonts w:hint="eastAsia" w:ascii="黑体" w:hAnsi="黑体" w:eastAsia="黑体" w:cs="黑体"/>
          <w:snapToGrid w:val="0"/>
          <w:color w:val="000000" w:themeColor="text1"/>
          <w:kern w:val="0"/>
          <w:szCs w:val="21"/>
          <w14:textFill>
            <w14:solidFill>
              <w14:schemeClr w14:val="tx1"/>
            </w14:solidFill>
          </w14:textFill>
        </w:rPr>
        <w:t>日下午1</w:t>
      </w:r>
      <w:r>
        <w:rPr>
          <w:rFonts w:ascii="黑体" w:hAnsi="黑体" w:eastAsia="黑体" w:cs="黑体"/>
          <w:snapToGrid w:val="0"/>
          <w:color w:val="000000" w:themeColor="text1"/>
          <w:kern w:val="0"/>
          <w:szCs w:val="21"/>
          <w14:textFill>
            <w14:solidFill>
              <w14:schemeClr w14:val="tx1"/>
            </w14:solidFill>
          </w14:textFill>
        </w:rPr>
        <w:t>4</w:t>
      </w:r>
      <w:r>
        <w:rPr>
          <w:rFonts w:hint="eastAsia" w:ascii="黑体" w:hAnsi="黑体" w:eastAsia="黑体" w:cs="黑体"/>
          <w:snapToGrid w:val="0"/>
          <w:color w:val="000000" w:themeColor="text1"/>
          <w:kern w:val="0"/>
          <w:szCs w:val="21"/>
          <w14:textFill>
            <w14:solidFill>
              <w14:schemeClr w14:val="tx1"/>
            </w14:solidFill>
          </w14:textFill>
        </w:rPr>
        <w:t>：30</w:t>
      </w:r>
    </w:p>
    <w:p w14:paraId="1F4146EF">
      <w:pPr>
        <w:adjustRightInd w:val="0"/>
        <w:snapToGrid w:val="0"/>
        <w:spacing w:line="480" w:lineRule="exact"/>
        <w:ind w:firstLine="420" w:firstLineChars="200"/>
        <w:rPr>
          <w:rFonts w:hint="eastAsia" w:ascii="黑体" w:hAnsi="黑体" w:eastAsia="黑体" w:cs="黑体"/>
          <w:snapToGrid w:val="0"/>
          <w:kern w:val="0"/>
          <w:szCs w:val="21"/>
        </w:rPr>
      </w:pPr>
      <w:r>
        <w:rPr>
          <w:rFonts w:hint="eastAsia" w:ascii="黑体" w:hAnsi="黑体" w:eastAsia="黑体" w:cs="黑体"/>
          <w:snapToGrid w:val="0"/>
          <w:kern w:val="0"/>
          <w:szCs w:val="21"/>
        </w:rPr>
        <w:t>磋商地点：南京市秦淮区洪武路23号隆盛大厦5楼会议室；</w:t>
      </w:r>
    </w:p>
    <w:p w14:paraId="264AF227">
      <w:pPr>
        <w:pStyle w:val="4"/>
      </w:pPr>
      <w:bookmarkStart w:id="18" w:name="_Toc35393634"/>
      <w:bookmarkStart w:id="19" w:name="_Toc35393803"/>
      <w:bookmarkStart w:id="20" w:name="_Toc28359094"/>
      <w:bookmarkStart w:id="21" w:name="_Toc22213"/>
      <w:bookmarkStart w:id="22" w:name="_Toc28359017"/>
      <w:bookmarkStart w:id="23" w:name="_Toc25473"/>
      <w:r>
        <w:rPr>
          <w:rFonts w:hint="eastAsia"/>
        </w:rPr>
        <w:t>（六）公告期限</w:t>
      </w:r>
      <w:bookmarkEnd w:id="18"/>
      <w:bookmarkEnd w:id="19"/>
      <w:bookmarkEnd w:id="20"/>
      <w:bookmarkEnd w:id="21"/>
      <w:bookmarkEnd w:id="22"/>
      <w:bookmarkEnd w:id="23"/>
    </w:p>
    <w:p w14:paraId="243885E8">
      <w:pPr>
        <w:adjustRightInd w:val="0"/>
        <w:snapToGrid w:val="0"/>
        <w:spacing w:line="480" w:lineRule="exact"/>
        <w:ind w:firstLine="420" w:firstLineChars="200"/>
        <w:rPr>
          <w:rFonts w:hint="eastAsia" w:ascii="黑体" w:hAnsi="黑体" w:eastAsia="黑体" w:cs="黑体"/>
          <w:snapToGrid w:val="0"/>
          <w:kern w:val="0"/>
          <w:szCs w:val="21"/>
        </w:rPr>
      </w:pPr>
      <w:r>
        <w:rPr>
          <w:rFonts w:hint="eastAsia" w:ascii="黑体" w:hAnsi="黑体" w:eastAsia="黑体" w:cs="黑体"/>
          <w:snapToGrid w:val="0"/>
          <w:kern w:val="0"/>
          <w:szCs w:val="21"/>
        </w:rPr>
        <w:t>自本公告发布之日起5个工作日</w:t>
      </w:r>
    </w:p>
    <w:p w14:paraId="2775D08D">
      <w:pPr>
        <w:pStyle w:val="4"/>
      </w:pPr>
      <w:bookmarkStart w:id="24" w:name="_Toc3506"/>
      <w:bookmarkStart w:id="25" w:name="_Toc17962"/>
      <w:r>
        <w:rPr>
          <w:rFonts w:hint="eastAsia"/>
        </w:rPr>
        <w:t>（七）其他补充事宜</w:t>
      </w:r>
      <w:bookmarkEnd w:id="24"/>
      <w:bookmarkEnd w:id="25"/>
    </w:p>
    <w:p w14:paraId="1D39D80F">
      <w:pPr>
        <w:adjustRightInd w:val="0"/>
        <w:snapToGrid w:val="0"/>
        <w:spacing w:line="480" w:lineRule="exact"/>
        <w:ind w:firstLine="420" w:firstLineChars="200"/>
        <w:rPr>
          <w:rFonts w:hint="eastAsia" w:ascii="黑体" w:hAnsi="黑体" w:eastAsia="黑体" w:cs="黑体"/>
          <w:snapToGrid w:val="0"/>
          <w:color w:val="000000" w:themeColor="text1"/>
          <w:kern w:val="0"/>
          <w:szCs w:val="21"/>
          <w14:textFill>
            <w14:solidFill>
              <w14:schemeClr w14:val="tx1"/>
            </w14:solidFill>
          </w14:textFill>
        </w:rPr>
      </w:pPr>
      <w:r>
        <w:rPr>
          <w:rFonts w:hint="eastAsia" w:ascii="黑体" w:hAnsi="黑体" w:eastAsia="黑体" w:cs="黑体"/>
          <w:snapToGrid w:val="0"/>
          <w:color w:val="000000" w:themeColor="text1"/>
          <w:kern w:val="0"/>
          <w:szCs w:val="21"/>
          <w14:textFill>
            <w14:solidFill>
              <w14:schemeClr w14:val="tx1"/>
            </w14:solidFill>
          </w14:textFill>
        </w:rPr>
        <w:t>响应文件提交时，请供应商法定代表人或其授权委托代表人携带本人有效身份证原件出席。</w:t>
      </w:r>
    </w:p>
    <w:p w14:paraId="6DCE7EB2">
      <w:pPr>
        <w:pStyle w:val="4"/>
      </w:pPr>
      <w:bookmarkStart w:id="26" w:name="_Toc19638"/>
      <w:bookmarkStart w:id="27" w:name="_Toc24051"/>
      <w:r>
        <w:rPr>
          <w:rFonts w:hint="eastAsia"/>
        </w:rPr>
        <w:t>（八）本项目在</w:t>
      </w:r>
      <w:r>
        <w:rPr>
          <w:u w:val="single"/>
        </w:rPr>
        <w:t>南京市栖霞区人民政府（https://www.njqxq.gov.cn/）</w:t>
      </w:r>
      <w:r>
        <w:rPr>
          <w:rFonts w:hint="eastAsia"/>
        </w:rPr>
        <w:t>发布公告。</w:t>
      </w:r>
    </w:p>
    <w:p w14:paraId="25DF6BD3">
      <w:pPr>
        <w:pStyle w:val="4"/>
      </w:pPr>
      <w:r>
        <w:rPr>
          <w:rFonts w:hint="eastAsia"/>
        </w:rPr>
        <w:t>（九）凡对本次采购提出询问，请按以下方式联系</w:t>
      </w:r>
      <w:bookmarkEnd w:id="26"/>
      <w:bookmarkEnd w:id="27"/>
    </w:p>
    <w:p w14:paraId="07384C8E">
      <w:pPr>
        <w:widowControl/>
        <w:shd w:val="clear" w:color="auto" w:fill="FFFFFF"/>
        <w:snapToGrid w:val="0"/>
        <w:spacing w:line="480" w:lineRule="exact"/>
        <w:ind w:firstLine="210" w:firstLineChars="100"/>
        <w:jc w:val="left"/>
        <w:rPr>
          <w:rFonts w:hint="eastAsia" w:ascii="黑体" w:hAnsi="黑体" w:eastAsia="黑体" w:cs="黑体"/>
          <w:snapToGrid w:val="0"/>
          <w:kern w:val="0"/>
          <w:szCs w:val="21"/>
        </w:rPr>
      </w:pPr>
      <w:r>
        <w:rPr>
          <w:rFonts w:hint="eastAsia" w:ascii="黑体" w:hAnsi="黑体" w:eastAsia="黑体" w:cs="黑体"/>
          <w:snapToGrid w:val="0"/>
          <w:kern w:val="0"/>
          <w:szCs w:val="21"/>
        </w:rPr>
        <w:t xml:space="preserve">采购人：南京市栖霞区迈皋桥社区卫生服务中心 </w:t>
      </w:r>
    </w:p>
    <w:p w14:paraId="7CBCC51C">
      <w:pPr>
        <w:widowControl/>
        <w:shd w:val="clear" w:color="auto" w:fill="FFFFFF"/>
        <w:snapToGrid w:val="0"/>
        <w:spacing w:line="480" w:lineRule="exact"/>
        <w:ind w:firstLine="210" w:firstLineChars="100"/>
        <w:jc w:val="left"/>
        <w:rPr>
          <w:rFonts w:hint="eastAsia" w:ascii="黑体" w:hAnsi="黑体" w:eastAsia="黑体" w:cs="黑体"/>
          <w:bCs/>
          <w:kern w:val="0"/>
          <w:szCs w:val="21"/>
        </w:rPr>
      </w:pPr>
      <w:r>
        <w:rPr>
          <w:rFonts w:hint="eastAsia" w:ascii="黑体" w:hAnsi="黑体" w:eastAsia="黑体" w:cs="黑体"/>
          <w:bCs/>
          <w:kern w:val="0"/>
          <w:szCs w:val="21"/>
        </w:rPr>
        <w:t>联系人：程浩</w:t>
      </w:r>
    </w:p>
    <w:p w14:paraId="7282E0C4">
      <w:pPr>
        <w:widowControl/>
        <w:shd w:val="clear" w:color="auto" w:fill="FFFFFF"/>
        <w:snapToGrid w:val="0"/>
        <w:spacing w:line="480" w:lineRule="exact"/>
        <w:ind w:firstLine="210" w:firstLineChars="100"/>
        <w:jc w:val="left"/>
        <w:rPr>
          <w:rFonts w:hint="eastAsia" w:ascii="黑体" w:hAnsi="黑体" w:eastAsia="黑体" w:cs="黑体"/>
          <w:bCs/>
          <w:kern w:val="0"/>
          <w:szCs w:val="21"/>
        </w:rPr>
      </w:pPr>
      <w:r>
        <w:rPr>
          <w:rFonts w:hint="eastAsia" w:ascii="黑体" w:hAnsi="黑体" w:eastAsia="黑体" w:cs="黑体"/>
          <w:bCs/>
          <w:kern w:val="0"/>
          <w:szCs w:val="21"/>
        </w:rPr>
        <w:t>电  话：</w:t>
      </w:r>
      <w:r>
        <w:rPr>
          <w:rFonts w:ascii="黑体" w:hAnsi="黑体" w:eastAsia="黑体" w:cs="黑体"/>
          <w:bCs/>
          <w:kern w:val="0"/>
          <w:szCs w:val="21"/>
        </w:rPr>
        <w:t>025</w:t>
      </w:r>
      <w:r>
        <w:rPr>
          <w:rFonts w:hint="eastAsia" w:ascii="黑体" w:hAnsi="黑体" w:eastAsia="黑体" w:cs="黑体"/>
          <w:bCs/>
          <w:kern w:val="0"/>
          <w:szCs w:val="21"/>
        </w:rPr>
        <w:t>-</w:t>
      </w:r>
      <w:r>
        <w:rPr>
          <w:rFonts w:ascii="黑体" w:hAnsi="黑体" w:eastAsia="黑体" w:cs="黑体"/>
          <w:bCs/>
          <w:kern w:val="0"/>
          <w:szCs w:val="21"/>
        </w:rPr>
        <w:t>85566121</w:t>
      </w:r>
    </w:p>
    <w:p w14:paraId="21F5A376">
      <w:pPr>
        <w:widowControl/>
        <w:shd w:val="clear" w:color="auto" w:fill="FFFFFF"/>
        <w:snapToGrid w:val="0"/>
        <w:spacing w:line="480" w:lineRule="exact"/>
        <w:ind w:firstLine="210" w:firstLineChars="100"/>
        <w:jc w:val="left"/>
        <w:rPr>
          <w:rFonts w:hint="eastAsia" w:ascii="黑体" w:hAnsi="黑体" w:eastAsia="黑体" w:cs="黑体"/>
          <w:snapToGrid w:val="0"/>
          <w:kern w:val="0"/>
          <w:szCs w:val="21"/>
        </w:rPr>
      </w:pPr>
      <w:r>
        <w:rPr>
          <w:rFonts w:hint="eastAsia" w:ascii="黑体" w:hAnsi="黑体" w:eastAsia="黑体" w:cs="黑体"/>
          <w:bCs/>
          <w:kern w:val="0"/>
          <w:szCs w:val="21"/>
        </w:rPr>
        <w:t>地  址：南京市栖霞区迈皋桥街道华银路21-1号</w:t>
      </w:r>
    </w:p>
    <w:p w14:paraId="678C9AD7">
      <w:pPr>
        <w:widowControl/>
        <w:shd w:val="clear" w:color="auto" w:fill="FFFFFF"/>
        <w:snapToGrid w:val="0"/>
        <w:spacing w:line="480" w:lineRule="exact"/>
        <w:ind w:firstLine="210" w:firstLineChars="100"/>
        <w:jc w:val="left"/>
        <w:rPr>
          <w:rFonts w:hint="eastAsia" w:ascii="黑体" w:hAnsi="黑体" w:eastAsia="黑体" w:cs="黑体"/>
          <w:bCs/>
          <w:kern w:val="0"/>
          <w:szCs w:val="21"/>
        </w:rPr>
      </w:pPr>
      <w:r>
        <w:rPr>
          <w:rFonts w:hint="eastAsia" w:ascii="黑体" w:hAnsi="黑体" w:eastAsia="黑体" w:cs="黑体"/>
          <w:bCs/>
          <w:kern w:val="0"/>
          <w:szCs w:val="21"/>
        </w:rPr>
        <w:t>采购代理机构：江苏国衡工程咨询有限公司</w:t>
      </w:r>
    </w:p>
    <w:p w14:paraId="181D140F">
      <w:pPr>
        <w:widowControl/>
        <w:shd w:val="clear" w:color="auto" w:fill="FFFFFF"/>
        <w:snapToGrid w:val="0"/>
        <w:spacing w:line="480" w:lineRule="exact"/>
        <w:ind w:firstLine="210" w:firstLineChars="100"/>
        <w:jc w:val="left"/>
        <w:rPr>
          <w:rFonts w:hint="eastAsia" w:ascii="黑体" w:hAnsi="黑体" w:eastAsia="黑体" w:cs="黑体"/>
          <w:bCs/>
          <w:kern w:val="0"/>
          <w:szCs w:val="21"/>
        </w:rPr>
      </w:pPr>
      <w:r>
        <w:rPr>
          <w:rFonts w:hint="eastAsia" w:ascii="黑体" w:hAnsi="黑体" w:eastAsia="黑体" w:cs="黑体"/>
          <w:bCs/>
          <w:kern w:val="0"/>
          <w:szCs w:val="21"/>
        </w:rPr>
        <w:t>项目经办人：史工</w:t>
      </w:r>
    </w:p>
    <w:p w14:paraId="2E9730C8">
      <w:pPr>
        <w:widowControl/>
        <w:shd w:val="clear" w:color="auto" w:fill="FFFFFF"/>
        <w:snapToGrid w:val="0"/>
        <w:spacing w:line="480" w:lineRule="exact"/>
        <w:ind w:firstLine="210" w:firstLineChars="100"/>
        <w:jc w:val="left"/>
        <w:rPr>
          <w:rFonts w:hint="eastAsia" w:ascii="黑体" w:hAnsi="黑体" w:eastAsia="黑体" w:cs="黑体"/>
          <w:bCs/>
          <w:kern w:val="0"/>
          <w:szCs w:val="21"/>
        </w:rPr>
      </w:pPr>
      <w:r>
        <w:rPr>
          <w:rFonts w:hint="eastAsia" w:ascii="黑体" w:hAnsi="黑体" w:eastAsia="黑体" w:cs="黑体"/>
          <w:bCs/>
          <w:kern w:val="0"/>
          <w:szCs w:val="21"/>
        </w:rPr>
        <w:t>电      话：13276621134</w:t>
      </w:r>
    </w:p>
    <w:p w14:paraId="79373E5F">
      <w:pPr>
        <w:widowControl/>
        <w:shd w:val="clear" w:color="auto" w:fill="FFFFFF"/>
        <w:snapToGrid w:val="0"/>
        <w:spacing w:line="480" w:lineRule="exact"/>
        <w:ind w:firstLine="210" w:firstLineChars="100"/>
        <w:jc w:val="left"/>
        <w:rPr>
          <w:rFonts w:hint="eastAsia" w:ascii="黑体" w:hAnsi="黑体" w:eastAsia="黑体" w:cs="黑体"/>
          <w:bCs/>
          <w:kern w:val="0"/>
          <w:szCs w:val="21"/>
        </w:rPr>
      </w:pPr>
      <w:r>
        <w:rPr>
          <w:rFonts w:hint="eastAsia" w:ascii="黑体" w:hAnsi="黑体" w:eastAsia="黑体" w:cs="黑体"/>
          <w:bCs/>
          <w:kern w:val="0"/>
          <w:szCs w:val="21"/>
        </w:rPr>
        <w:t>传      真：025-83232751-8112</w:t>
      </w:r>
    </w:p>
    <w:p w14:paraId="5760BAEC">
      <w:pPr>
        <w:widowControl/>
        <w:shd w:val="clear" w:color="auto" w:fill="FFFFFF"/>
        <w:snapToGrid w:val="0"/>
        <w:spacing w:line="480" w:lineRule="exact"/>
        <w:ind w:firstLine="210" w:firstLineChars="100"/>
        <w:jc w:val="left"/>
        <w:rPr>
          <w:rFonts w:hint="eastAsia" w:ascii="黑体" w:hAnsi="黑体" w:eastAsia="黑体" w:cs="黑体"/>
          <w:bCs/>
          <w:kern w:val="0"/>
          <w:szCs w:val="21"/>
        </w:rPr>
      </w:pPr>
      <w:r>
        <w:rPr>
          <w:rFonts w:hint="eastAsia" w:ascii="黑体" w:hAnsi="黑体" w:eastAsia="黑体" w:cs="黑体"/>
          <w:bCs/>
          <w:kern w:val="0"/>
          <w:szCs w:val="21"/>
        </w:rPr>
        <w:t>地      址：南京市秦淮区洪武路23号隆盛大厦5楼</w:t>
      </w:r>
    </w:p>
    <w:p w14:paraId="34EFC5AE">
      <w:pPr>
        <w:adjustRightInd w:val="0"/>
        <w:snapToGrid w:val="0"/>
        <w:spacing w:line="480" w:lineRule="exact"/>
        <w:ind w:firstLine="210" w:firstLineChars="100"/>
        <w:rPr>
          <w:rFonts w:hint="eastAsia" w:ascii="黑体" w:hAnsi="黑体" w:eastAsia="黑体" w:cs="黑体"/>
          <w:bCs/>
          <w:kern w:val="0"/>
          <w:szCs w:val="21"/>
        </w:rPr>
      </w:pPr>
      <w:r>
        <w:rPr>
          <w:rFonts w:hint="eastAsia" w:ascii="黑体" w:hAnsi="黑体" w:eastAsia="黑体" w:cs="黑体"/>
          <w:bCs/>
          <w:kern w:val="0"/>
          <w:szCs w:val="21"/>
        </w:rPr>
        <w:t>邮      箱：</w:t>
      </w:r>
      <w:bookmarkStart w:id="28" w:name="_Hlk209625648"/>
      <w:r>
        <w:fldChar w:fldCharType="begin"/>
      </w:r>
      <w:r>
        <w:instrText xml:space="preserve">HYPERLINK "mailto:shijia402960489@cc.com"</w:instrText>
      </w:r>
      <w:r>
        <w:fldChar w:fldCharType="separate"/>
      </w:r>
      <w:r>
        <w:rPr>
          <w:rFonts w:hint="eastAsia" w:ascii="黑体" w:hAnsi="黑体" w:eastAsia="黑体" w:cs="黑体"/>
          <w:bCs/>
          <w:kern w:val="0"/>
          <w:szCs w:val="21"/>
        </w:rPr>
        <w:t>shijia</w:t>
      </w:r>
      <w:r>
        <w:rPr>
          <w:rFonts w:hint="eastAsia"/>
          <w:bCs/>
        </w:rPr>
        <w:t>402960489@qq.com</w:t>
      </w:r>
      <w:r>
        <w:fldChar w:fldCharType="end"/>
      </w:r>
      <w:bookmarkEnd w:id="28"/>
    </w:p>
    <w:p w14:paraId="6D7F64CC">
      <w:pPr>
        <w:widowControl/>
        <w:shd w:val="clear" w:color="auto" w:fill="FFFFFF"/>
        <w:snapToGrid w:val="0"/>
        <w:spacing w:line="480" w:lineRule="exact"/>
        <w:ind w:firstLine="210" w:firstLineChars="100"/>
        <w:rPr>
          <w:rFonts w:hint="eastAsia" w:ascii="黑体" w:hAnsi="黑体" w:eastAsia="黑体" w:cs="黑体"/>
          <w:bCs/>
          <w:kern w:val="0"/>
          <w:szCs w:val="21"/>
        </w:rPr>
      </w:pPr>
      <w:r>
        <w:rPr>
          <w:rFonts w:hint="eastAsia" w:ascii="黑体" w:hAnsi="黑体" w:eastAsia="黑体" w:cs="黑体"/>
          <w:snapToGrid w:val="0"/>
          <w:kern w:val="0"/>
          <w:szCs w:val="21"/>
        </w:rPr>
        <w:t>项目</w:t>
      </w:r>
      <w:r>
        <w:rPr>
          <w:rFonts w:hint="eastAsia" w:ascii="黑体" w:hAnsi="黑体" w:eastAsia="黑体" w:cs="黑体"/>
          <w:bCs/>
          <w:kern w:val="0"/>
          <w:szCs w:val="21"/>
        </w:rPr>
        <w:t>联系方式：13276621134</w:t>
      </w:r>
    </w:p>
    <w:p w14:paraId="4B4AD5FA">
      <w:pPr>
        <w:widowControl/>
        <w:shd w:val="clear" w:color="auto" w:fill="FFFFFF"/>
        <w:snapToGrid w:val="0"/>
        <w:spacing w:line="480" w:lineRule="exact"/>
        <w:ind w:firstLine="210" w:firstLineChars="100"/>
      </w:pPr>
      <w:r>
        <w:rPr>
          <w:rFonts w:hint="eastAsia" w:ascii="黑体" w:hAnsi="黑体" w:eastAsia="黑体" w:cs="黑体"/>
          <w:bCs/>
          <w:kern w:val="0"/>
          <w:szCs w:val="21"/>
        </w:rPr>
        <w:t>项目联系人：史工</w:t>
      </w:r>
    </w:p>
    <w:p w14:paraId="10FFB901">
      <w:pPr>
        <w:widowControl/>
        <w:ind w:left="422"/>
        <w:jc w:val="left"/>
        <w:rPr>
          <w:rFonts w:hint="eastAsia" w:ascii="黑体" w:hAnsi="黑体" w:eastAsia="黑体" w:cs="黑体"/>
          <w:snapToGrid w:val="0"/>
          <w:kern w:val="0"/>
          <w:sz w:val="24"/>
          <w:szCs w:val="24"/>
        </w:rPr>
      </w:pPr>
      <w:bookmarkStart w:id="29" w:name="_Toc507142085"/>
      <w:bookmarkStart w:id="30" w:name="_Toc32474"/>
      <w:bookmarkStart w:id="31" w:name="_Toc2145"/>
    </w:p>
    <w:p w14:paraId="563417FB">
      <w:pPr>
        <w:widowControl/>
        <w:jc w:val="left"/>
      </w:pPr>
      <w:r>
        <w:br w:type="page"/>
      </w:r>
    </w:p>
    <w:p w14:paraId="74F4E5DC">
      <w:pPr>
        <w:pStyle w:val="2"/>
      </w:pPr>
    </w:p>
    <w:p w14:paraId="3D692565">
      <w:pPr>
        <w:pStyle w:val="3"/>
        <w:rPr>
          <w:rFonts w:hint="eastAsia"/>
        </w:rPr>
      </w:pPr>
      <w:r>
        <w:rPr>
          <w:rFonts w:hint="eastAsia"/>
        </w:rPr>
        <w:t>二、</w:t>
      </w:r>
      <w:bookmarkEnd w:id="29"/>
      <w:bookmarkStart w:id="32" w:name="_Toc507142086"/>
      <w:bookmarkStart w:id="33" w:name="_Toc476738206"/>
      <w:bookmarkStart w:id="34" w:name="_Toc463776813"/>
      <w:bookmarkStart w:id="35" w:name="_Toc463785803"/>
      <w:bookmarkStart w:id="36" w:name="_Toc429656515"/>
      <w:r>
        <w:rPr>
          <w:rFonts w:hint="eastAsia"/>
        </w:rPr>
        <w:t>供应商须知前附表</w:t>
      </w:r>
      <w:bookmarkEnd w:id="30"/>
      <w:bookmarkEnd w:id="31"/>
      <w:bookmarkEnd w:id="32"/>
      <w:bookmarkEnd w:id="33"/>
      <w:bookmarkEnd w:id="34"/>
      <w:bookmarkEnd w:id="35"/>
      <w:bookmarkEnd w:id="36"/>
    </w:p>
    <w:tbl>
      <w:tblPr>
        <w:tblStyle w:val="24"/>
        <w:tblW w:w="861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3"/>
        <w:gridCol w:w="2693"/>
        <w:gridCol w:w="5340"/>
      </w:tblGrid>
      <w:tr w14:paraId="418F27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jc w:val="center"/>
        </w:trPr>
        <w:tc>
          <w:tcPr>
            <w:tcW w:w="583" w:type="dxa"/>
            <w:vAlign w:val="center"/>
          </w:tcPr>
          <w:p w14:paraId="05CC58DB">
            <w:pPr>
              <w:rPr>
                <w:rFonts w:hint="eastAsia" w:ascii="黑体" w:hAnsi="黑体" w:eastAsia="黑体" w:cs="黑体"/>
              </w:rPr>
            </w:pPr>
            <w:r>
              <w:rPr>
                <w:rFonts w:hint="eastAsia" w:ascii="黑体" w:hAnsi="黑体" w:eastAsia="黑体" w:cs="黑体"/>
              </w:rPr>
              <w:t>序号</w:t>
            </w:r>
          </w:p>
        </w:tc>
        <w:tc>
          <w:tcPr>
            <w:tcW w:w="2693" w:type="dxa"/>
            <w:vAlign w:val="center"/>
          </w:tcPr>
          <w:p w14:paraId="0B796FC7">
            <w:pPr>
              <w:ind w:left="422" w:firstLine="420" w:firstLineChars="200"/>
              <w:rPr>
                <w:rFonts w:hint="eastAsia" w:ascii="黑体" w:hAnsi="黑体" w:eastAsia="黑体" w:cs="黑体"/>
              </w:rPr>
            </w:pPr>
            <w:r>
              <w:rPr>
                <w:rFonts w:hint="eastAsia" w:ascii="黑体" w:hAnsi="黑体" w:eastAsia="黑体" w:cs="黑体"/>
              </w:rPr>
              <w:t>条款名称</w:t>
            </w:r>
          </w:p>
        </w:tc>
        <w:tc>
          <w:tcPr>
            <w:tcW w:w="5340" w:type="dxa"/>
            <w:vAlign w:val="center"/>
          </w:tcPr>
          <w:p w14:paraId="4CC1CAD5">
            <w:pPr>
              <w:ind w:left="422"/>
              <w:jc w:val="center"/>
              <w:rPr>
                <w:rFonts w:hint="eastAsia" w:ascii="黑体" w:hAnsi="黑体" w:eastAsia="黑体" w:cs="黑体"/>
              </w:rPr>
            </w:pPr>
            <w:r>
              <w:rPr>
                <w:rFonts w:hint="eastAsia" w:ascii="黑体" w:hAnsi="黑体" w:eastAsia="黑体" w:cs="黑体"/>
              </w:rPr>
              <w:t>相关内容</w:t>
            </w:r>
          </w:p>
        </w:tc>
      </w:tr>
      <w:tr w14:paraId="089BB2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583" w:type="dxa"/>
            <w:vMerge w:val="restart"/>
            <w:vAlign w:val="center"/>
          </w:tcPr>
          <w:p w14:paraId="2BE340E3">
            <w:pPr>
              <w:jc w:val="center"/>
              <w:rPr>
                <w:rFonts w:hint="eastAsia" w:ascii="黑体" w:hAnsi="黑体" w:eastAsia="黑体" w:cs="黑体"/>
              </w:rPr>
            </w:pPr>
            <w:r>
              <w:rPr>
                <w:rFonts w:hint="eastAsia" w:ascii="黑体" w:hAnsi="黑体" w:eastAsia="黑体" w:cs="黑体"/>
              </w:rPr>
              <w:t>1</w:t>
            </w:r>
          </w:p>
        </w:tc>
        <w:tc>
          <w:tcPr>
            <w:tcW w:w="2693" w:type="dxa"/>
            <w:vAlign w:val="center"/>
          </w:tcPr>
          <w:p w14:paraId="483D19BC">
            <w:pPr>
              <w:ind w:left="422" w:firstLine="420" w:firstLineChars="200"/>
              <w:rPr>
                <w:rFonts w:hint="eastAsia" w:ascii="黑体" w:hAnsi="黑体" w:eastAsia="黑体" w:cs="黑体"/>
              </w:rPr>
            </w:pPr>
            <w:r>
              <w:rPr>
                <w:rFonts w:hint="eastAsia" w:ascii="黑体" w:hAnsi="黑体" w:eastAsia="黑体" w:cs="黑体"/>
              </w:rPr>
              <w:t>采购项目</w:t>
            </w:r>
          </w:p>
        </w:tc>
        <w:tc>
          <w:tcPr>
            <w:tcW w:w="5340" w:type="dxa"/>
            <w:vAlign w:val="center"/>
          </w:tcPr>
          <w:p w14:paraId="6B110FE5">
            <w:pPr>
              <w:ind w:left="422"/>
              <w:jc w:val="center"/>
              <w:rPr>
                <w:rFonts w:hint="eastAsia" w:ascii="黑体" w:hAnsi="黑体" w:eastAsia="黑体" w:cs="黑体"/>
                <w:szCs w:val="32"/>
              </w:rPr>
            </w:pPr>
            <w:r>
              <w:rPr>
                <w:rFonts w:hint="eastAsia" w:ascii="黑体" w:hAnsi="黑体" w:eastAsia="黑体" w:cs="黑体"/>
                <w:szCs w:val="32"/>
              </w:rPr>
              <w:t xml:space="preserve">南京市栖霞区迈皋桥社区卫生服务中心儿童眼保健服务采购项目 </w:t>
            </w:r>
          </w:p>
        </w:tc>
      </w:tr>
      <w:tr w14:paraId="74FE94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583" w:type="dxa"/>
            <w:vMerge w:val="continue"/>
            <w:tcBorders>
              <w:top w:val="nil"/>
            </w:tcBorders>
            <w:vAlign w:val="center"/>
          </w:tcPr>
          <w:p w14:paraId="5826A6C1">
            <w:pPr>
              <w:ind w:left="422"/>
              <w:jc w:val="center"/>
              <w:rPr>
                <w:rFonts w:hint="eastAsia" w:ascii="黑体" w:hAnsi="黑体" w:eastAsia="黑体" w:cs="黑体"/>
              </w:rPr>
            </w:pPr>
          </w:p>
        </w:tc>
        <w:tc>
          <w:tcPr>
            <w:tcW w:w="2693" w:type="dxa"/>
            <w:vAlign w:val="center"/>
          </w:tcPr>
          <w:p w14:paraId="5DD81CDE">
            <w:pPr>
              <w:ind w:left="422" w:firstLine="420" w:firstLineChars="200"/>
              <w:rPr>
                <w:rFonts w:hint="eastAsia" w:ascii="黑体" w:hAnsi="黑体" w:eastAsia="黑体" w:cs="黑体"/>
              </w:rPr>
            </w:pPr>
            <w:r>
              <w:rPr>
                <w:rFonts w:hint="eastAsia" w:ascii="黑体" w:hAnsi="黑体" w:eastAsia="黑体" w:cs="黑体"/>
              </w:rPr>
              <w:t>采购预算</w:t>
            </w:r>
          </w:p>
        </w:tc>
        <w:tc>
          <w:tcPr>
            <w:tcW w:w="5340" w:type="dxa"/>
            <w:vAlign w:val="center"/>
          </w:tcPr>
          <w:p w14:paraId="46D859EC">
            <w:pPr>
              <w:spacing w:line="360" w:lineRule="auto"/>
              <w:ind w:left="1470" w:leftChars="200" w:hanging="1050" w:hangingChars="500"/>
              <w:jc w:val="center"/>
              <w:rPr>
                <w:rFonts w:hint="eastAsia" w:ascii="黑体" w:hAnsi="黑体" w:eastAsia="黑体" w:cs="黑体"/>
              </w:rPr>
            </w:pPr>
            <w:r>
              <w:rPr>
                <w:rFonts w:hint="eastAsia" w:ascii="黑体" w:hAnsi="黑体" w:eastAsia="黑体" w:cs="黑体"/>
                <w:snapToGrid w:val="0"/>
                <w:kern w:val="0"/>
                <w:szCs w:val="21"/>
              </w:rPr>
              <w:t>200000元</w:t>
            </w:r>
          </w:p>
        </w:tc>
      </w:tr>
      <w:tr w14:paraId="58D2F7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jc w:val="center"/>
        </w:trPr>
        <w:tc>
          <w:tcPr>
            <w:tcW w:w="583" w:type="dxa"/>
            <w:vMerge w:val="continue"/>
            <w:tcBorders>
              <w:top w:val="nil"/>
            </w:tcBorders>
            <w:vAlign w:val="center"/>
          </w:tcPr>
          <w:p w14:paraId="6591877E">
            <w:pPr>
              <w:ind w:left="422"/>
              <w:jc w:val="center"/>
              <w:rPr>
                <w:rFonts w:hint="eastAsia" w:ascii="黑体" w:hAnsi="黑体" w:eastAsia="黑体" w:cs="黑体"/>
              </w:rPr>
            </w:pPr>
          </w:p>
        </w:tc>
        <w:tc>
          <w:tcPr>
            <w:tcW w:w="2693" w:type="dxa"/>
            <w:vAlign w:val="center"/>
          </w:tcPr>
          <w:p w14:paraId="1B07E1E4">
            <w:pPr>
              <w:ind w:firstLine="210" w:firstLineChars="100"/>
              <w:rPr>
                <w:rFonts w:hint="eastAsia" w:ascii="黑体" w:hAnsi="黑体" w:eastAsia="黑体" w:cs="黑体"/>
              </w:rPr>
            </w:pPr>
            <w:r>
              <w:rPr>
                <w:rFonts w:hint="eastAsia" w:ascii="黑体" w:hAnsi="黑体" w:eastAsia="黑体" w:cs="黑体"/>
              </w:rPr>
              <w:t>本项目设定的最高限价</w:t>
            </w:r>
          </w:p>
        </w:tc>
        <w:tc>
          <w:tcPr>
            <w:tcW w:w="5340" w:type="dxa"/>
            <w:vAlign w:val="center"/>
          </w:tcPr>
          <w:p w14:paraId="187197A3">
            <w:pPr>
              <w:rPr>
                <w:rFonts w:hint="eastAsia" w:ascii="黑体" w:hAnsi="黑体" w:eastAsia="黑体" w:cs="黑体"/>
                <w:szCs w:val="32"/>
              </w:rPr>
            </w:pPr>
            <w:r>
              <w:rPr>
                <w:rFonts w:hint="eastAsia" w:ascii="黑体" w:hAnsi="黑体" w:eastAsia="黑体" w:cs="黑体"/>
                <w:szCs w:val="32"/>
              </w:rPr>
              <w:t>门诊眼保健基础筛查服务</w:t>
            </w:r>
            <w:r>
              <w:rPr>
                <w:rFonts w:ascii="黑体" w:hAnsi="黑体" w:eastAsia="黑体" w:cs="黑体"/>
                <w:szCs w:val="32"/>
              </w:rPr>
              <w:t>报价不超过省市医保部门批准收费价格的</w:t>
            </w:r>
            <w:r>
              <w:rPr>
                <w:rFonts w:hint="eastAsia" w:ascii="黑体" w:hAnsi="黑体" w:eastAsia="黑体" w:cs="黑体"/>
                <w:szCs w:val="32"/>
              </w:rPr>
              <w:t>45%；其他视功能辅助检查筛查及拓展服务报价</w:t>
            </w:r>
            <w:r>
              <w:rPr>
                <w:rFonts w:ascii="黑体" w:hAnsi="黑体" w:eastAsia="黑体" w:cs="黑体"/>
                <w:szCs w:val="32"/>
              </w:rPr>
              <w:t>不超过省市医保部门批准收费价格的</w:t>
            </w:r>
            <w:r>
              <w:rPr>
                <w:rFonts w:hint="eastAsia" w:ascii="黑体" w:hAnsi="黑体" w:eastAsia="黑体" w:cs="黑体"/>
                <w:szCs w:val="32"/>
              </w:rPr>
              <w:t>55%。</w:t>
            </w:r>
          </w:p>
        </w:tc>
      </w:tr>
      <w:tr w14:paraId="6E0735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jc w:val="center"/>
        </w:trPr>
        <w:tc>
          <w:tcPr>
            <w:tcW w:w="583" w:type="dxa"/>
            <w:vMerge w:val="continue"/>
            <w:tcBorders>
              <w:top w:val="nil"/>
            </w:tcBorders>
            <w:vAlign w:val="center"/>
          </w:tcPr>
          <w:p w14:paraId="3067CE7A">
            <w:pPr>
              <w:ind w:left="422"/>
              <w:jc w:val="center"/>
              <w:rPr>
                <w:rFonts w:hint="eastAsia" w:ascii="黑体" w:hAnsi="黑体" w:eastAsia="黑体" w:cs="黑体"/>
              </w:rPr>
            </w:pPr>
          </w:p>
        </w:tc>
        <w:tc>
          <w:tcPr>
            <w:tcW w:w="2693" w:type="dxa"/>
            <w:vAlign w:val="center"/>
          </w:tcPr>
          <w:p w14:paraId="1968DA31">
            <w:pPr>
              <w:ind w:left="422" w:firstLine="420" w:firstLineChars="200"/>
              <w:rPr>
                <w:rFonts w:hint="eastAsia" w:ascii="黑体" w:hAnsi="黑体" w:eastAsia="黑体" w:cs="黑体"/>
              </w:rPr>
            </w:pPr>
            <w:r>
              <w:rPr>
                <w:rFonts w:hint="eastAsia" w:ascii="黑体" w:hAnsi="黑体" w:eastAsia="黑体" w:cs="黑体"/>
              </w:rPr>
              <w:t>公告媒体</w:t>
            </w:r>
          </w:p>
        </w:tc>
        <w:tc>
          <w:tcPr>
            <w:tcW w:w="5340" w:type="dxa"/>
            <w:vAlign w:val="center"/>
          </w:tcPr>
          <w:p w14:paraId="6687424B">
            <w:pPr>
              <w:ind w:left="422"/>
              <w:jc w:val="center"/>
              <w:rPr>
                <w:rFonts w:hint="eastAsia" w:ascii="黑体" w:hAnsi="黑体" w:eastAsia="黑体" w:cs="黑体"/>
                <w:szCs w:val="22"/>
              </w:rPr>
            </w:pPr>
            <w:r>
              <w:rPr>
                <w:u w:val="single"/>
              </w:rPr>
              <w:t>南京市栖霞区人民政府（https://www.njqxq.gov.cn/）</w:t>
            </w:r>
          </w:p>
        </w:tc>
      </w:tr>
      <w:tr w14:paraId="399556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 w:hRule="atLeast"/>
          <w:jc w:val="center"/>
        </w:trPr>
        <w:tc>
          <w:tcPr>
            <w:tcW w:w="583" w:type="dxa"/>
            <w:vAlign w:val="center"/>
          </w:tcPr>
          <w:p w14:paraId="25A7CB4C">
            <w:pPr>
              <w:jc w:val="center"/>
              <w:rPr>
                <w:rFonts w:hint="eastAsia" w:ascii="黑体" w:hAnsi="黑体" w:eastAsia="黑体" w:cs="黑体"/>
              </w:rPr>
            </w:pPr>
            <w:r>
              <w:rPr>
                <w:rFonts w:hint="eastAsia" w:ascii="黑体" w:hAnsi="黑体" w:eastAsia="黑体" w:cs="黑体"/>
              </w:rPr>
              <w:t>2</w:t>
            </w:r>
          </w:p>
        </w:tc>
        <w:tc>
          <w:tcPr>
            <w:tcW w:w="2693" w:type="dxa"/>
            <w:vAlign w:val="center"/>
          </w:tcPr>
          <w:p w14:paraId="312EE393">
            <w:pPr>
              <w:ind w:firstLine="630" w:firstLineChars="300"/>
              <w:rPr>
                <w:rFonts w:hint="eastAsia" w:ascii="黑体" w:hAnsi="黑体" w:eastAsia="黑体" w:cs="黑体"/>
              </w:rPr>
            </w:pPr>
            <w:r>
              <w:rPr>
                <w:rFonts w:hint="eastAsia" w:ascii="黑体" w:hAnsi="黑体" w:eastAsia="黑体" w:cs="黑体"/>
              </w:rPr>
              <w:t>采购人名称</w:t>
            </w:r>
          </w:p>
        </w:tc>
        <w:tc>
          <w:tcPr>
            <w:tcW w:w="5340" w:type="dxa"/>
            <w:vAlign w:val="center"/>
          </w:tcPr>
          <w:p w14:paraId="6EDD4462">
            <w:pPr>
              <w:ind w:left="422" w:firstLine="420" w:firstLineChars="200"/>
              <w:rPr>
                <w:rFonts w:hint="eastAsia" w:ascii="黑体" w:hAnsi="黑体" w:eastAsia="黑体" w:cs="黑体"/>
                <w:u w:val="single"/>
              </w:rPr>
            </w:pPr>
            <w:r>
              <w:rPr>
                <w:rFonts w:hint="eastAsia" w:ascii="黑体" w:hAnsi="黑体" w:eastAsia="黑体" w:cs="黑体"/>
                <w:u w:val="single"/>
              </w:rPr>
              <w:t>南京市栖霞区迈皋桥社区卫生服务中心</w:t>
            </w:r>
          </w:p>
        </w:tc>
      </w:tr>
      <w:tr w14:paraId="56A93C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1" w:hRule="atLeast"/>
          <w:jc w:val="center"/>
        </w:trPr>
        <w:tc>
          <w:tcPr>
            <w:tcW w:w="583" w:type="dxa"/>
            <w:vAlign w:val="center"/>
          </w:tcPr>
          <w:p w14:paraId="3122FE9B">
            <w:pPr>
              <w:ind w:firstLine="210" w:firstLineChars="100"/>
              <w:rPr>
                <w:rFonts w:hint="eastAsia" w:ascii="黑体" w:hAnsi="黑体" w:eastAsia="黑体" w:cs="黑体"/>
              </w:rPr>
            </w:pPr>
            <w:r>
              <w:rPr>
                <w:rFonts w:hint="eastAsia" w:ascii="黑体" w:hAnsi="黑体" w:eastAsia="黑体" w:cs="黑体"/>
              </w:rPr>
              <w:t>3</w:t>
            </w:r>
          </w:p>
        </w:tc>
        <w:tc>
          <w:tcPr>
            <w:tcW w:w="2693" w:type="dxa"/>
            <w:vAlign w:val="center"/>
          </w:tcPr>
          <w:p w14:paraId="268E3EF3">
            <w:pPr>
              <w:ind w:firstLine="630" w:firstLineChars="300"/>
              <w:rPr>
                <w:rFonts w:hint="eastAsia" w:ascii="黑体" w:hAnsi="黑体" w:eastAsia="黑体" w:cs="黑体"/>
              </w:rPr>
            </w:pPr>
            <w:r>
              <w:rPr>
                <w:rFonts w:hint="eastAsia" w:ascii="黑体" w:hAnsi="黑体" w:eastAsia="黑体" w:cs="黑体"/>
              </w:rPr>
              <w:t>采购代理机构</w:t>
            </w:r>
          </w:p>
        </w:tc>
        <w:tc>
          <w:tcPr>
            <w:tcW w:w="5340" w:type="dxa"/>
            <w:vAlign w:val="center"/>
          </w:tcPr>
          <w:p w14:paraId="3A11C46C">
            <w:pPr>
              <w:ind w:left="422"/>
              <w:jc w:val="center"/>
              <w:rPr>
                <w:rFonts w:hint="eastAsia" w:ascii="黑体" w:hAnsi="黑体" w:eastAsia="黑体" w:cs="黑体"/>
              </w:rPr>
            </w:pPr>
            <w:r>
              <w:rPr>
                <w:rFonts w:hint="eastAsia" w:ascii="黑体" w:hAnsi="黑体" w:eastAsia="黑体" w:cs="黑体"/>
              </w:rPr>
              <w:t>江苏国衡工程咨询有限公司</w:t>
            </w:r>
          </w:p>
        </w:tc>
      </w:tr>
      <w:tr w14:paraId="2B3519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5" w:hRule="atLeast"/>
          <w:jc w:val="center"/>
        </w:trPr>
        <w:tc>
          <w:tcPr>
            <w:tcW w:w="583" w:type="dxa"/>
            <w:vAlign w:val="center"/>
          </w:tcPr>
          <w:p w14:paraId="357EF4BD">
            <w:pPr>
              <w:ind w:firstLine="210" w:firstLineChars="100"/>
              <w:rPr>
                <w:rFonts w:hint="eastAsia" w:ascii="黑体" w:hAnsi="黑体" w:eastAsia="黑体" w:cs="黑体"/>
              </w:rPr>
            </w:pPr>
            <w:r>
              <w:rPr>
                <w:rFonts w:hint="eastAsia" w:ascii="黑体" w:hAnsi="黑体" w:eastAsia="黑体" w:cs="黑体"/>
              </w:rPr>
              <w:t>4</w:t>
            </w:r>
          </w:p>
        </w:tc>
        <w:tc>
          <w:tcPr>
            <w:tcW w:w="2693" w:type="dxa"/>
            <w:vAlign w:val="center"/>
          </w:tcPr>
          <w:p w14:paraId="627FCEC6">
            <w:pPr>
              <w:ind w:firstLine="420" w:firstLineChars="200"/>
              <w:rPr>
                <w:rFonts w:hint="eastAsia" w:ascii="黑体" w:hAnsi="黑体" w:eastAsia="黑体" w:cs="黑体"/>
              </w:rPr>
            </w:pPr>
            <w:r>
              <w:rPr>
                <w:rFonts w:hint="eastAsia" w:ascii="黑体" w:hAnsi="黑体" w:eastAsia="黑体" w:cs="黑体"/>
              </w:rPr>
              <w:t>供应商资格条件</w:t>
            </w:r>
          </w:p>
        </w:tc>
        <w:tc>
          <w:tcPr>
            <w:tcW w:w="5340" w:type="dxa"/>
            <w:vAlign w:val="center"/>
          </w:tcPr>
          <w:p w14:paraId="5C2C7325">
            <w:pPr>
              <w:ind w:firstLine="210" w:firstLineChars="100"/>
              <w:jc w:val="left"/>
              <w:rPr>
                <w:rFonts w:hint="eastAsia" w:ascii="黑体" w:hAnsi="黑体" w:eastAsia="黑体" w:cs="黑体"/>
              </w:rPr>
            </w:pPr>
            <w:r>
              <w:rPr>
                <w:rFonts w:hint="eastAsia" w:ascii="黑体" w:hAnsi="黑体" w:eastAsia="黑体" w:cs="黑体"/>
              </w:rPr>
              <w:t>符合《</w:t>
            </w:r>
            <w:r>
              <w:rPr>
                <w:rFonts w:hint="eastAsia" w:ascii="黑体" w:hAnsi="黑体" w:eastAsia="黑体" w:cs="黑体"/>
                <w:lang w:val="en-US" w:eastAsia="zh-CN"/>
              </w:rPr>
              <w:t>中华人民共和国</w:t>
            </w:r>
            <w:r>
              <w:rPr>
                <w:rFonts w:hint="eastAsia" w:ascii="黑体" w:hAnsi="黑体" w:eastAsia="黑体" w:cs="黑体"/>
              </w:rPr>
              <w:t>政府采购法》第二十二条规定的供应商条件。</w:t>
            </w:r>
          </w:p>
          <w:p w14:paraId="304A3DE4">
            <w:pPr>
              <w:ind w:left="422" w:firstLine="210" w:firstLineChars="100"/>
              <w:jc w:val="left"/>
              <w:rPr>
                <w:rFonts w:hint="eastAsia" w:ascii="黑体" w:hAnsi="黑体" w:eastAsia="黑体" w:cs="黑体"/>
              </w:rPr>
            </w:pPr>
            <w:r>
              <w:rPr>
                <w:rFonts w:hint="eastAsia" w:ascii="黑体" w:hAnsi="黑体" w:eastAsia="黑体" w:cs="黑体"/>
              </w:rPr>
              <w:t>其他特定资格条件：详见采购公告</w:t>
            </w:r>
          </w:p>
        </w:tc>
      </w:tr>
      <w:tr w14:paraId="615B3E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583" w:type="dxa"/>
            <w:vAlign w:val="center"/>
          </w:tcPr>
          <w:p w14:paraId="2F1DADB6">
            <w:pPr>
              <w:ind w:firstLine="210" w:firstLineChars="100"/>
              <w:rPr>
                <w:rFonts w:hint="eastAsia" w:ascii="黑体" w:hAnsi="黑体" w:eastAsia="黑体" w:cs="黑体"/>
              </w:rPr>
            </w:pPr>
            <w:r>
              <w:rPr>
                <w:rFonts w:hint="eastAsia" w:ascii="黑体" w:hAnsi="黑体" w:eastAsia="黑体" w:cs="黑体"/>
              </w:rPr>
              <w:t>5</w:t>
            </w:r>
          </w:p>
        </w:tc>
        <w:tc>
          <w:tcPr>
            <w:tcW w:w="2693" w:type="dxa"/>
            <w:vAlign w:val="center"/>
          </w:tcPr>
          <w:p w14:paraId="209DF8A9">
            <w:pPr>
              <w:ind w:left="422"/>
              <w:rPr>
                <w:rFonts w:hint="eastAsia" w:ascii="黑体" w:hAnsi="黑体" w:eastAsia="黑体" w:cs="黑体"/>
              </w:rPr>
            </w:pPr>
            <w:r>
              <w:rPr>
                <w:rFonts w:hint="eastAsia" w:ascii="黑体" w:hAnsi="黑体" w:eastAsia="黑体" w:cs="黑体"/>
              </w:rPr>
              <w:t>项目现场勘察</w:t>
            </w:r>
          </w:p>
        </w:tc>
        <w:tc>
          <w:tcPr>
            <w:tcW w:w="5340" w:type="dxa"/>
            <w:vAlign w:val="center"/>
          </w:tcPr>
          <w:p w14:paraId="67592131">
            <w:pPr>
              <w:ind w:left="422"/>
              <w:jc w:val="center"/>
              <w:rPr>
                <w:rFonts w:hint="eastAsia" w:ascii="黑体" w:hAnsi="黑体" w:eastAsia="黑体" w:cs="黑体"/>
              </w:rPr>
            </w:pPr>
            <w:r>
              <w:rPr>
                <w:rFonts w:ascii="Segoe UI Symbol" w:hAnsi="Segoe UI Symbol" w:eastAsia="黑体" w:cs="Segoe UI Symbol"/>
              </w:rPr>
              <w:t>☑</w:t>
            </w:r>
            <w:r>
              <w:rPr>
                <w:rFonts w:hint="eastAsia" w:ascii="黑体" w:hAnsi="黑体" w:eastAsia="黑体" w:cs="黑体"/>
              </w:rPr>
              <w:t>不组织</w:t>
            </w:r>
          </w:p>
        </w:tc>
      </w:tr>
      <w:tr w14:paraId="5C7D67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jc w:val="center"/>
        </w:trPr>
        <w:tc>
          <w:tcPr>
            <w:tcW w:w="583" w:type="dxa"/>
            <w:vAlign w:val="center"/>
          </w:tcPr>
          <w:p w14:paraId="04803F94">
            <w:pPr>
              <w:ind w:firstLine="210" w:firstLineChars="100"/>
              <w:rPr>
                <w:rFonts w:hint="eastAsia" w:ascii="黑体" w:hAnsi="黑体" w:eastAsia="黑体" w:cs="黑体"/>
              </w:rPr>
            </w:pPr>
            <w:r>
              <w:rPr>
                <w:rFonts w:hint="eastAsia" w:ascii="黑体" w:hAnsi="黑体" w:eastAsia="黑体" w:cs="黑体"/>
              </w:rPr>
              <w:t>6</w:t>
            </w:r>
          </w:p>
        </w:tc>
        <w:tc>
          <w:tcPr>
            <w:tcW w:w="2693" w:type="dxa"/>
            <w:vAlign w:val="center"/>
          </w:tcPr>
          <w:p w14:paraId="4713C43E">
            <w:pPr>
              <w:ind w:left="422" w:firstLine="420" w:firstLineChars="200"/>
              <w:rPr>
                <w:rFonts w:hint="eastAsia" w:ascii="黑体" w:hAnsi="黑体" w:eastAsia="黑体" w:cs="黑体"/>
              </w:rPr>
            </w:pPr>
            <w:r>
              <w:rPr>
                <w:rFonts w:hint="eastAsia" w:ascii="黑体" w:hAnsi="黑体" w:eastAsia="黑体" w:cs="黑体"/>
              </w:rPr>
              <w:t>样品</w:t>
            </w:r>
          </w:p>
        </w:tc>
        <w:tc>
          <w:tcPr>
            <w:tcW w:w="5340" w:type="dxa"/>
            <w:vAlign w:val="center"/>
          </w:tcPr>
          <w:p w14:paraId="5C5C5032">
            <w:pPr>
              <w:ind w:left="422"/>
              <w:jc w:val="center"/>
              <w:rPr>
                <w:rFonts w:hint="eastAsia" w:ascii="黑体" w:hAnsi="黑体" w:eastAsia="黑体" w:cs="黑体"/>
              </w:rPr>
            </w:pPr>
            <w:r>
              <w:rPr>
                <w:rFonts w:ascii="Segoe UI Symbol" w:hAnsi="Segoe UI Symbol" w:eastAsia="黑体" w:cs="Segoe UI Symbol"/>
              </w:rPr>
              <w:t>☑</w:t>
            </w:r>
            <w:r>
              <w:rPr>
                <w:rFonts w:hint="eastAsia" w:ascii="黑体" w:hAnsi="黑体" w:eastAsia="黑体" w:cs="黑体"/>
              </w:rPr>
              <w:t>不要求提供</w:t>
            </w:r>
          </w:p>
        </w:tc>
      </w:tr>
      <w:tr w14:paraId="551E68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jc w:val="center"/>
        </w:trPr>
        <w:tc>
          <w:tcPr>
            <w:tcW w:w="583" w:type="dxa"/>
            <w:vAlign w:val="center"/>
          </w:tcPr>
          <w:p w14:paraId="51FA80CF">
            <w:pPr>
              <w:ind w:left="422"/>
              <w:jc w:val="center"/>
              <w:rPr>
                <w:rFonts w:hint="eastAsia" w:ascii="黑体" w:hAnsi="黑体" w:eastAsia="黑体" w:cs="黑体"/>
              </w:rPr>
            </w:pPr>
          </w:p>
          <w:p w14:paraId="122C7751">
            <w:pPr>
              <w:ind w:firstLine="210" w:firstLineChars="100"/>
              <w:rPr>
                <w:rFonts w:hint="eastAsia" w:ascii="黑体" w:hAnsi="黑体" w:eastAsia="黑体" w:cs="黑体"/>
              </w:rPr>
            </w:pPr>
            <w:r>
              <w:rPr>
                <w:rFonts w:hint="eastAsia" w:ascii="黑体" w:hAnsi="黑体" w:eastAsia="黑体" w:cs="黑体"/>
              </w:rPr>
              <w:t>7</w:t>
            </w:r>
          </w:p>
        </w:tc>
        <w:tc>
          <w:tcPr>
            <w:tcW w:w="2693" w:type="dxa"/>
            <w:vAlign w:val="center"/>
          </w:tcPr>
          <w:p w14:paraId="4EEA2A67">
            <w:pPr>
              <w:ind w:left="422" w:firstLine="210" w:firstLineChars="100"/>
              <w:rPr>
                <w:rFonts w:hint="eastAsia" w:ascii="黑体" w:hAnsi="黑体" w:eastAsia="黑体" w:cs="黑体"/>
              </w:rPr>
            </w:pPr>
            <w:r>
              <w:rPr>
                <w:rFonts w:hint="eastAsia" w:ascii="黑体" w:hAnsi="黑体" w:eastAsia="黑体" w:cs="黑体"/>
              </w:rPr>
              <w:t>联合体投标</w:t>
            </w:r>
          </w:p>
        </w:tc>
        <w:tc>
          <w:tcPr>
            <w:tcW w:w="5340" w:type="dxa"/>
            <w:vAlign w:val="center"/>
          </w:tcPr>
          <w:p w14:paraId="0869924E">
            <w:pPr>
              <w:ind w:left="422"/>
              <w:jc w:val="center"/>
              <w:rPr>
                <w:rFonts w:hint="eastAsia" w:ascii="黑体" w:hAnsi="黑体" w:eastAsia="黑体" w:cs="黑体"/>
              </w:rPr>
            </w:pPr>
            <w:r>
              <w:rPr>
                <w:rFonts w:ascii="Segoe UI Symbol" w:hAnsi="Segoe UI Symbol" w:eastAsia="黑体" w:cs="Segoe UI Symbol"/>
              </w:rPr>
              <w:t>☑</w:t>
            </w:r>
            <w:r>
              <w:rPr>
                <w:rFonts w:hint="eastAsia" w:ascii="黑体" w:hAnsi="黑体" w:eastAsia="黑体" w:cs="黑体"/>
              </w:rPr>
              <w:t>不接受</w:t>
            </w:r>
          </w:p>
        </w:tc>
      </w:tr>
      <w:tr w14:paraId="27BEEA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583" w:type="dxa"/>
            <w:tcBorders>
              <w:top w:val="nil"/>
            </w:tcBorders>
            <w:vAlign w:val="center"/>
          </w:tcPr>
          <w:p w14:paraId="0A9B7F6C">
            <w:pPr>
              <w:ind w:firstLine="210" w:firstLineChars="100"/>
              <w:rPr>
                <w:rFonts w:hint="eastAsia" w:ascii="黑体" w:hAnsi="黑体" w:eastAsia="黑体" w:cs="黑体"/>
              </w:rPr>
            </w:pPr>
            <w:r>
              <w:rPr>
                <w:rFonts w:hint="eastAsia" w:ascii="黑体" w:hAnsi="黑体" w:eastAsia="黑体" w:cs="黑体"/>
              </w:rPr>
              <w:t>8</w:t>
            </w:r>
          </w:p>
        </w:tc>
        <w:tc>
          <w:tcPr>
            <w:tcW w:w="2693" w:type="dxa"/>
            <w:vAlign w:val="center"/>
          </w:tcPr>
          <w:p w14:paraId="0A73F6F4">
            <w:pPr>
              <w:ind w:left="422" w:firstLine="420" w:firstLineChars="200"/>
              <w:rPr>
                <w:rFonts w:hint="eastAsia" w:ascii="黑体" w:hAnsi="黑体" w:eastAsia="黑体" w:cs="黑体"/>
              </w:rPr>
            </w:pPr>
            <w:r>
              <w:rPr>
                <w:rFonts w:hint="eastAsia" w:ascii="黑体" w:hAnsi="黑体" w:eastAsia="黑体" w:cs="黑体"/>
              </w:rPr>
              <w:t>分包</w:t>
            </w:r>
          </w:p>
        </w:tc>
        <w:tc>
          <w:tcPr>
            <w:tcW w:w="5340" w:type="dxa"/>
            <w:vAlign w:val="center"/>
          </w:tcPr>
          <w:p w14:paraId="1DD5A245">
            <w:pPr>
              <w:ind w:left="422"/>
              <w:jc w:val="center"/>
              <w:rPr>
                <w:rFonts w:hint="eastAsia" w:ascii="黑体" w:hAnsi="黑体" w:eastAsia="黑体" w:cs="黑体"/>
              </w:rPr>
            </w:pPr>
            <w:r>
              <w:rPr>
                <w:rFonts w:ascii="Segoe UI Symbol" w:hAnsi="Segoe UI Symbol" w:eastAsia="黑体" w:cs="Segoe UI Symbol"/>
              </w:rPr>
              <w:t>☑</w:t>
            </w:r>
            <w:r>
              <w:rPr>
                <w:rFonts w:hint="eastAsia" w:ascii="黑体" w:hAnsi="黑体" w:eastAsia="黑体" w:cs="黑体"/>
              </w:rPr>
              <w:t>不接受</w:t>
            </w:r>
          </w:p>
        </w:tc>
      </w:tr>
      <w:tr w14:paraId="3E6198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jc w:val="center"/>
        </w:trPr>
        <w:tc>
          <w:tcPr>
            <w:tcW w:w="583" w:type="dxa"/>
            <w:tcBorders>
              <w:top w:val="single" w:color="000000" w:sz="4" w:space="0"/>
              <w:bottom w:val="single" w:color="000000" w:sz="4" w:space="0"/>
            </w:tcBorders>
            <w:vAlign w:val="center"/>
          </w:tcPr>
          <w:p w14:paraId="622FD035">
            <w:pPr>
              <w:ind w:firstLine="210" w:firstLineChars="100"/>
              <w:rPr>
                <w:rFonts w:hint="eastAsia" w:ascii="黑体" w:hAnsi="黑体" w:eastAsia="黑体" w:cs="黑体"/>
              </w:rPr>
            </w:pPr>
            <w:r>
              <w:rPr>
                <w:rFonts w:hint="eastAsia" w:ascii="黑体" w:hAnsi="黑体" w:eastAsia="黑体" w:cs="黑体"/>
              </w:rPr>
              <w:t>9</w:t>
            </w:r>
          </w:p>
        </w:tc>
        <w:tc>
          <w:tcPr>
            <w:tcW w:w="2693" w:type="dxa"/>
            <w:tcBorders>
              <w:top w:val="single" w:color="000000" w:sz="4" w:space="0"/>
              <w:bottom w:val="single" w:color="000000" w:sz="4" w:space="0"/>
            </w:tcBorders>
            <w:vAlign w:val="center"/>
          </w:tcPr>
          <w:p w14:paraId="5F537697">
            <w:pPr>
              <w:ind w:left="422"/>
              <w:rPr>
                <w:rFonts w:hint="eastAsia" w:ascii="黑体" w:hAnsi="黑体" w:eastAsia="黑体" w:cs="黑体"/>
                <w:lang w:val="zh-CN"/>
              </w:rPr>
            </w:pPr>
            <w:r>
              <w:rPr>
                <w:rFonts w:hint="eastAsia" w:ascii="黑体" w:hAnsi="黑体" w:eastAsia="黑体" w:cs="黑体"/>
              </w:rPr>
              <w:t>支持中小企业发展</w:t>
            </w:r>
          </w:p>
        </w:tc>
        <w:tc>
          <w:tcPr>
            <w:tcW w:w="5340" w:type="dxa"/>
            <w:tcBorders>
              <w:top w:val="single" w:color="000000" w:sz="4" w:space="0"/>
              <w:bottom w:val="single" w:color="000000" w:sz="4" w:space="0"/>
            </w:tcBorders>
            <w:vAlign w:val="center"/>
          </w:tcPr>
          <w:p w14:paraId="1FF969EE">
            <w:pPr>
              <w:jc w:val="left"/>
              <w:rPr>
                <w:rFonts w:hint="eastAsia" w:ascii="黑体" w:hAnsi="黑体" w:eastAsia="黑体" w:cs="黑体"/>
              </w:rPr>
            </w:pPr>
            <w:r>
              <w:rPr>
                <w:rFonts w:hint="eastAsia" w:ascii="黑体" w:hAnsi="黑体" w:eastAsia="黑体" w:cs="黑体"/>
              </w:rPr>
              <w:t>小型和微型企业产品的价格给予10%的扣除，用扣除后的价格参与评审。</w:t>
            </w:r>
          </w:p>
        </w:tc>
      </w:tr>
      <w:tr w14:paraId="1B31E6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583" w:type="dxa"/>
            <w:tcBorders>
              <w:top w:val="single" w:color="000000" w:sz="4" w:space="0"/>
              <w:bottom w:val="single" w:color="000000" w:sz="4" w:space="0"/>
            </w:tcBorders>
            <w:vAlign w:val="center"/>
          </w:tcPr>
          <w:p w14:paraId="4127BD7C">
            <w:pPr>
              <w:ind w:firstLine="210" w:firstLineChars="100"/>
              <w:rPr>
                <w:rFonts w:hint="eastAsia" w:ascii="黑体" w:hAnsi="黑体" w:eastAsia="黑体" w:cs="黑体"/>
              </w:rPr>
            </w:pPr>
            <w:r>
              <w:rPr>
                <w:rFonts w:hint="eastAsia" w:ascii="黑体" w:hAnsi="黑体" w:eastAsia="黑体" w:cs="黑体"/>
              </w:rPr>
              <w:t>10</w:t>
            </w:r>
          </w:p>
        </w:tc>
        <w:tc>
          <w:tcPr>
            <w:tcW w:w="2693" w:type="dxa"/>
            <w:tcBorders>
              <w:top w:val="single" w:color="000000" w:sz="4" w:space="0"/>
              <w:bottom w:val="single" w:color="000000" w:sz="4" w:space="0"/>
            </w:tcBorders>
            <w:vAlign w:val="center"/>
          </w:tcPr>
          <w:p w14:paraId="2C9D15B7">
            <w:pPr>
              <w:ind w:left="422" w:firstLine="210" w:firstLineChars="100"/>
              <w:rPr>
                <w:rFonts w:hint="eastAsia" w:ascii="黑体" w:hAnsi="黑体" w:eastAsia="黑体" w:cs="黑体"/>
                <w:lang w:val="zh-CN"/>
              </w:rPr>
            </w:pPr>
            <w:r>
              <w:rPr>
                <w:rFonts w:hint="eastAsia" w:ascii="黑体" w:hAnsi="黑体" w:eastAsia="黑体" w:cs="黑体"/>
              </w:rPr>
              <w:t>支持监狱企业</w:t>
            </w:r>
          </w:p>
        </w:tc>
        <w:tc>
          <w:tcPr>
            <w:tcW w:w="5340" w:type="dxa"/>
            <w:tcBorders>
              <w:top w:val="single" w:color="000000" w:sz="4" w:space="0"/>
              <w:bottom w:val="single" w:color="000000" w:sz="4" w:space="0"/>
            </w:tcBorders>
            <w:vAlign w:val="center"/>
          </w:tcPr>
          <w:p w14:paraId="2156D4E4">
            <w:pPr>
              <w:jc w:val="left"/>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监狱企业可视同小微企业在价格评审时给予10%的扣除，用扣除后的价格参与评审。</w:t>
            </w:r>
          </w:p>
        </w:tc>
      </w:tr>
      <w:tr w14:paraId="062808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583" w:type="dxa"/>
            <w:tcBorders>
              <w:top w:val="single" w:color="000000" w:sz="4" w:space="0"/>
              <w:bottom w:val="single" w:color="000000" w:sz="4" w:space="0"/>
            </w:tcBorders>
            <w:vAlign w:val="center"/>
          </w:tcPr>
          <w:p w14:paraId="645BF527">
            <w:pPr>
              <w:ind w:firstLine="210" w:firstLineChars="100"/>
              <w:rPr>
                <w:rFonts w:hint="eastAsia" w:ascii="黑体" w:hAnsi="黑体" w:eastAsia="黑体" w:cs="黑体"/>
              </w:rPr>
            </w:pPr>
            <w:r>
              <w:rPr>
                <w:rFonts w:hint="eastAsia" w:ascii="黑体" w:hAnsi="黑体" w:eastAsia="黑体" w:cs="黑体"/>
              </w:rPr>
              <w:t>1</w:t>
            </w:r>
            <w:r>
              <w:rPr>
                <w:rFonts w:ascii="黑体" w:hAnsi="黑体" w:eastAsia="黑体" w:cs="黑体"/>
              </w:rPr>
              <w:t>1</w:t>
            </w:r>
          </w:p>
        </w:tc>
        <w:tc>
          <w:tcPr>
            <w:tcW w:w="2693" w:type="dxa"/>
            <w:tcBorders>
              <w:top w:val="single" w:color="000000" w:sz="4" w:space="0"/>
              <w:bottom w:val="single" w:color="000000" w:sz="4" w:space="0"/>
            </w:tcBorders>
            <w:vAlign w:val="center"/>
          </w:tcPr>
          <w:p w14:paraId="36D8BE52">
            <w:pPr>
              <w:rPr>
                <w:rFonts w:hint="eastAsia" w:ascii="黑体" w:hAnsi="黑体" w:eastAsia="黑体" w:cs="黑体"/>
              </w:rPr>
            </w:pPr>
            <w:r>
              <w:rPr>
                <w:rFonts w:hint="eastAsia" w:ascii="黑体" w:hAnsi="黑体" w:eastAsia="黑体" w:cs="黑体"/>
                <w:snapToGrid w:val="0"/>
                <w:kern w:val="0"/>
                <w:szCs w:val="21"/>
              </w:rPr>
              <w:t>支持残疾人福利性单位、节能环保产品</w:t>
            </w:r>
          </w:p>
        </w:tc>
        <w:tc>
          <w:tcPr>
            <w:tcW w:w="5340" w:type="dxa"/>
            <w:tcBorders>
              <w:top w:val="single" w:color="000000" w:sz="4" w:space="0"/>
              <w:bottom w:val="single" w:color="000000" w:sz="4" w:space="0"/>
            </w:tcBorders>
            <w:vAlign w:val="center"/>
          </w:tcPr>
          <w:p w14:paraId="340A31DF">
            <w:pPr>
              <w:jc w:val="left"/>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snapToGrid w:val="0"/>
                <w:kern w:val="0"/>
                <w:szCs w:val="21"/>
              </w:rPr>
              <w:t>残疾人福利性单位、节能环保产品</w:t>
            </w:r>
            <w:r>
              <w:rPr>
                <w:rFonts w:hint="eastAsia" w:ascii="黑体" w:hAnsi="黑体" w:eastAsia="黑体" w:cs="黑体"/>
                <w:color w:val="000000" w:themeColor="text1"/>
                <w14:textFill>
                  <w14:solidFill>
                    <w14:schemeClr w14:val="tx1"/>
                  </w14:solidFill>
                </w14:textFill>
              </w:rPr>
              <w:t>同小微企业在价格评审时给予10%的扣除，用扣除后的价格参与评审。</w:t>
            </w:r>
          </w:p>
        </w:tc>
      </w:tr>
      <w:tr w14:paraId="189610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583" w:type="dxa"/>
            <w:tcBorders>
              <w:top w:val="single" w:color="000000" w:sz="4" w:space="0"/>
              <w:bottom w:val="single" w:color="000000" w:sz="4" w:space="0"/>
            </w:tcBorders>
            <w:vAlign w:val="center"/>
          </w:tcPr>
          <w:p w14:paraId="2B728871">
            <w:pPr>
              <w:ind w:firstLine="210" w:firstLineChars="100"/>
              <w:rPr>
                <w:rFonts w:hint="eastAsia" w:ascii="黑体" w:hAnsi="黑体" w:eastAsia="黑体" w:cs="黑体"/>
              </w:rPr>
            </w:pPr>
            <w:r>
              <w:rPr>
                <w:rFonts w:hint="eastAsia" w:ascii="黑体" w:hAnsi="黑体" w:eastAsia="黑体" w:cs="黑体"/>
              </w:rPr>
              <w:t>12</w:t>
            </w:r>
          </w:p>
        </w:tc>
        <w:tc>
          <w:tcPr>
            <w:tcW w:w="2693" w:type="dxa"/>
            <w:tcBorders>
              <w:top w:val="single" w:color="000000" w:sz="4" w:space="0"/>
              <w:bottom w:val="single" w:color="000000" w:sz="4" w:space="0"/>
            </w:tcBorders>
            <w:vAlign w:val="center"/>
          </w:tcPr>
          <w:p w14:paraId="63E91C95">
            <w:pPr>
              <w:ind w:firstLine="420" w:firstLineChars="200"/>
              <w:rPr>
                <w:rFonts w:hint="eastAsia" w:ascii="黑体" w:hAnsi="黑体" w:eastAsia="黑体" w:cs="黑体"/>
              </w:rPr>
            </w:pPr>
          </w:p>
          <w:p w14:paraId="00FA6F8D">
            <w:pPr>
              <w:ind w:firstLine="210" w:firstLineChars="100"/>
              <w:rPr>
                <w:rFonts w:hint="eastAsia" w:ascii="黑体" w:hAnsi="黑体" w:eastAsia="黑体" w:cs="黑体"/>
              </w:rPr>
            </w:pPr>
            <w:r>
              <w:rPr>
                <w:rFonts w:hint="eastAsia" w:ascii="黑体" w:hAnsi="黑体" w:eastAsia="黑体" w:cs="黑体"/>
              </w:rPr>
              <w:t>提交响应文件的截止</w:t>
            </w:r>
          </w:p>
          <w:p w14:paraId="22962B86">
            <w:pPr>
              <w:ind w:firstLine="630" w:firstLineChars="300"/>
              <w:rPr>
                <w:rFonts w:hint="eastAsia" w:ascii="黑体" w:hAnsi="黑体" w:eastAsia="黑体" w:cs="黑体"/>
              </w:rPr>
            </w:pPr>
            <w:r>
              <w:rPr>
                <w:rFonts w:hint="eastAsia" w:ascii="黑体" w:hAnsi="黑体" w:eastAsia="黑体" w:cs="黑体"/>
              </w:rPr>
              <w:t>时间、地点</w:t>
            </w:r>
          </w:p>
        </w:tc>
        <w:tc>
          <w:tcPr>
            <w:tcW w:w="5340" w:type="dxa"/>
            <w:tcBorders>
              <w:top w:val="single" w:color="000000" w:sz="4" w:space="0"/>
              <w:bottom w:val="single" w:color="000000" w:sz="4" w:space="0"/>
            </w:tcBorders>
            <w:vAlign w:val="center"/>
          </w:tcPr>
          <w:p w14:paraId="7610691A">
            <w:pPr>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时间：2026年</w:t>
            </w:r>
            <w:r>
              <w:rPr>
                <w:rFonts w:hint="eastAsia" w:ascii="黑体" w:hAnsi="黑体" w:eastAsia="黑体" w:cs="黑体"/>
                <w:color w:val="000000" w:themeColor="text1"/>
                <w:u w:val="single"/>
                <w14:textFill>
                  <w14:solidFill>
                    <w14:schemeClr w14:val="tx1"/>
                  </w14:solidFill>
                </w14:textFill>
              </w:rPr>
              <w:t xml:space="preserve"> 03 </w:t>
            </w:r>
            <w:r>
              <w:rPr>
                <w:rFonts w:hint="eastAsia" w:ascii="黑体" w:hAnsi="黑体" w:eastAsia="黑体" w:cs="黑体"/>
                <w:color w:val="000000" w:themeColor="text1"/>
                <w14:textFill>
                  <w14:solidFill>
                    <w14:schemeClr w14:val="tx1"/>
                  </w14:solidFill>
                </w14:textFill>
              </w:rPr>
              <w:t>月</w:t>
            </w:r>
            <w:r>
              <w:rPr>
                <w:rFonts w:hint="eastAsia" w:ascii="黑体" w:hAnsi="黑体" w:eastAsia="黑体" w:cs="黑体"/>
                <w:color w:val="000000" w:themeColor="text1"/>
                <w:u w:val="single"/>
                <w14:textFill>
                  <w14:solidFill>
                    <w14:schemeClr w14:val="tx1"/>
                  </w14:solidFill>
                </w14:textFill>
              </w:rPr>
              <w:t xml:space="preserve"> 19 </w:t>
            </w:r>
            <w:r>
              <w:rPr>
                <w:rFonts w:hint="eastAsia" w:ascii="黑体" w:hAnsi="黑体" w:eastAsia="黑体" w:cs="黑体"/>
                <w:color w:val="000000" w:themeColor="text1"/>
                <w14:textFill>
                  <w14:solidFill>
                    <w14:schemeClr w14:val="tx1"/>
                  </w14:solidFill>
                </w14:textFill>
              </w:rPr>
              <w:t>日1</w:t>
            </w:r>
            <w:r>
              <w:rPr>
                <w:rFonts w:ascii="黑体" w:hAnsi="黑体" w:eastAsia="黑体" w:cs="黑体"/>
                <w:color w:val="000000" w:themeColor="text1"/>
                <w14:textFill>
                  <w14:solidFill>
                    <w14:schemeClr w14:val="tx1"/>
                  </w14:solidFill>
                </w14:textFill>
              </w:rPr>
              <w:t>4</w:t>
            </w:r>
            <w:r>
              <w:rPr>
                <w:rFonts w:hint="eastAsia" w:ascii="黑体" w:hAnsi="黑体" w:eastAsia="黑体" w:cs="黑体"/>
                <w:color w:val="000000" w:themeColor="text1"/>
                <w14:textFill>
                  <w14:solidFill>
                    <w14:schemeClr w14:val="tx1"/>
                  </w14:solidFill>
                </w14:textFill>
              </w:rPr>
              <w:t>时30分(北京时间)</w:t>
            </w:r>
          </w:p>
          <w:p w14:paraId="6E9D0357">
            <w:pPr>
              <w:rPr>
                <w:rFonts w:hint="eastAsia" w:ascii="黑体" w:hAnsi="黑体" w:eastAsia="黑体" w:cs="黑体"/>
                <w:color w:val="000000" w:themeColor="text1"/>
                <w:lang w:val="zh-CN"/>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地点：</w:t>
            </w:r>
            <w:r>
              <w:rPr>
                <w:rFonts w:hint="eastAsia" w:ascii="黑体" w:hAnsi="黑体" w:eastAsia="黑体" w:cs="黑体"/>
                <w:snapToGrid w:val="0"/>
                <w:color w:val="000000" w:themeColor="text1"/>
                <w:kern w:val="0"/>
                <w:szCs w:val="21"/>
                <w14:textFill>
                  <w14:solidFill>
                    <w14:schemeClr w14:val="tx1"/>
                  </w14:solidFill>
                </w14:textFill>
              </w:rPr>
              <w:t>南京市秦淮区洪武路23号隆盛大厦5楼会议室</w:t>
            </w:r>
          </w:p>
        </w:tc>
      </w:tr>
      <w:tr w14:paraId="69DCD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583" w:type="dxa"/>
            <w:tcBorders>
              <w:top w:val="single" w:color="000000" w:sz="4" w:space="0"/>
              <w:bottom w:val="single" w:color="000000" w:sz="4" w:space="0"/>
            </w:tcBorders>
            <w:vAlign w:val="center"/>
          </w:tcPr>
          <w:p w14:paraId="500892E1">
            <w:pPr>
              <w:ind w:firstLine="210" w:firstLineChars="100"/>
              <w:rPr>
                <w:rFonts w:hint="eastAsia" w:ascii="黑体" w:hAnsi="黑体" w:eastAsia="黑体" w:cs="黑体"/>
              </w:rPr>
            </w:pPr>
            <w:r>
              <w:rPr>
                <w:rFonts w:hint="eastAsia" w:ascii="黑体" w:hAnsi="黑体" w:eastAsia="黑体" w:cs="黑体"/>
              </w:rPr>
              <w:t>13</w:t>
            </w:r>
          </w:p>
        </w:tc>
        <w:tc>
          <w:tcPr>
            <w:tcW w:w="2693" w:type="dxa"/>
            <w:tcBorders>
              <w:top w:val="single" w:color="000000" w:sz="4" w:space="0"/>
              <w:bottom w:val="single" w:color="000000" w:sz="4" w:space="0"/>
            </w:tcBorders>
            <w:vAlign w:val="center"/>
          </w:tcPr>
          <w:p w14:paraId="7F3D55BC">
            <w:pPr>
              <w:ind w:firstLine="420" w:firstLineChars="200"/>
              <w:rPr>
                <w:rFonts w:hint="eastAsia" w:ascii="黑体" w:hAnsi="黑体" w:eastAsia="黑体" w:cs="黑体"/>
                <w:lang w:val="zh-CN"/>
              </w:rPr>
            </w:pPr>
            <w:r>
              <w:rPr>
                <w:rFonts w:hint="eastAsia" w:ascii="黑体" w:hAnsi="黑体" w:eastAsia="黑体" w:cs="黑体"/>
              </w:rPr>
              <w:t>磋商时间、地点</w:t>
            </w:r>
          </w:p>
        </w:tc>
        <w:tc>
          <w:tcPr>
            <w:tcW w:w="5340" w:type="dxa"/>
            <w:tcBorders>
              <w:top w:val="single" w:color="000000" w:sz="4" w:space="0"/>
              <w:bottom w:val="single" w:color="000000" w:sz="4" w:space="0"/>
            </w:tcBorders>
            <w:vAlign w:val="center"/>
          </w:tcPr>
          <w:p w14:paraId="6F0EF944">
            <w:pPr>
              <w:rPr>
                <w:rFonts w:hint="eastAsia" w:ascii="黑体" w:hAnsi="黑体" w:eastAsia="黑体" w:cs="黑体"/>
              </w:rPr>
            </w:pPr>
            <w:r>
              <w:rPr>
                <w:rFonts w:hint="eastAsia" w:ascii="黑体" w:hAnsi="黑体" w:eastAsia="黑体" w:cs="黑体"/>
              </w:rPr>
              <w:t>时间</w:t>
            </w:r>
            <w:r>
              <w:rPr>
                <w:rFonts w:hint="eastAsia" w:ascii="黑体" w:hAnsi="黑体" w:eastAsia="黑体" w:cs="黑体"/>
                <w:color w:val="000000" w:themeColor="text1"/>
                <w14:textFill>
                  <w14:solidFill>
                    <w14:schemeClr w14:val="tx1"/>
                  </w14:solidFill>
                </w14:textFill>
              </w:rPr>
              <w:t>：2026年</w:t>
            </w:r>
            <w:r>
              <w:rPr>
                <w:rFonts w:hint="eastAsia" w:ascii="黑体" w:hAnsi="黑体" w:eastAsia="黑体" w:cs="黑体"/>
                <w:color w:val="000000" w:themeColor="text1"/>
                <w:u w:val="single"/>
                <w14:textFill>
                  <w14:solidFill>
                    <w14:schemeClr w14:val="tx1"/>
                  </w14:solidFill>
                </w14:textFill>
              </w:rPr>
              <w:t xml:space="preserve"> 03 </w:t>
            </w:r>
            <w:r>
              <w:rPr>
                <w:rFonts w:hint="eastAsia" w:ascii="黑体" w:hAnsi="黑体" w:eastAsia="黑体" w:cs="黑体"/>
                <w:color w:val="000000" w:themeColor="text1"/>
                <w14:textFill>
                  <w14:solidFill>
                    <w14:schemeClr w14:val="tx1"/>
                  </w14:solidFill>
                </w14:textFill>
              </w:rPr>
              <w:t>月</w:t>
            </w:r>
            <w:r>
              <w:rPr>
                <w:rFonts w:hint="eastAsia" w:ascii="黑体" w:hAnsi="黑体" w:eastAsia="黑体" w:cs="黑体"/>
                <w:color w:val="000000" w:themeColor="text1"/>
                <w:u w:val="single"/>
                <w14:textFill>
                  <w14:solidFill>
                    <w14:schemeClr w14:val="tx1"/>
                  </w14:solidFill>
                </w14:textFill>
              </w:rPr>
              <w:t xml:space="preserve"> 19 </w:t>
            </w:r>
            <w:r>
              <w:rPr>
                <w:rFonts w:hint="eastAsia" w:ascii="黑体" w:hAnsi="黑体" w:eastAsia="黑体" w:cs="黑体"/>
                <w:color w:val="000000" w:themeColor="text1"/>
                <w14:textFill>
                  <w14:solidFill>
                    <w14:schemeClr w14:val="tx1"/>
                  </w14:solidFill>
                </w14:textFill>
              </w:rPr>
              <w:t>日1</w:t>
            </w:r>
            <w:r>
              <w:rPr>
                <w:rFonts w:ascii="黑体" w:hAnsi="黑体" w:eastAsia="黑体" w:cs="黑体"/>
                <w:color w:val="000000" w:themeColor="text1"/>
                <w14:textFill>
                  <w14:solidFill>
                    <w14:schemeClr w14:val="tx1"/>
                  </w14:solidFill>
                </w14:textFill>
              </w:rPr>
              <w:t>4</w:t>
            </w:r>
            <w:r>
              <w:rPr>
                <w:rFonts w:hint="eastAsia" w:ascii="黑体" w:hAnsi="黑体" w:eastAsia="黑体" w:cs="黑体"/>
                <w:color w:val="000000" w:themeColor="text1"/>
                <w14:textFill>
                  <w14:solidFill>
                    <w14:schemeClr w14:val="tx1"/>
                  </w14:solidFill>
                </w14:textFill>
              </w:rPr>
              <w:t>时30分(北京</w:t>
            </w:r>
            <w:r>
              <w:rPr>
                <w:rFonts w:hint="eastAsia" w:ascii="黑体" w:hAnsi="黑体" w:eastAsia="黑体" w:cs="黑体"/>
              </w:rPr>
              <w:t>时间)</w:t>
            </w:r>
          </w:p>
          <w:p w14:paraId="2C7D9C2B">
            <w:pPr>
              <w:rPr>
                <w:rFonts w:hint="eastAsia" w:ascii="黑体" w:hAnsi="黑体" w:eastAsia="黑体" w:cs="黑体"/>
                <w:lang w:val="zh-CN"/>
              </w:rPr>
            </w:pPr>
            <w:r>
              <w:rPr>
                <w:rFonts w:hint="eastAsia" w:ascii="黑体" w:hAnsi="黑体" w:eastAsia="黑体" w:cs="黑体"/>
              </w:rPr>
              <w:t>地点：</w:t>
            </w:r>
            <w:r>
              <w:rPr>
                <w:rFonts w:hint="eastAsia" w:ascii="黑体" w:hAnsi="黑体" w:eastAsia="黑体" w:cs="黑体"/>
                <w:snapToGrid w:val="0"/>
                <w:kern w:val="0"/>
                <w:szCs w:val="21"/>
              </w:rPr>
              <w:t>南京市秦淮区洪武路23号隆盛大厦5楼会议室</w:t>
            </w:r>
          </w:p>
        </w:tc>
      </w:tr>
      <w:tr w14:paraId="41E7CA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583" w:type="dxa"/>
            <w:tcBorders>
              <w:top w:val="single" w:color="000000" w:sz="4" w:space="0"/>
              <w:bottom w:val="single" w:color="000000" w:sz="4" w:space="0"/>
            </w:tcBorders>
            <w:vAlign w:val="center"/>
          </w:tcPr>
          <w:p w14:paraId="5851321D">
            <w:pPr>
              <w:ind w:firstLine="210" w:firstLineChars="100"/>
              <w:rPr>
                <w:rFonts w:hint="eastAsia" w:ascii="黑体" w:hAnsi="黑体" w:eastAsia="黑体" w:cs="黑体"/>
              </w:rPr>
            </w:pPr>
            <w:r>
              <w:rPr>
                <w:rFonts w:hint="eastAsia" w:ascii="黑体" w:hAnsi="黑体" w:eastAsia="黑体" w:cs="黑体"/>
              </w:rPr>
              <w:t>14</w:t>
            </w:r>
          </w:p>
        </w:tc>
        <w:tc>
          <w:tcPr>
            <w:tcW w:w="2693" w:type="dxa"/>
            <w:tcBorders>
              <w:top w:val="single" w:color="000000" w:sz="4" w:space="0"/>
              <w:bottom w:val="single" w:color="000000" w:sz="4" w:space="0"/>
            </w:tcBorders>
            <w:vAlign w:val="center"/>
          </w:tcPr>
          <w:p w14:paraId="3DFC68AA">
            <w:pPr>
              <w:ind w:left="422" w:firstLine="210" w:firstLineChars="100"/>
              <w:rPr>
                <w:rFonts w:hint="eastAsia" w:ascii="黑体" w:hAnsi="黑体" w:eastAsia="黑体" w:cs="黑体"/>
                <w:lang w:val="zh-CN"/>
              </w:rPr>
            </w:pPr>
            <w:r>
              <w:rPr>
                <w:rFonts w:hint="eastAsia" w:ascii="黑体" w:hAnsi="黑体" w:eastAsia="黑体" w:cs="黑体"/>
              </w:rPr>
              <w:t>磋商保证金</w:t>
            </w:r>
          </w:p>
        </w:tc>
        <w:tc>
          <w:tcPr>
            <w:tcW w:w="5340" w:type="dxa"/>
            <w:tcBorders>
              <w:top w:val="single" w:color="000000" w:sz="4" w:space="0"/>
              <w:bottom w:val="single" w:color="000000" w:sz="4" w:space="0"/>
            </w:tcBorders>
            <w:vAlign w:val="center"/>
          </w:tcPr>
          <w:p w14:paraId="17480B57">
            <w:pPr>
              <w:ind w:left="422"/>
              <w:jc w:val="center"/>
              <w:rPr>
                <w:rFonts w:hint="eastAsia" w:ascii="黑体" w:hAnsi="黑体" w:eastAsia="黑体" w:cs="黑体"/>
                <w:lang w:val="zh-CN"/>
              </w:rPr>
            </w:pPr>
            <w:r>
              <w:rPr>
                <w:rFonts w:ascii="Segoe UI Symbol" w:hAnsi="Segoe UI Symbol" w:eastAsia="黑体" w:cs="Segoe UI Symbol"/>
              </w:rPr>
              <w:t>☑</w:t>
            </w:r>
            <w:r>
              <w:rPr>
                <w:rFonts w:hint="eastAsia" w:ascii="黑体" w:hAnsi="黑体" w:eastAsia="黑体" w:cs="黑体"/>
              </w:rPr>
              <w:t>不要求提供</w:t>
            </w:r>
          </w:p>
        </w:tc>
      </w:tr>
      <w:tr w14:paraId="1BB406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583" w:type="dxa"/>
            <w:tcBorders>
              <w:top w:val="single" w:color="000000" w:sz="4" w:space="0"/>
              <w:bottom w:val="single" w:color="000000" w:sz="4" w:space="0"/>
            </w:tcBorders>
            <w:vAlign w:val="center"/>
          </w:tcPr>
          <w:p w14:paraId="74496ABA">
            <w:pPr>
              <w:ind w:firstLine="210" w:firstLineChars="100"/>
              <w:rPr>
                <w:rFonts w:hint="eastAsia" w:ascii="黑体" w:hAnsi="黑体" w:eastAsia="黑体" w:cs="黑体"/>
              </w:rPr>
            </w:pPr>
            <w:r>
              <w:rPr>
                <w:rFonts w:hint="eastAsia" w:ascii="黑体" w:hAnsi="黑体" w:eastAsia="黑体" w:cs="黑体"/>
              </w:rPr>
              <w:t>15</w:t>
            </w:r>
          </w:p>
        </w:tc>
        <w:tc>
          <w:tcPr>
            <w:tcW w:w="2693" w:type="dxa"/>
            <w:tcBorders>
              <w:top w:val="single" w:color="000000" w:sz="4" w:space="0"/>
              <w:bottom w:val="single" w:color="000000" w:sz="4" w:space="0"/>
            </w:tcBorders>
            <w:vAlign w:val="center"/>
          </w:tcPr>
          <w:p w14:paraId="3F905197">
            <w:pPr>
              <w:ind w:left="422" w:firstLine="210" w:firstLineChars="100"/>
              <w:rPr>
                <w:rFonts w:hint="eastAsia" w:ascii="黑体" w:hAnsi="黑体" w:eastAsia="黑体" w:cs="黑体"/>
                <w:lang w:val="zh-CN"/>
              </w:rPr>
            </w:pPr>
            <w:r>
              <w:rPr>
                <w:rFonts w:hint="eastAsia" w:ascii="黑体" w:hAnsi="黑体" w:eastAsia="黑体" w:cs="黑体"/>
              </w:rPr>
              <w:t>磋商有效期</w:t>
            </w:r>
          </w:p>
        </w:tc>
        <w:tc>
          <w:tcPr>
            <w:tcW w:w="5340" w:type="dxa"/>
            <w:tcBorders>
              <w:top w:val="single" w:color="000000" w:sz="4" w:space="0"/>
              <w:bottom w:val="single" w:color="000000" w:sz="4" w:space="0"/>
            </w:tcBorders>
            <w:vAlign w:val="center"/>
          </w:tcPr>
          <w:p w14:paraId="1E96D69D">
            <w:pPr>
              <w:ind w:left="422"/>
              <w:jc w:val="center"/>
              <w:rPr>
                <w:rFonts w:hint="eastAsia" w:ascii="黑体" w:hAnsi="黑体" w:eastAsia="黑体" w:cs="黑体"/>
                <w:lang w:val="zh-CN"/>
              </w:rPr>
            </w:pPr>
            <w:r>
              <w:rPr>
                <w:rFonts w:hint="eastAsia" w:ascii="黑体" w:hAnsi="黑体" w:eastAsia="黑体" w:cs="黑体"/>
              </w:rPr>
              <w:t>自提交响应文件截止时间起90日(日历日)</w:t>
            </w:r>
          </w:p>
        </w:tc>
      </w:tr>
      <w:tr w14:paraId="331F96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583" w:type="dxa"/>
            <w:tcBorders>
              <w:top w:val="single" w:color="000000" w:sz="4" w:space="0"/>
              <w:bottom w:val="single" w:color="000000" w:sz="4" w:space="0"/>
            </w:tcBorders>
            <w:vAlign w:val="center"/>
          </w:tcPr>
          <w:p w14:paraId="6476928F">
            <w:pPr>
              <w:ind w:firstLine="210" w:firstLineChars="100"/>
              <w:rPr>
                <w:rFonts w:hint="eastAsia" w:ascii="黑体" w:hAnsi="黑体" w:eastAsia="黑体" w:cs="黑体"/>
              </w:rPr>
            </w:pPr>
            <w:r>
              <w:rPr>
                <w:rFonts w:hint="eastAsia" w:ascii="黑体" w:hAnsi="黑体" w:eastAsia="黑体" w:cs="黑体"/>
              </w:rPr>
              <w:t>16</w:t>
            </w:r>
          </w:p>
        </w:tc>
        <w:tc>
          <w:tcPr>
            <w:tcW w:w="2693" w:type="dxa"/>
            <w:tcBorders>
              <w:top w:val="single" w:color="000000" w:sz="4" w:space="0"/>
              <w:bottom w:val="single" w:color="000000" w:sz="4" w:space="0"/>
            </w:tcBorders>
            <w:vAlign w:val="center"/>
          </w:tcPr>
          <w:p w14:paraId="33E163D9">
            <w:pPr>
              <w:ind w:left="422" w:firstLine="210" w:firstLineChars="100"/>
              <w:rPr>
                <w:rFonts w:hint="eastAsia" w:ascii="黑体" w:hAnsi="黑体" w:eastAsia="黑体" w:cs="黑体"/>
              </w:rPr>
            </w:pPr>
            <w:r>
              <w:rPr>
                <w:rFonts w:hint="eastAsia" w:ascii="黑体" w:hAnsi="黑体" w:eastAsia="黑体" w:cs="黑体"/>
              </w:rPr>
              <w:t>响应文件份数</w:t>
            </w:r>
          </w:p>
        </w:tc>
        <w:tc>
          <w:tcPr>
            <w:tcW w:w="5340" w:type="dxa"/>
            <w:tcBorders>
              <w:top w:val="single" w:color="000000" w:sz="4" w:space="0"/>
              <w:bottom w:val="single" w:color="000000" w:sz="4" w:space="0"/>
            </w:tcBorders>
            <w:vAlign w:val="center"/>
          </w:tcPr>
          <w:p w14:paraId="68C044E3">
            <w:pPr>
              <w:jc w:val="left"/>
              <w:rPr>
                <w:rFonts w:hint="eastAsia" w:ascii="黑体" w:hAnsi="黑体" w:eastAsia="黑体" w:cs="黑体"/>
                <w:lang w:val="zh-CN"/>
              </w:rPr>
            </w:pPr>
            <w:r>
              <w:rPr>
                <w:rFonts w:hint="eastAsia" w:ascii="黑体" w:hAnsi="黑体" w:eastAsia="黑体" w:cs="黑体"/>
              </w:rPr>
              <w:t>正本：一份；副本：贰份，电子档一份（U盘）；响应文件须标注连续页码及目录索引。</w:t>
            </w:r>
          </w:p>
        </w:tc>
      </w:tr>
      <w:tr w14:paraId="23C30A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583" w:type="dxa"/>
            <w:tcBorders>
              <w:top w:val="single" w:color="000000" w:sz="4" w:space="0"/>
              <w:bottom w:val="single" w:color="000000" w:sz="4" w:space="0"/>
            </w:tcBorders>
            <w:vAlign w:val="center"/>
          </w:tcPr>
          <w:p w14:paraId="5DCF2569">
            <w:pPr>
              <w:ind w:firstLine="210" w:firstLineChars="100"/>
              <w:rPr>
                <w:rFonts w:hint="eastAsia" w:ascii="黑体" w:hAnsi="黑体" w:eastAsia="黑体" w:cs="黑体"/>
              </w:rPr>
            </w:pPr>
            <w:r>
              <w:rPr>
                <w:rFonts w:hint="eastAsia" w:ascii="黑体" w:hAnsi="黑体" w:eastAsia="黑体" w:cs="黑体"/>
              </w:rPr>
              <w:t>17</w:t>
            </w:r>
          </w:p>
        </w:tc>
        <w:tc>
          <w:tcPr>
            <w:tcW w:w="2693" w:type="dxa"/>
            <w:tcBorders>
              <w:top w:val="single" w:color="000000" w:sz="4" w:space="0"/>
              <w:bottom w:val="single" w:color="000000" w:sz="4" w:space="0"/>
            </w:tcBorders>
            <w:vAlign w:val="center"/>
          </w:tcPr>
          <w:p w14:paraId="6EDB1A8A">
            <w:pPr>
              <w:ind w:left="422" w:firstLine="420" w:firstLineChars="200"/>
              <w:rPr>
                <w:rFonts w:hint="eastAsia" w:ascii="黑体" w:hAnsi="黑体" w:eastAsia="黑体" w:cs="黑体"/>
                <w:lang w:val="zh-CN"/>
              </w:rPr>
            </w:pPr>
            <w:r>
              <w:rPr>
                <w:rFonts w:hint="eastAsia" w:ascii="黑体" w:hAnsi="黑体" w:eastAsia="黑体" w:cs="黑体"/>
              </w:rPr>
              <w:t>信用查询</w:t>
            </w:r>
          </w:p>
        </w:tc>
        <w:tc>
          <w:tcPr>
            <w:tcW w:w="5340" w:type="dxa"/>
            <w:tcBorders>
              <w:top w:val="single" w:color="000000" w:sz="4" w:space="0"/>
              <w:bottom w:val="single" w:color="000000" w:sz="4" w:space="0"/>
            </w:tcBorders>
            <w:vAlign w:val="center"/>
          </w:tcPr>
          <w:p w14:paraId="66960176">
            <w:pPr>
              <w:jc w:val="left"/>
              <w:rPr>
                <w:rFonts w:hint="eastAsia" w:ascii="黑体" w:hAnsi="黑体" w:eastAsia="黑体" w:cs="黑体"/>
                <w:lang w:val="zh-CN"/>
              </w:rPr>
            </w:pPr>
            <w:r>
              <w:rPr>
                <w:rFonts w:hint="eastAsia" w:ascii="黑体" w:hAnsi="黑体" w:eastAsia="黑体" w:cs="黑体"/>
              </w:rPr>
              <w:t>采购人或采购代理机构将通过“信用中国”网站</w:t>
            </w:r>
            <w:r>
              <w:fldChar w:fldCharType="begin"/>
            </w:r>
            <w:r>
              <w:instrText xml:space="preserve"> HYPERLINK "http://www/" \h </w:instrText>
            </w:r>
            <w:r>
              <w:fldChar w:fldCharType="separate"/>
            </w:r>
            <w:r>
              <w:rPr>
                <w:rFonts w:hint="eastAsia" w:ascii="黑体" w:hAnsi="黑体" w:eastAsia="黑体" w:cs="黑体"/>
              </w:rPr>
              <w:t>(www.</w:t>
            </w:r>
            <w:r>
              <w:rPr>
                <w:rFonts w:hint="eastAsia" w:ascii="黑体" w:hAnsi="黑体" w:eastAsia="黑体" w:cs="黑体"/>
              </w:rPr>
              <w:fldChar w:fldCharType="end"/>
            </w:r>
            <w:r>
              <w:rPr>
                <w:rFonts w:hint="eastAsia" w:ascii="黑体" w:hAnsi="黑体" w:eastAsia="黑体" w:cs="黑体"/>
              </w:rPr>
              <w:t>creditchina. gov.cn)、中国政府采购网（www.ccgp.gov.cn)查询相关主体信用记录。</w:t>
            </w:r>
          </w:p>
        </w:tc>
      </w:tr>
      <w:tr w14:paraId="689836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583" w:type="dxa"/>
            <w:tcBorders>
              <w:top w:val="single" w:color="000000" w:sz="4" w:space="0"/>
              <w:bottom w:val="single" w:color="000000" w:sz="4" w:space="0"/>
            </w:tcBorders>
            <w:vAlign w:val="center"/>
          </w:tcPr>
          <w:p w14:paraId="0C6DE351">
            <w:pPr>
              <w:ind w:firstLine="210" w:firstLineChars="100"/>
              <w:rPr>
                <w:rFonts w:hint="eastAsia" w:ascii="黑体" w:hAnsi="黑体" w:eastAsia="黑体" w:cs="黑体"/>
              </w:rPr>
            </w:pPr>
            <w:r>
              <w:rPr>
                <w:rFonts w:hint="eastAsia" w:ascii="黑体" w:hAnsi="黑体" w:eastAsia="黑体" w:cs="黑体"/>
              </w:rPr>
              <w:t>18</w:t>
            </w:r>
          </w:p>
        </w:tc>
        <w:tc>
          <w:tcPr>
            <w:tcW w:w="2693" w:type="dxa"/>
            <w:tcBorders>
              <w:top w:val="single" w:color="000000" w:sz="4" w:space="0"/>
              <w:bottom w:val="single" w:color="000000" w:sz="4" w:space="0"/>
            </w:tcBorders>
            <w:vAlign w:val="center"/>
          </w:tcPr>
          <w:p w14:paraId="6EB663A1">
            <w:pPr>
              <w:ind w:left="422" w:firstLine="210" w:firstLineChars="100"/>
              <w:rPr>
                <w:rFonts w:hint="eastAsia" w:ascii="黑体" w:hAnsi="黑体" w:eastAsia="黑体" w:cs="黑体"/>
              </w:rPr>
            </w:pPr>
            <w:r>
              <w:rPr>
                <w:rFonts w:hint="eastAsia" w:ascii="黑体" w:hAnsi="黑体" w:eastAsia="黑体" w:cs="黑体"/>
              </w:rPr>
              <w:t>资格审查方式</w:t>
            </w:r>
          </w:p>
        </w:tc>
        <w:tc>
          <w:tcPr>
            <w:tcW w:w="5340" w:type="dxa"/>
            <w:tcBorders>
              <w:top w:val="single" w:color="000000" w:sz="4" w:space="0"/>
              <w:bottom w:val="single" w:color="000000" w:sz="4" w:space="0"/>
            </w:tcBorders>
            <w:vAlign w:val="center"/>
          </w:tcPr>
          <w:p w14:paraId="66190315">
            <w:pPr>
              <w:jc w:val="left"/>
              <w:rPr>
                <w:rFonts w:hint="eastAsia" w:ascii="黑体" w:hAnsi="黑体" w:eastAsia="黑体" w:cs="黑体"/>
              </w:rPr>
            </w:pPr>
            <w:r>
              <w:rPr>
                <w:rFonts w:hint="eastAsia" w:ascii="黑体" w:hAnsi="黑体" w:eastAsia="黑体" w:cs="黑体"/>
              </w:rPr>
              <w:t>资格后审，根据采购文件中合格</w:t>
            </w:r>
            <w:r>
              <w:fldChar w:fldCharType="begin"/>
            </w:r>
            <w:r>
              <w:instrText xml:space="preserve"> HYPERLINK "http://baike.baidu.com/view/8715.htm" \t "_blank" </w:instrText>
            </w:r>
            <w:r>
              <w:fldChar w:fldCharType="separate"/>
            </w:r>
            <w:r>
              <w:rPr>
                <w:rFonts w:hint="eastAsia" w:ascii="黑体" w:hAnsi="黑体" w:eastAsia="黑体" w:cs="黑体"/>
              </w:rPr>
              <w:t>供应商</w:t>
            </w:r>
            <w:r>
              <w:rPr>
                <w:rFonts w:hint="eastAsia" w:ascii="黑体" w:hAnsi="黑体" w:eastAsia="黑体" w:cs="黑体"/>
              </w:rPr>
              <w:fldChar w:fldCharType="end"/>
            </w:r>
            <w:r>
              <w:rPr>
                <w:rFonts w:hint="eastAsia" w:ascii="黑体" w:hAnsi="黑体" w:eastAsia="黑体" w:cs="黑体"/>
              </w:rPr>
              <w:t>的资格条件对各供应商进行资格审查，不符合采购文件要求的供应商作响应无效处理</w:t>
            </w:r>
          </w:p>
        </w:tc>
      </w:tr>
      <w:tr w14:paraId="157100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583" w:type="dxa"/>
            <w:tcBorders>
              <w:top w:val="single" w:color="000000" w:sz="4" w:space="0"/>
              <w:bottom w:val="single" w:color="000000" w:sz="4" w:space="0"/>
            </w:tcBorders>
            <w:vAlign w:val="center"/>
          </w:tcPr>
          <w:p w14:paraId="327113EA">
            <w:pPr>
              <w:ind w:firstLine="210" w:firstLineChars="100"/>
              <w:rPr>
                <w:rFonts w:hint="eastAsia" w:ascii="黑体" w:hAnsi="黑体" w:eastAsia="黑体" w:cs="黑体"/>
              </w:rPr>
            </w:pPr>
            <w:r>
              <w:rPr>
                <w:rFonts w:hint="eastAsia" w:ascii="黑体" w:hAnsi="黑体" w:eastAsia="黑体" w:cs="黑体"/>
              </w:rPr>
              <w:t>19</w:t>
            </w:r>
          </w:p>
        </w:tc>
        <w:tc>
          <w:tcPr>
            <w:tcW w:w="2693" w:type="dxa"/>
            <w:tcBorders>
              <w:top w:val="single" w:color="000000" w:sz="4" w:space="0"/>
              <w:bottom w:val="single" w:color="000000" w:sz="4" w:space="0"/>
            </w:tcBorders>
            <w:vAlign w:val="center"/>
          </w:tcPr>
          <w:p w14:paraId="3715D24C">
            <w:pPr>
              <w:ind w:left="422" w:firstLine="210" w:firstLineChars="100"/>
              <w:rPr>
                <w:rFonts w:hint="eastAsia" w:ascii="黑体" w:hAnsi="黑体" w:eastAsia="黑体" w:cs="黑体"/>
              </w:rPr>
            </w:pPr>
            <w:r>
              <w:rPr>
                <w:rFonts w:hint="eastAsia" w:ascii="黑体" w:hAnsi="黑体" w:eastAsia="黑体" w:cs="黑体"/>
              </w:rPr>
              <w:t>采购代理服务费</w:t>
            </w:r>
          </w:p>
        </w:tc>
        <w:tc>
          <w:tcPr>
            <w:tcW w:w="5340" w:type="dxa"/>
            <w:tcBorders>
              <w:top w:val="single" w:color="000000" w:sz="4" w:space="0"/>
              <w:bottom w:val="single" w:color="000000" w:sz="4" w:space="0"/>
            </w:tcBorders>
            <w:vAlign w:val="center"/>
          </w:tcPr>
          <w:p w14:paraId="5B3182BA">
            <w:pPr>
              <w:jc w:val="left"/>
              <w:rPr>
                <w:rFonts w:hint="eastAsia" w:ascii="黑体" w:hAnsi="黑体" w:eastAsia="黑体" w:cs="黑体"/>
              </w:rPr>
            </w:pPr>
            <w:r>
              <w:rPr>
                <w:rFonts w:hint="eastAsia" w:ascii="黑体" w:hAnsi="黑体" w:eastAsia="黑体" w:cs="黑体"/>
              </w:rPr>
              <w:t>成交供应商在领取成交通知书前按计价[2002]1980号文规定向采购代理机构缴纳采购代理服务费，采购代理服务费用为</w:t>
            </w:r>
            <w:r>
              <w:rPr>
                <w:rFonts w:hint="eastAsia" w:ascii="黑体" w:hAnsi="黑体" w:eastAsia="黑体" w:cs="黑体"/>
                <w:u w:val="single"/>
              </w:rPr>
              <w:t>3000</w:t>
            </w:r>
            <w:r>
              <w:rPr>
                <w:rFonts w:hint="eastAsia" w:ascii="黑体" w:hAnsi="黑体" w:eastAsia="黑体" w:cs="黑体"/>
              </w:rPr>
              <w:t>元整，由成交供应商支付，本项目费用无需在报价表中单列，请供应商报价时予以充分考虑。</w:t>
            </w:r>
          </w:p>
        </w:tc>
      </w:tr>
      <w:tr w14:paraId="497138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583" w:type="dxa"/>
            <w:tcBorders>
              <w:top w:val="single" w:color="000000" w:sz="4" w:space="0"/>
              <w:bottom w:val="single" w:color="000000" w:sz="4" w:space="0"/>
            </w:tcBorders>
            <w:vAlign w:val="center"/>
          </w:tcPr>
          <w:p w14:paraId="2B30BE0E">
            <w:pPr>
              <w:ind w:firstLine="210" w:firstLineChars="100"/>
              <w:rPr>
                <w:rFonts w:hint="eastAsia" w:ascii="黑体" w:hAnsi="黑体" w:eastAsia="黑体" w:cs="黑体"/>
              </w:rPr>
            </w:pPr>
            <w:r>
              <w:rPr>
                <w:rFonts w:hint="eastAsia" w:ascii="黑体" w:hAnsi="黑体" w:eastAsia="黑体" w:cs="黑体"/>
              </w:rPr>
              <w:t>20</w:t>
            </w:r>
          </w:p>
        </w:tc>
        <w:tc>
          <w:tcPr>
            <w:tcW w:w="2693" w:type="dxa"/>
            <w:tcBorders>
              <w:top w:val="single" w:color="000000" w:sz="4" w:space="0"/>
              <w:bottom w:val="single" w:color="000000" w:sz="4" w:space="0"/>
            </w:tcBorders>
            <w:vAlign w:val="center"/>
          </w:tcPr>
          <w:p w14:paraId="07F7FC13">
            <w:pPr>
              <w:ind w:left="422" w:firstLine="210" w:firstLineChars="100"/>
              <w:rPr>
                <w:rFonts w:hint="eastAsia" w:ascii="黑体" w:hAnsi="黑体" w:eastAsia="黑体" w:cs="黑体"/>
              </w:rPr>
            </w:pPr>
            <w:r>
              <w:rPr>
                <w:rFonts w:hint="eastAsia" w:ascii="黑体" w:hAnsi="黑体" w:eastAsia="黑体" w:cs="黑体"/>
              </w:rPr>
              <w:t>特定资格要求</w:t>
            </w:r>
          </w:p>
        </w:tc>
        <w:tc>
          <w:tcPr>
            <w:tcW w:w="5340" w:type="dxa"/>
            <w:tcBorders>
              <w:top w:val="single" w:color="000000" w:sz="4" w:space="0"/>
              <w:bottom w:val="single" w:color="000000" w:sz="4" w:space="0"/>
            </w:tcBorders>
            <w:vAlign w:val="center"/>
          </w:tcPr>
          <w:p w14:paraId="0A5A68C0">
            <w:pPr>
              <w:wordWrap w:val="0"/>
              <w:adjustRightInd w:val="0"/>
              <w:snapToGrid w:val="0"/>
              <w:spacing w:line="320" w:lineRule="exact"/>
              <w:rPr>
                <w:rFonts w:hint="eastAsia" w:ascii="黑体" w:hAnsi="黑体" w:eastAsia="黑体"/>
              </w:rPr>
            </w:pPr>
            <w:r>
              <w:rPr>
                <w:rFonts w:hint="eastAsia" w:ascii="黑体" w:hAnsi="黑体" w:eastAsia="黑体" w:cs="黑体"/>
                <w:b/>
                <w:bCs/>
                <w:snapToGrid w:val="0"/>
                <w:kern w:val="0"/>
                <w:szCs w:val="21"/>
              </w:rPr>
              <w:t>供应商须具有有效期内的医疗机构执业许可证且诊疗科目包含眼科；单位或个人设置诊所的，应取得诊所备案凭证。</w:t>
            </w:r>
          </w:p>
        </w:tc>
      </w:tr>
      <w:tr w14:paraId="102147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583" w:type="dxa"/>
            <w:tcBorders>
              <w:top w:val="single" w:color="000000" w:sz="4" w:space="0"/>
              <w:bottom w:val="single" w:color="000000" w:sz="4" w:space="0"/>
            </w:tcBorders>
            <w:vAlign w:val="center"/>
          </w:tcPr>
          <w:p w14:paraId="17986E7D">
            <w:pPr>
              <w:rPr>
                <w:rFonts w:hint="eastAsia" w:ascii="黑体" w:hAnsi="黑体" w:eastAsia="黑体" w:cs="黑体"/>
              </w:rPr>
            </w:pPr>
            <w:r>
              <w:rPr>
                <w:rFonts w:hint="eastAsia" w:ascii="黑体" w:hAnsi="黑体" w:eastAsia="黑体" w:cs="黑体"/>
              </w:rPr>
              <w:t xml:space="preserve">  </w:t>
            </w:r>
          </w:p>
        </w:tc>
        <w:tc>
          <w:tcPr>
            <w:tcW w:w="2693" w:type="dxa"/>
            <w:tcBorders>
              <w:top w:val="single" w:color="000000" w:sz="4" w:space="0"/>
              <w:bottom w:val="single" w:color="000000" w:sz="4" w:space="0"/>
            </w:tcBorders>
            <w:vAlign w:val="center"/>
          </w:tcPr>
          <w:p w14:paraId="4DD36DE0">
            <w:pPr>
              <w:jc w:val="center"/>
            </w:pPr>
            <w:r>
              <w:rPr>
                <w:rFonts w:hint="eastAsia" w:ascii="黑体" w:hAnsi="黑体" w:eastAsia="黑体"/>
              </w:rPr>
              <w:t>其他说明</w:t>
            </w:r>
          </w:p>
          <w:p w14:paraId="432B1A9E">
            <w:pPr>
              <w:ind w:left="422"/>
              <w:jc w:val="center"/>
              <w:rPr>
                <w:rFonts w:hint="eastAsia" w:ascii="黑体" w:hAnsi="黑体" w:eastAsia="黑体" w:cs="黑体"/>
              </w:rPr>
            </w:pPr>
          </w:p>
        </w:tc>
        <w:tc>
          <w:tcPr>
            <w:tcW w:w="5340" w:type="dxa"/>
            <w:tcBorders>
              <w:top w:val="single" w:color="000000" w:sz="4" w:space="0"/>
              <w:bottom w:val="single" w:color="000000" w:sz="4" w:space="0"/>
            </w:tcBorders>
            <w:vAlign w:val="center"/>
          </w:tcPr>
          <w:p w14:paraId="67A8FCFB">
            <w:pPr>
              <w:jc w:val="left"/>
              <w:rPr>
                <w:rFonts w:hint="eastAsia" w:ascii="黑体" w:hAnsi="黑体" w:eastAsia="黑体"/>
                <w:b/>
                <w:bCs/>
              </w:rPr>
            </w:pPr>
            <w:r>
              <w:rPr>
                <w:rFonts w:hint="eastAsia" w:ascii="黑体" w:hAnsi="黑体" w:eastAsia="黑体"/>
                <w:b/>
                <w:bCs/>
              </w:rPr>
              <w:t>证明材料：</w:t>
            </w:r>
          </w:p>
          <w:p w14:paraId="301DC5D8">
            <w:pPr>
              <w:adjustRightInd w:val="0"/>
              <w:snapToGrid w:val="0"/>
              <w:spacing w:line="320" w:lineRule="exact"/>
              <w:rPr>
                <w:rFonts w:hint="eastAsia" w:ascii="黑体" w:hAnsi="黑体" w:eastAsia="黑体" w:cs="黑体"/>
                <w:snapToGrid w:val="0"/>
                <w:kern w:val="0"/>
                <w:szCs w:val="21"/>
              </w:rPr>
            </w:pPr>
            <w:r>
              <w:rPr>
                <w:rFonts w:hint="eastAsia" w:ascii="黑体" w:hAnsi="黑体" w:eastAsia="黑体" w:cs="黑体"/>
                <w:snapToGrid w:val="0"/>
                <w:kern w:val="0"/>
                <w:szCs w:val="21"/>
              </w:rPr>
              <w:t xml:space="preserve">（1）具有独立承担民事责任的能力（提供法人或者其他组织的营业执照；供应商为自然人的提供其身份证）； </w:t>
            </w:r>
          </w:p>
          <w:p w14:paraId="013BB7B4">
            <w:pPr>
              <w:adjustRightInd w:val="0"/>
              <w:snapToGrid w:val="0"/>
              <w:spacing w:line="320" w:lineRule="exact"/>
              <w:rPr>
                <w:rFonts w:hint="eastAsia" w:ascii="黑体" w:hAnsi="黑体" w:eastAsia="黑体" w:cs="黑体"/>
                <w:snapToGrid w:val="0"/>
                <w:kern w:val="0"/>
                <w:szCs w:val="21"/>
              </w:rPr>
            </w:pPr>
            <w:r>
              <w:rPr>
                <w:rFonts w:hint="eastAsia" w:ascii="黑体" w:hAnsi="黑体" w:eastAsia="黑体" w:cs="黑体"/>
                <w:snapToGrid w:val="0"/>
                <w:kern w:val="0"/>
                <w:szCs w:val="21"/>
              </w:rPr>
              <w:t>（2）具有良好的商业信誉和健全的财务会计制度（提供2024年度经审计的报告或者参加本次采购活动</w:t>
            </w:r>
            <w:r>
              <w:rPr>
                <w:rFonts w:hint="eastAsia" w:ascii="黑体" w:hAnsi="黑体" w:eastAsia="黑体"/>
              </w:rPr>
              <w:t>近半年任意一个月的会计报表</w:t>
            </w:r>
            <w:r>
              <w:rPr>
                <w:rFonts w:hint="eastAsia" w:ascii="黑体" w:hAnsi="黑体" w:eastAsia="黑体" w:cs="黑体"/>
                <w:snapToGrid w:val="0"/>
                <w:kern w:val="0"/>
                <w:szCs w:val="21"/>
              </w:rPr>
              <w:t>，或磋商截止时间前六个月内银行出具的资信证明，或财政部门认可的专业担保机构出具的投标担保函）；</w:t>
            </w:r>
          </w:p>
          <w:p w14:paraId="6B032BC3">
            <w:pPr>
              <w:adjustRightInd w:val="0"/>
              <w:snapToGrid w:val="0"/>
              <w:spacing w:line="320" w:lineRule="exact"/>
              <w:rPr>
                <w:rFonts w:hint="eastAsia" w:ascii="黑体" w:hAnsi="黑体" w:eastAsia="黑体" w:cs="黑体"/>
                <w:snapToGrid w:val="0"/>
                <w:kern w:val="0"/>
                <w:szCs w:val="21"/>
              </w:rPr>
            </w:pPr>
            <w:r>
              <w:rPr>
                <w:rFonts w:hint="eastAsia" w:ascii="黑体" w:hAnsi="黑体" w:eastAsia="黑体" w:cs="黑体"/>
                <w:snapToGrid w:val="0"/>
                <w:kern w:val="0"/>
                <w:szCs w:val="21"/>
              </w:rPr>
              <w:t>（3）具有履行合同所必需的设备和专业技术能力（提供承诺书）；</w:t>
            </w:r>
          </w:p>
          <w:p w14:paraId="73B2BA98">
            <w:pPr>
              <w:adjustRightInd w:val="0"/>
              <w:snapToGrid w:val="0"/>
              <w:spacing w:line="320" w:lineRule="exact"/>
              <w:rPr>
                <w:rFonts w:hint="eastAsia" w:ascii="黑体" w:hAnsi="黑体" w:eastAsia="黑体" w:cs="黑体"/>
                <w:snapToGrid w:val="0"/>
                <w:kern w:val="0"/>
                <w:szCs w:val="21"/>
              </w:rPr>
            </w:pPr>
            <w:r>
              <w:rPr>
                <w:rFonts w:hint="eastAsia" w:ascii="黑体" w:hAnsi="黑体" w:eastAsia="黑体" w:cs="黑体"/>
                <w:snapToGrid w:val="0"/>
                <w:kern w:val="0"/>
                <w:szCs w:val="21"/>
              </w:rPr>
              <w:t>（4）具有依法缴纳税收和社会保障资金的良好记录（提供参加本次政府采购活动前半年内（至少一个月）依法缴纳税收和社会保障资金的相关资料，根据国家相关政策免缴或迟缴的需要提供相关证明材料）；</w:t>
            </w:r>
          </w:p>
          <w:p w14:paraId="2AAD4E09">
            <w:pPr>
              <w:adjustRightInd w:val="0"/>
              <w:snapToGrid w:val="0"/>
              <w:spacing w:line="320" w:lineRule="exact"/>
              <w:rPr>
                <w:rFonts w:hint="eastAsia" w:ascii="黑体" w:hAnsi="黑体" w:eastAsia="黑体" w:cs="黑体"/>
                <w:snapToGrid w:val="0"/>
                <w:kern w:val="0"/>
                <w:szCs w:val="21"/>
              </w:rPr>
            </w:pPr>
            <w:r>
              <w:rPr>
                <w:rFonts w:hint="eastAsia" w:ascii="黑体" w:hAnsi="黑体" w:eastAsia="黑体" w:cs="黑体"/>
                <w:snapToGrid w:val="0"/>
                <w:kern w:val="0"/>
                <w:szCs w:val="21"/>
              </w:rPr>
              <w:t>（5）参加采购活动前三年内，在经营活动中没有重大违法记录（提供承诺书）；</w:t>
            </w:r>
          </w:p>
          <w:p w14:paraId="0C4638A5">
            <w:pPr>
              <w:adjustRightInd w:val="0"/>
              <w:snapToGrid w:val="0"/>
              <w:spacing w:line="320" w:lineRule="exact"/>
              <w:rPr>
                <w:rFonts w:hint="eastAsia" w:ascii="黑体" w:hAnsi="黑体" w:eastAsia="黑体" w:cs="黑体"/>
                <w:snapToGrid w:val="0"/>
                <w:kern w:val="0"/>
                <w:szCs w:val="21"/>
              </w:rPr>
            </w:pPr>
            <w:r>
              <w:rPr>
                <w:rFonts w:hint="eastAsia" w:ascii="黑体" w:hAnsi="黑体" w:eastAsia="黑体" w:cs="黑体"/>
                <w:snapToGrid w:val="0"/>
                <w:kern w:val="0"/>
                <w:szCs w:val="21"/>
              </w:rPr>
              <w:t>（6）法律、行政法规规定的其他条件</w:t>
            </w:r>
          </w:p>
          <w:p w14:paraId="7CF7BD8C">
            <w:pPr>
              <w:jc w:val="left"/>
              <w:rPr>
                <w:rFonts w:hint="eastAsia" w:ascii="黑体" w:hAnsi="黑体" w:eastAsia="黑体"/>
              </w:rPr>
            </w:pPr>
            <w:r>
              <w:rPr>
                <w:rFonts w:hint="eastAsia" w:ascii="黑体" w:hAnsi="黑体" w:eastAsia="黑体"/>
                <w:b/>
                <w:bCs/>
              </w:rPr>
              <w:t>注：供应商涉及以下情形的，不适用信用承诺，仍须提供上述证明材料：</w:t>
            </w:r>
          </w:p>
          <w:p w14:paraId="472F991F">
            <w:pPr>
              <w:adjustRightInd w:val="0"/>
              <w:snapToGrid w:val="0"/>
              <w:spacing w:line="320" w:lineRule="exact"/>
              <w:rPr>
                <w:rFonts w:hint="eastAsia" w:ascii="黑体" w:hAnsi="黑体" w:eastAsia="黑体" w:cs="黑体"/>
                <w:snapToGrid w:val="0"/>
                <w:kern w:val="0"/>
                <w:szCs w:val="21"/>
              </w:rPr>
            </w:pPr>
            <w:r>
              <w:rPr>
                <w:rFonts w:hint="eastAsia" w:ascii="黑体" w:hAnsi="黑体" w:eastAsia="黑体" w:cs="黑体"/>
                <w:snapToGrid w:val="0"/>
                <w:kern w:val="0"/>
                <w:szCs w:val="21"/>
              </w:rPr>
              <w:t>（1）供应商被列入严重失信主体名单；</w:t>
            </w:r>
          </w:p>
          <w:p w14:paraId="08121E72">
            <w:pPr>
              <w:adjustRightInd w:val="0"/>
              <w:snapToGrid w:val="0"/>
              <w:spacing w:line="320" w:lineRule="exact"/>
              <w:rPr>
                <w:rFonts w:hint="eastAsia" w:ascii="黑体" w:hAnsi="黑体" w:eastAsia="黑体" w:cs="黑体"/>
                <w:snapToGrid w:val="0"/>
                <w:kern w:val="0"/>
                <w:szCs w:val="21"/>
              </w:rPr>
            </w:pPr>
            <w:r>
              <w:rPr>
                <w:rFonts w:hint="eastAsia" w:ascii="黑体" w:hAnsi="黑体" w:eastAsia="黑体" w:cs="黑体"/>
                <w:snapToGrid w:val="0"/>
                <w:kern w:val="0"/>
                <w:szCs w:val="21"/>
              </w:rPr>
              <w:t>（2）被相关监管部门作出行政处罚且尚在处罚有效期内；</w:t>
            </w:r>
          </w:p>
          <w:p w14:paraId="3A26A945">
            <w:pPr>
              <w:adjustRightInd w:val="0"/>
              <w:snapToGrid w:val="0"/>
              <w:spacing w:line="320" w:lineRule="exact"/>
              <w:rPr>
                <w:rFonts w:hint="eastAsia" w:ascii="黑体" w:hAnsi="黑体" w:eastAsia="黑体" w:cs="黑体"/>
                <w:snapToGrid w:val="0"/>
                <w:kern w:val="0"/>
                <w:szCs w:val="21"/>
              </w:rPr>
            </w:pPr>
            <w:r>
              <w:rPr>
                <w:rFonts w:hint="eastAsia" w:ascii="黑体" w:hAnsi="黑体" w:eastAsia="黑体" w:cs="黑体"/>
                <w:snapToGrid w:val="0"/>
                <w:kern w:val="0"/>
                <w:szCs w:val="21"/>
              </w:rPr>
              <w:t>（3）其他法律、行政法规规定的不适用信用承诺的情形。</w:t>
            </w:r>
          </w:p>
          <w:p w14:paraId="78389C32">
            <w:pPr>
              <w:adjustRightInd w:val="0"/>
              <w:snapToGrid w:val="0"/>
              <w:spacing w:line="320" w:lineRule="exact"/>
            </w:pPr>
            <w:r>
              <w:rPr>
                <w:rFonts w:hint="eastAsia" w:ascii="黑体" w:hAnsi="黑体" w:eastAsia="黑体" w:cs="黑体"/>
                <w:snapToGrid w:val="0"/>
                <w:kern w:val="0"/>
                <w:szCs w:val="21"/>
              </w:rPr>
              <w:t>供应商对信用承诺内容的真实性、合法性、有效性负责。如作出虚假信用承诺，视同为“提供虚假材料谋取中标、成交”的违法行为。</w:t>
            </w:r>
          </w:p>
          <w:p w14:paraId="2ECD2C17">
            <w:pPr>
              <w:ind w:left="422"/>
              <w:jc w:val="left"/>
              <w:rPr>
                <w:rFonts w:hint="eastAsia" w:ascii="黑体" w:hAnsi="黑体" w:eastAsia="黑体" w:cs="黑体"/>
              </w:rPr>
            </w:pPr>
          </w:p>
        </w:tc>
      </w:tr>
    </w:tbl>
    <w:p w14:paraId="052A87E3">
      <w:pPr>
        <w:widowControl/>
        <w:jc w:val="left"/>
      </w:pPr>
      <w:bookmarkStart w:id="37" w:name="_Toc462045800"/>
      <w:bookmarkStart w:id="38" w:name="_Toc507142087"/>
    </w:p>
    <w:p w14:paraId="2E9284FF">
      <w:pPr>
        <w:pStyle w:val="2"/>
      </w:pPr>
    </w:p>
    <w:p w14:paraId="0F418AF8"/>
    <w:p w14:paraId="39733289">
      <w:pPr>
        <w:pStyle w:val="2"/>
      </w:pPr>
    </w:p>
    <w:p w14:paraId="5EB3809A"/>
    <w:p w14:paraId="30A6DDB9">
      <w:pPr>
        <w:widowControl/>
        <w:jc w:val="left"/>
      </w:pPr>
      <w:r>
        <w:br w:type="page"/>
      </w:r>
    </w:p>
    <w:p w14:paraId="3483D2ED">
      <w:pPr>
        <w:pStyle w:val="2"/>
      </w:pPr>
    </w:p>
    <w:p w14:paraId="4BABB155">
      <w:pPr>
        <w:pStyle w:val="3"/>
        <w:rPr>
          <w:rFonts w:hint="eastAsia"/>
        </w:rPr>
      </w:pPr>
      <w:bookmarkStart w:id="39" w:name="_Toc22051"/>
      <w:bookmarkStart w:id="40" w:name="_Toc18496"/>
      <w:r>
        <w:rPr>
          <w:rFonts w:hint="eastAsia"/>
        </w:rPr>
        <w:t>三、供应商须知</w:t>
      </w:r>
      <w:bookmarkEnd w:id="37"/>
      <w:bookmarkEnd w:id="38"/>
      <w:bookmarkEnd w:id="39"/>
      <w:bookmarkEnd w:id="40"/>
    </w:p>
    <w:p w14:paraId="14BEE79E">
      <w:pPr>
        <w:pStyle w:val="5"/>
        <w:ind w:left="0" w:firstLine="0"/>
        <w:rPr>
          <w:rFonts w:hint="eastAsia"/>
          <w:snapToGrid w:val="0"/>
        </w:rPr>
      </w:pPr>
      <w:bookmarkStart w:id="41" w:name="四．合同书"/>
      <w:bookmarkEnd w:id="41"/>
      <w:bookmarkStart w:id="42" w:name="三．项目技术配置和有关说明"/>
      <w:bookmarkEnd w:id="42"/>
      <w:bookmarkStart w:id="43" w:name="_Toc387393258"/>
      <w:bookmarkStart w:id="44" w:name="_Toc446055535"/>
      <w:bookmarkStart w:id="45" w:name="_Toc507142088"/>
      <w:bookmarkStart w:id="46" w:name="_Toc463776815"/>
      <w:bookmarkStart w:id="47" w:name="_Toc447008964"/>
      <w:bookmarkStart w:id="48" w:name="_Toc462045801"/>
      <w:bookmarkStart w:id="49" w:name="_Toc387223056"/>
      <w:r>
        <w:rPr>
          <w:rFonts w:hint="eastAsia"/>
          <w:snapToGrid w:val="0"/>
        </w:rPr>
        <w:t>1.采购文件</w:t>
      </w:r>
      <w:bookmarkEnd w:id="43"/>
      <w:bookmarkEnd w:id="44"/>
      <w:bookmarkEnd w:id="45"/>
      <w:bookmarkEnd w:id="46"/>
      <w:bookmarkEnd w:id="47"/>
      <w:bookmarkEnd w:id="48"/>
      <w:bookmarkEnd w:id="49"/>
    </w:p>
    <w:p w14:paraId="7AC854CA">
      <w:pPr>
        <w:adjustRightInd w:val="0"/>
        <w:snapToGrid w:val="0"/>
        <w:spacing w:line="360" w:lineRule="auto"/>
        <w:ind w:firstLine="420" w:firstLineChars="200"/>
        <w:textAlignment w:val="baseline"/>
        <w:rPr>
          <w:rFonts w:hint="eastAsia" w:ascii="黑体" w:hAnsi="黑体" w:eastAsia="黑体" w:cs="黑体"/>
          <w:snapToGrid w:val="0"/>
          <w:kern w:val="0"/>
          <w:szCs w:val="21"/>
        </w:rPr>
      </w:pPr>
      <w:r>
        <w:rPr>
          <w:rFonts w:hint="eastAsia" w:ascii="黑体" w:hAnsi="黑体" w:eastAsia="黑体" w:cs="黑体"/>
          <w:snapToGrid w:val="0"/>
          <w:kern w:val="0"/>
          <w:szCs w:val="21"/>
        </w:rPr>
        <w:t>1.1本文件中采购代理机构为</w:t>
      </w:r>
      <w:r>
        <w:rPr>
          <w:rFonts w:hint="eastAsia" w:ascii="黑体" w:hAnsi="黑体" w:eastAsia="黑体" w:cs="黑体"/>
          <w:snapToGrid w:val="0"/>
          <w:kern w:val="0"/>
          <w:szCs w:val="21"/>
          <w:u w:val="single"/>
        </w:rPr>
        <w:t>江苏国衡工程咨询有限公司</w:t>
      </w:r>
      <w:r>
        <w:rPr>
          <w:rFonts w:hint="eastAsia" w:ascii="黑体" w:hAnsi="黑体" w:eastAsia="黑体" w:cs="黑体"/>
          <w:snapToGrid w:val="0"/>
          <w:kern w:val="0"/>
          <w:szCs w:val="21"/>
        </w:rPr>
        <w:t>；采购人为</w:t>
      </w:r>
      <w:r>
        <w:rPr>
          <w:rFonts w:hint="eastAsia" w:ascii="黑体" w:hAnsi="黑体" w:eastAsia="黑体" w:cs="黑体"/>
          <w:snapToGrid w:val="0"/>
          <w:kern w:val="0"/>
          <w:szCs w:val="21"/>
          <w:u w:val="single"/>
        </w:rPr>
        <w:t xml:space="preserve"> 南京市栖霞区迈皋桥社区卫生服务中心 </w:t>
      </w:r>
      <w:r>
        <w:rPr>
          <w:rFonts w:hint="eastAsia" w:ascii="黑体" w:hAnsi="黑体" w:eastAsia="黑体" w:cs="黑体"/>
          <w:szCs w:val="32"/>
        </w:rPr>
        <w:t>，</w:t>
      </w:r>
      <w:r>
        <w:rPr>
          <w:rFonts w:hint="eastAsia" w:ascii="黑体" w:hAnsi="黑体" w:eastAsia="黑体" w:cs="黑体"/>
          <w:snapToGrid w:val="0"/>
          <w:kern w:val="0"/>
          <w:szCs w:val="21"/>
        </w:rPr>
        <w:t>亦称买方；供应商系指具备相应资质的产品或服务的制造商、代理商；成交供应商系指最后成交的供应商，亦称卖方。</w:t>
      </w:r>
    </w:p>
    <w:p w14:paraId="7269B2A8">
      <w:pPr>
        <w:adjustRightInd w:val="0"/>
        <w:snapToGrid w:val="0"/>
        <w:spacing w:line="360" w:lineRule="auto"/>
        <w:ind w:firstLine="420" w:firstLineChars="200"/>
        <w:rPr>
          <w:rFonts w:hint="eastAsia" w:ascii="黑体" w:hAnsi="黑体" w:eastAsia="黑体" w:cs="黑体"/>
          <w:snapToGrid w:val="0"/>
          <w:kern w:val="0"/>
          <w:szCs w:val="21"/>
        </w:rPr>
      </w:pPr>
      <w:r>
        <w:rPr>
          <w:rFonts w:hint="eastAsia" w:ascii="黑体" w:hAnsi="黑体" w:eastAsia="黑体" w:cs="黑体"/>
          <w:snapToGrid w:val="0"/>
          <w:kern w:val="0"/>
          <w:szCs w:val="21"/>
        </w:rPr>
        <w:t>1.2供应商应详阅采购文件中的所有条款、格式、表式、条件和规范。不按采购文件要求提供的磋商响应文件和资料，可能被拒绝接受，其后果由供应商自己负责。</w:t>
      </w:r>
    </w:p>
    <w:p w14:paraId="5BF7B8D0">
      <w:pPr>
        <w:adjustRightInd w:val="0"/>
        <w:snapToGrid w:val="0"/>
        <w:spacing w:line="360" w:lineRule="auto"/>
        <w:ind w:firstLine="420" w:firstLineChars="200"/>
        <w:rPr>
          <w:rFonts w:hint="eastAsia" w:ascii="黑体" w:hAnsi="黑体" w:eastAsia="黑体" w:cs="黑体"/>
          <w:snapToGrid w:val="0"/>
          <w:kern w:val="0"/>
          <w:szCs w:val="21"/>
        </w:rPr>
      </w:pPr>
      <w:r>
        <w:rPr>
          <w:rFonts w:hint="eastAsia" w:ascii="黑体" w:hAnsi="黑体" w:eastAsia="黑体" w:cs="黑体"/>
          <w:snapToGrid w:val="0"/>
          <w:kern w:val="0"/>
          <w:szCs w:val="21"/>
        </w:rPr>
        <w:t>1.3供应商被视为充分熟悉本采购项目的各种情况以及与履行合同有关的一切其他情况。</w:t>
      </w:r>
    </w:p>
    <w:p w14:paraId="4979DF0D">
      <w:pPr>
        <w:adjustRightInd w:val="0"/>
        <w:snapToGrid w:val="0"/>
        <w:spacing w:line="360" w:lineRule="auto"/>
        <w:ind w:firstLine="420" w:firstLineChars="200"/>
        <w:rPr>
          <w:rFonts w:hint="eastAsia" w:ascii="黑体" w:hAnsi="黑体" w:eastAsia="黑体" w:cs="黑体"/>
          <w:snapToGrid w:val="0"/>
          <w:kern w:val="0"/>
          <w:szCs w:val="21"/>
        </w:rPr>
      </w:pPr>
      <w:r>
        <w:rPr>
          <w:rFonts w:hint="eastAsia" w:ascii="黑体" w:hAnsi="黑体" w:eastAsia="黑体" w:cs="黑体"/>
          <w:snapToGrid w:val="0"/>
          <w:kern w:val="0"/>
          <w:szCs w:val="21"/>
        </w:rPr>
        <w:t>1.4采购文件以中文书写。</w:t>
      </w:r>
    </w:p>
    <w:p w14:paraId="636EC73E">
      <w:pPr>
        <w:pStyle w:val="5"/>
        <w:ind w:left="0" w:firstLine="0"/>
        <w:rPr>
          <w:rFonts w:hint="eastAsia"/>
          <w:snapToGrid w:val="0"/>
        </w:rPr>
      </w:pPr>
      <w:bookmarkStart w:id="50" w:name="_Toc447008965"/>
      <w:bookmarkStart w:id="51" w:name="_Toc387223057"/>
      <w:bookmarkStart w:id="52" w:name="_Toc446055536"/>
      <w:bookmarkStart w:id="53" w:name="_Toc462045802"/>
      <w:bookmarkStart w:id="54" w:name="_Toc387393259"/>
      <w:bookmarkStart w:id="55" w:name="_Toc463776816"/>
      <w:r>
        <w:rPr>
          <w:rFonts w:hint="eastAsia"/>
          <w:snapToGrid w:val="0"/>
        </w:rPr>
        <w:t>2.采购文件的澄清</w:t>
      </w:r>
      <w:bookmarkEnd w:id="50"/>
      <w:bookmarkEnd w:id="51"/>
      <w:bookmarkEnd w:id="52"/>
      <w:bookmarkEnd w:id="53"/>
      <w:bookmarkEnd w:id="54"/>
      <w:bookmarkEnd w:id="55"/>
    </w:p>
    <w:p w14:paraId="2BDE8757">
      <w:pPr>
        <w:adjustRightInd w:val="0"/>
        <w:snapToGrid w:val="0"/>
        <w:spacing w:line="360" w:lineRule="auto"/>
        <w:ind w:firstLine="420" w:firstLineChars="200"/>
        <w:rPr>
          <w:rFonts w:hint="eastAsia" w:ascii="黑体" w:hAnsi="黑体" w:eastAsia="黑体" w:cs="黑体"/>
          <w:snapToGrid w:val="0"/>
          <w:kern w:val="0"/>
          <w:szCs w:val="21"/>
        </w:rPr>
      </w:pPr>
      <w:r>
        <w:rPr>
          <w:rFonts w:hint="eastAsia" w:ascii="黑体" w:hAnsi="黑体" w:eastAsia="黑体" w:cs="黑体"/>
          <w:snapToGrid w:val="0"/>
          <w:kern w:val="0"/>
          <w:szCs w:val="21"/>
        </w:rPr>
        <w:t>2.1供应商如须澄清采购文件的疑点，可用信函、电报或传真等书面形式通知采购代理机构，但通知不得迟于采购截止日前5天以前采购代理机构收到，采购代理机构将用信函、电报或传真等</w:t>
      </w:r>
      <w:r>
        <w:rPr>
          <w:rFonts w:hint="eastAsia" w:ascii="黑体" w:hAnsi="黑体" w:eastAsia="黑体" w:cs="黑体"/>
          <w:snapToGrid w:val="0"/>
          <w:kern w:val="0"/>
          <w:szCs w:val="21"/>
          <w:lang w:eastAsia="zh-CN"/>
        </w:rPr>
        <w:t>书面形式</w:t>
      </w:r>
      <w:r>
        <w:rPr>
          <w:rFonts w:hint="eastAsia" w:ascii="黑体" w:hAnsi="黑体" w:eastAsia="黑体" w:cs="黑体"/>
          <w:snapToGrid w:val="0"/>
          <w:kern w:val="0"/>
          <w:szCs w:val="21"/>
        </w:rPr>
        <w:t>作出答复。采购代理机构认为有必要时可将答复内容（包括原提出的问题，但不包括问题的来源），分发给所有取得同一采购文件的供应商。</w:t>
      </w:r>
    </w:p>
    <w:p w14:paraId="12FAEB13">
      <w:pPr>
        <w:pStyle w:val="5"/>
        <w:ind w:left="0" w:firstLine="0"/>
        <w:rPr>
          <w:rFonts w:hint="eastAsia"/>
          <w:snapToGrid w:val="0"/>
        </w:rPr>
      </w:pPr>
      <w:bookmarkStart w:id="56" w:name="_Toc387393260"/>
      <w:bookmarkStart w:id="57" w:name="_Toc447008966"/>
      <w:bookmarkStart w:id="58" w:name="_Toc387223058"/>
      <w:bookmarkStart w:id="59" w:name="_Toc462045803"/>
      <w:bookmarkStart w:id="60" w:name="_Toc507142090"/>
      <w:bookmarkStart w:id="61" w:name="_Toc446055537"/>
      <w:bookmarkStart w:id="62" w:name="_Toc463776817"/>
      <w:r>
        <w:rPr>
          <w:rFonts w:hint="eastAsia"/>
          <w:snapToGrid w:val="0"/>
        </w:rPr>
        <w:t>3.采购文件的补充或修正</w:t>
      </w:r>
      <w:bookmarkEnd w:id="56"/>
      <w:bookmarkEnd w:id="57"/>
      <w:bookmarkEnd w:id="58"/>
      <w:bookmarkEnd w:id="59"/>
      <w:bookmarkEnd w:id="60"/>
      <w:bookmarkEnd w:id="61"/>
      <w:bookmarkEnd w:id="62"/>
    </w:p>
    <w:p w14:paraId="3F1902E8">
      <w:pPr>
        <w:adjustRightInd w:val="0"/>
        <w:snapToGrid w:val="0"/>
        <w:spacing w:line="360" w:lineRule="auto"/>
        <w:ind w:firstLine="420" w:firstLineChars="200"/>
        <w:rPr>
          <w:rFonts w:hint="eastAsia" w:ascii="黑体" w:hAnsi="黑体" w:eastAsia="黑体" w:cs="黑体"/>
          <w:snapToGrid w:val="0"/>
          <w:kern w:val="0"/>
          <w:szCs w:val="21"/>
        </w:rPr>
      </w:pPr>
      <w:r>
        <w:rPr>
          <w:rFonts w:hint="eastAsia" w:ascii="黑体" w:hAnsi="黑体" w:eastAsia="黑体" w:cs="黑体"/>
          <w:snapToGrid w:val="0"/>
          <w:kern w:val="0"/>
          <w:szCs w:val="21"/>
        </w:rPr>
        <w:t>3.1在采购截止日5天以前的任何时间，采购代理机构对于不论是出于自己的考虑或是对供应商提问的澄清，均可对采购文件用书面补充的方式进行修正。若书面补充与采购文件有冲突之处，以最后发出的书面补充为准。</w:t>
      </w:r>
    </w:p>
    <w:p w14:paraId="3D91514D">
      <w:pPr>
        <w:adjustRightInd w:val="0"/>
        <w:snapToGrid w:val="0"/>
        <w:spacing w:line="360" w:lineRule="auto"/>
        <w:ind w:firstLine="420" w:firstLineChars="200"/>
        <w:rPr>
          <w:rFonts w:hint="eastAsia" w:ascii="黑体" w:hAnsi="黑体" w:eastAsia="黑体" w:cs="黑体"/>
          <w:snapToGrid w:val="0"/>
          <w:kern w:val="0"/>
          <w:szCs w:val="21"/>
        </w:rPr>
      </w:pPr>
      <w:r>
        <w:rPr>
          <w:rFonts w:hint="eastAsia" w:ascii="黑体" w:hAnsi="黑体" w:eastAsia="黑体" w:cs="黑体"/>
          <w:snapToGrid w:val="0"/>
          <w:kern w:val="0"/>
          <w:szCs w:val="21"/>
        </w:rPr>
        <w:t>3.2对采购文件的补充或修正，应以信函、电报或传真等书面形式通知所有供应商。</w:t>
      </w:r>
    </w:p>
    <w:p w14:paraId="0AE8DAB5">
      <w:pPr>
        <w:adjustRightInd w:val="0"/>
        <w:snapToGrid w:val="0"/>
        <w:spacing w:line="360" w:lineRule="auto"/>
        <w:ind w:firstLine="420" w:firstLineChars="200"/>
        <w:rPr>
          <w:rFonts w:hint="eastAsia" w:ascii="黑体" w:hAnsi="黑体" w:eastAsia="黑体" w:cs="黑体"/>
          <w:snapToGrid w:val="0"/>
          <w:kern w:val="0"/>
          <w:szCs w:val="21"/>
        </w:rPr>
      </w:pPr>
      <w:r>
        <w:rPr>
          <w:rFonts w:hint="eastAsia" w:ascii="黑体" w:hAnsi="黑体" w:eastAsia="黑体" w:cs="黑体"/>
          <w:snapToGrid w:val="0"/>
          <w:kern w:val="0"/>
          <w:szCs w:val="21"/>
        </w:rPr>
        <w:t>3.3为使供应商在准备响应采购时，有合理的时间考虑采购文件的修改，采购代理机构有权决定推迟采购的截止日期，并将此变更通知所有的供应商。</w:t>
      </w:r>
    </w:p>
    <w:p w14:paraId="221AFC2A">
      <w:pPr>
        <w:pStyle w:val="5"/>
        <w:ind w:left="0" w:firstLine="0"/>
        <w:rPr>
          <w:rFonts w:hint="eastAsia"/>
          <w:snapToGrid w:val="0"/>
        </w:rPr>
      </w:pPr>
      <w:bookmarkStart w:id="63" w:name="_Toc446055538"/>
      <w:bookmarkStart w:id="64" w:name="_Toc387393261"/>
      <w:bookmarkStart w:id="65" w:name="_Toc387223059"/>
      <w:bookmarkStart w:id="66" w:name="_Toc447008967"/>
      <w:bookmarkStart w:id="67" w:name="_Toc507142091"/>
      <w:bookmarkStart w:id="68" w:name="_Toc463776818"/>
      <w:bookmarkStart w:id="69" w:name="_Toc462045804"/>
      <w:r>
        <w:rPr>
          <w:rFonts w:hint="eastAsia"/>
          <w:snapToGrid w:val="0"/>
        </w:rPr>
        <w:t>4.磋商响应文件的语言</w:t>
      </w:r>
      <w:bookmarkEnd w:id="63"/>
      <w:bookmarkEnd w:id="64"/>
      <w:bookmarkEnd w:id="65"/>
      <w:bookmarkEnd w:id="66"/>
      <w:bookmarkEnd w:id="67"/>
      <w:bookmarkEnd w:id="68"/>
      <w:bookmarkEnd w:id="69"/>
    </w:p>
    <w:p w14:paraId="0048A9C2">
      <w:pPr>
        <w:adjustRightInd w:val="0"/>
        <w:snapToGrid w:val="0"/>
        <w:spacing w:line="360" w:lineRule="auto"/>
        <w:ind w:firstLine="420" w:firstLineChars="200"/>
        <w:rPr>
          <w:rFonts w:hint="eastAsia" w:ascii="黑体" w:hAnsi="黑体" w:eastAsia="黑体" w:cs="黑体"/>
          <w:snapToGrid w:val="0"/>
          <w:kern w:val="0"/>
          <w:szCs w:val="21"/>
        </w:rPr>
      </w:pPr>
      <w:r>
        <w:rPr>
          <w:rFonts w:hint="eastAsia" w:ascii="黑体" w:hAnsi="黑体" w:eastAsia="黑体" w:cs="黑体"/>
          <w:snapToGrid w:val="0"/>
          <w:kern w:val="0"/>
          <w:szCs w:val="21"/>
        </w:rPr>
        <w:t>4.1磋商响应文件以及供应商与采购代理机构之间函、电、文件和资料往来，都应以中文书写。</w:t>
      </w:r>
    </w:p>
    <w:p w14:paraId="7EA52A6D">
      <w:pPr>
        <w:adjustRightInd w:val="0"/>
        <w:snapToGrid w:val="0"/>
        <w:spacing w:line="360" w:lineRule="auto"/>
        <w:ind w:firstLine="420" w:firstLineChars="200"/>
        <w:rPr>
          <w:rFonts w:hint="eastAsia" w:ascii="黑体" w:hAnsi="黑体" w:eastAsia="黑体" w:cs="黑体"/>
          <w:snapToGrid w:val="0"/>
          <w:kern w:val="0"/>
          <w:szCs w:val="21"/>
        </w:rPr>
      </w:pPr>
      <w:r>
        <w:rPr>
          <w:rFonts w:hint="eastAsia" w:ascii="黑体" w:hAnsi="黑体" w:eastAsia="黑体" w:cs="黑体"/>
          <w:snapToGrid w:val="0"/>
          <w:kern w:val="0"/>
          <w:szCs w:val="21"/>
        </w:rPr>
        <w:t>4.2供应商已印刷好的产品说明书等可以用其他语言，但其中要点应附有中文译文。</w:t>
      </w:r>
    </w:p>
    <w:p w14:paraId="21598539">
      <w:pPr>
        <w:adjustRightInd w:val="0"/>
        <w:snapToGrid w:val="0"/>
        <w:spacing w:line="360" w:lineRule="auto"/>
        <w:ind w:firstLine="420" w:firstLineChars="200"/>
        <w:rPr>
          <w:rFonts w:hint="eastAsia" w:ascii="黑体" w:hAnsi="黑体" w:eastAsia="黑体" w:cs="黑体"/>
          <w:snapToGrid w:val="0"/>
          <w:kern w:val="0"/>
          <w:szCs w:val="21"/>
        </w:rPr>
      </w:pPr>
      <w:r>
        <w:rPr>
          <w:rFonts w:hint="eastAsia" w:ascii="黑体" w:hAnsi="黑体" w:eastAsia="黑体" w:cs="黑体"/>
          <w:snapToGrid w:val="0"/>
          <w:kern w:val="0"/>
          <w:szCs w:val="21"/>
        </w:rPr>
        <w:t>4.3任何不符合4.1至4.2项目规定的磋商响应文件和资料，将被拒绝接受或视为无效。</w:t>
      </w:r>
    </w:p>
    <w:p w14:paraId="025893AF">
      <w:pPr>
        <w:pStyle w:val="5"/>
        <w:ind w:left="0" w:firstLine="0"/>
        <w:rPr>
          <w:rFonts w:hint="eastAsia"/>
          <w:snapToGrid w:val="0"/>
        </w:rPr>
      </w:pPr>
      <w:bookmarkStart w:id="70" w:name="_Toc447008968"/>
      <w:bookmarkStart w:id="71" w:name="_Toc462045805"/>
      <w:bookmarkStart w:id="72" w:name="_Toc463776819"/>
      <w:bookmarkStart w:id="73" w:name="_Toc446055539"/>
      <w:bookmarkStart w:id="74" w:name="_Toc507142092"/>
      <w:bookmarkStart w:id="75" w:name="_Toc387223060"/>
      <w:bookmarkStart w:id="76" w:name="_Toc387393262"/>
      <w:r>
        <w:rPr>
          <w:rFonts w:hint="eastAsia"/>
          <w:snapToGrid w:val="0"/>
        </w:rPr>
        <w:t>5.资格文件</w:t>
      </w:r>
      <w:bookmarkEnd w:id="70"/>
      <w:bookmarkEnd w:id="71"/>
      <w:bookmarkEnd w:id="72"/>
      <w:bookmarkEnd w:id="73"/>
      <w:bookmarkEnd w:id="74"/>
      <w:bookmarkEnd w:id="75"/>
      <w:bookmarkEnd w:id="76"/>
    </w:p>
    <w:p w14:paraId="1B2647FD">
      <w:pPr>
        <w:adjustRightInd w:val="0"/>
        <w:snapToGrid w:val="0"/>
        <w:spacing w:line="360" w:lineRule="auto"/>
        <w:ind w:firstLine="420" w:firstLineChars="200"/>
        <w:rPr>
          <w:rFonts w:hint="eastAsia" w:ascii="黑体" w:hAnsi="黑体" w:eastAsia="黑体" w:cs="黑体"/>
          <w:snapToGrid w:val="0"/>
          <w:kern w:val="0"/>
          <w:szCs w:val="21"/>
        </w:rPr>
      </w:pPr>
      <w:r>
        <w:rPr>
          <w:rFonts w:hint="eastAsia" w:ascii="黑体" w:hAnsi="黑体" w:eastAsia="黑体" w:cs="黑体"/>
          <w:snapToGrid w:val="0"/>
          <w:kern w:val="0"/>
          <w:szCs w:val="21"/>
        </w:rPr>
        <w:t>5.1根据南京市《关于在政府采购活动中推行信用承诺制的通知》（宁财购通【2021】5号）规定，供应商做出自身符合《</w:t>
      </w:r>
      <w:r>
        <w:rPr>
          <w:rFonts w:hint="eastAsia" w:ascii="黑体" w:hAnsi="黑体" w:eastAsia="黑体" w:cs="黑体"/>
          <w:snapToGrid w:val="0"/>
          <w:kern w:val="0"/>
          <w:szCs w:val="21"/>
          <w:lang w:val="en-US" w:eastAsia="zh-CN"/>
        </w:rPr>
        <w:t>中华人民共和国</w:t>
      </w:r>
      <w:r>
        <w:rPr>
          <w:rFonts w:hint="eastAsia" w:ascii="黑体" w:hAnsi="黑体" w:eastAsia="黑体" w:cs="黑体"/>
          <w:snapToGrid w:val="0"/>
          <w:kern w:val="0"/>
          <w:szCs w:val="21"/>
        </w:rPr>
        <w:t>政府采购法》第二十二条规定、按约定提交相关材料的承诺，以及违背承诺自愿承担相关责任的约定，递交给采购代理机构；（承诺书原件）</w:t>
      </w:r>
    </w:p>
    <w:p w14:paraId="26A47D38">
      <w:pPr>
        <w:adjustRightInd w:val="0"/>
        <w:snapToGrid w:val="0"/>
        <w:spacing w:line="360" w:lineRule="auto"/>
        <w:ind w:firstLine="420" w:firstLineChars="200"/>
        <w:rPr>
          <w:rFonts w:hint="eastAsia" w:ascii="黑体" w:hAnsi="黑体" w:eastAsia="黑体" w:cs="黑体"/>
          <w:snapToGrid w:val="0"/>
          <w:kern w:val="0"/>
          <w:szCs w:val="21"/>
        </w:rPr>
      </w:pPr>
      <w:r>
        <w:rPr>
          <w:rFonts w:hint="eastAsia" w:ascii="黑体" w:hAnsi="黑体" w:eastAsia="黑体" w:cs="黑体"/>
          <w:snapToGrid w:val="0"/>
          <w:kern w:val="0"/>
          <w:szCs w:val="21"/>
        </w:rPr>
        <w:t>5.2供应商营业执照副本（复印件并</w:t>
      </w:r>
      <w:r>
        <w:rPr>
          <w:rFonts w:hint="eastAsia" w:ascii="黑体" w:hAnsi="黑体" w:eastAsia="黑体" w:cs="黑体"/>
          <w:bCs/>
          <w:snapToGrid w:val="0"/>
          <w:kern w:val="0"/>
          <w:szCs w:val="21"/>
        </w:rPr>
        <w:t>加盖公章</w:t>
      </w:r>
      <w:r>
        <w:rPr>
          <w:rFonts w:hint="eastAsia" w:ascii="黑体" w:hAnsi="黑体" w:eastAsia="黑体" w:cs="黑体"/>
          <w:snapToGrid w:val="0"/>
          <w:kern w:val="0"/>
          <w:szCs w:val="21"/>
        </w:rPr>
        <w:t>）；</w:t>
      </w:r>
    </w:p>
    <w:p w14:paraId="0F64A2B1">
      <w:pPr>
        <w:adjustRightInd w:val="0"/>
        <w:snapToGrid w:val="0"/>
        <w:spacing w:line="360" w:lineRule="auto"/>
        <w:ind w:firstLine="420" w:firstLineChars="200"/>
        <w:rPr>
          <w:rFonts w:hint="eastAsia" w:ascii="黑体" w:hAnsi="黑体" w:eastAsia="黑体" w:cs="黑体"/>
          <w:b/>
          <w:snapToGrid w:val="0"/>
          <w:kern w:val="0"/>
          <w:szCs w:val="21"/>
        </w:rPr>
      </w:pPr>
      <w:r>
        <w:rPr>
          <w:rFonts w:hint="eastAsia" w:ascii="黑体" w:hAnsi="黑体" w:eastAsia="黑体" w:cs="黑体"/>
          <w:snapToGrid w:val="0"/>
          <w:kern w:val="0"/>
          <w:szCs w:val="21"/>
        </w:rPr>
        <w:t>5.3法人代表授权书（原件），</w:t>
      </w:r>
      <w:r>
        <w:rPr>
          <w:rFonts w:hint="eastAsia" w:ascii="黑体" w:hAnsi="黑体" w:eastAsia="黑体" w:cs="黑体"/>
          <w:b/>
          <w:snapToGrid w:val="0"/>
          <w:kern w:val="0"/>
          <w:szCs w:val="21"/>
        </w:rPr>
        <w:t>必须有法定代表人及法人授权代表签字或盖章并加盖单位公章，并附法定代表人及法人授权代表身份证有效复印件；</w:t>
      </w:r>
    </w:p>
    <w:p w14:paraId="22C20F82">
      <w:pPr>
        <w:adjustRightInd w:val="0"/>
        <w:snapToGrid w:val="0"/>
        <w:spacing w:line="360" w:lineRule="auto"/>
        <w:ind w:firstLine="420" w:firstLineChars="200"/>
        <w:rPr>
          <w:rFonts w:hint="eastAsia" w:ascii="黑体" w:hAnsi="黑体" w:eastAsia="黑体" w:cs="黑体"/>
          <w:snapToGrid w:val="0"/>
          <w:kern w:val="0"/>
          <w:szCs w:val="21"/>
        </w:rPr>
      </w:pPr>
      <w:r>
        <w:rPr>
          <w:rFonts w:hint="eastAsia" w:ascii="黑体" w:hAnsi="黑体" w:eastAsia="黑体" w:cs="黑体"/>
          <w:snapToGrid w:val="0"/>
          <w:kern w:val="0"/>
          <w:szCs w:val="21"/>
        </w:rPr>
        <w:t xml:space="preserve">5.4 </w:t>
      </w:r>
      <w:r>
        <w:rPr>
          <w:rFonts w:hint="eastAsia" w:ascii="黑体" w:hAnsi="黑体" w:eastAsia="黑体" w:cs="黑体"/>
          <w:b/>
          <w:szCs w:val="21"/>
        </w:rPr>
        <w:t>本项目的特定资格要求证明文件。</w:t>
      </w:r>
    </w:p>
    <w:p w14:paraId="09D9B257">
      <w:pPr>
        <w:pStyle w:val="5"/>
        <w:ind w:left="0" w:firstLine="0"/>
        <w:rPr>
          <w:rFonts w:hint="eastAsia"/>
          <w:snapToGrid w:val="0"/>
        </w:rPr>
      </w:pPr>
      <w:bookmarkStart w:id="77" w:name="_Toc507142093"/>
      <w:bookmarkStart w:id="78" w:name="_Toc447008969"/>
      <w:bookmarkStart w:id="79" w:name="_Toc463776820"/>
      <w:bookmarkStart w:id="80" w:name="_Toc387393263"/>
      <w:bookmarkStart w:id="81" w:name="_Toc462045806"/>
      <w:bookmarkStart w:id="82" w:name="_Toc387223061"/>
      <w:bookmarkStart w:id="83" w:name="_Toc446055540"/>
      <w:r>
        <w:rPr>
          <w:rFonts w:hint="eastAsia"/>
          <w:snapToGrid w:val="0"/>
        </w:rPr>
        <w:t>6.技术合格文件</w:t>
      </w:r>
      <w:bookmarkEnd w:id="77"/>
      <w:bookmarkEnd w:id="78"/>
      <w:bookmarkEnd w:id="79"/>
      <w:bookmarkEnd w:id="80"/>
      <w:bookmarkEnd w:id="81"/>
      <w:bookmarkEnd w:id="82"/>
      <w:bookmarkEnd w:id="83"/>
    </w:p>
    <w:p w14:paraId="7F9B6B59">
      <w:pPr>
        <w:adjustRightInd w:val="0"/>
        <w:snapToGrid w:val="0"/>
        <w:spacing w:line="360" w:lineRule="auto"/>
        <w:ind w:left="422"/>
        <w:textAlignment w:val="baseline"/>
        <w:rPr>
          <w:rFonts w:hint="eastAsia" w:ascii="黑体" w:hAnsi="黑体" w:eastAsia="黑体" w:cs="黑体"/>
          <w:snapToGrid w:val="0"/>
          <w:kern w:val="0"/>
          <w:szCs w:val="21"/>
        </w:rPr>
      </w:pPr>
      <w:r>
        <w:rPr>
          <w:rFonts w:hint="eastAsia" w:ascii="黑体" w:hAnsi="黑体" w:eastAsia="黑体" w:cs="黑体"/>
          <w:snapToGrid w:val="0"/>
          <w:kern w:val="0"/>
          <w:szCs w:val="21"/>
        </w:rPr>
        <w:t>6.1作为磋商响应文件的一部分，供应商必须提供所供应的货物、工程或服务是合格的、并符合采购文件要求的证明文件。</w:t>
      </w:r>
    </w:p>
    <w:p w14:paraId="08723AEF">
      <w:pPr>
        <w:adjustRightInd w:val="0"/>
        <w:snapToGrid w:val="0"/>
        <w:spacing w:line="360" w:lineRule="auto"/>
        <w:ind w:firstLine="420" w:firstLineChars="200"/>
        <w:textAlignment w:val="baseline"/>
        <w:rPr>
          <w:rFonts w:hint="eastAsia" w:ascii="黑体" w:hAnsi="黑体" w:eastAsia="黑体" w:cs="黑体"/>
          <w:snapToGrid w:val="0"/>
          <w:kern w:val="0"/>
          <w:szCs w:val="21"/>
        </w:rPr>
      </w:pPr>
      <w:r>
        <w:rPr>
          <w:rFonts w:hint="eastAsia" w:ascii="黑体" w:hAnsi="黑体" w:eastAsia="黑体" w:cs="黑体"/>
          <w:snapToGrid w:val="0"/>
          <w:kern w:val="0"/>
          <w:szCs w:val="21"/>
        </w:rPr>
        <w:t>6.2证明产品符合采购文件要求的文件可以是说明书、图样或资料，除此之外还须提供：</w:t>
      </w:r>
    </w:p>
    <w:p w14:paraId="214B9135">
      <w:pPr>
        <w:adjustRightInd w:val="0"/>
        <w:snapToGrid w:val="0"/>
        <w:spacing w:line="360" w:lineRule="auto"/>
        <w:ind w:firstLine="420" w:firstLineChars="200"/>
        <w:textAlignment w:val="baseline"/>
        <w:rPr>
          <w:rFonts w:hint="eastAsia" w:ascii="黑体" w:hAnsi="黑体" w:eastAsia="黑体" w:cs="黑体"/>
          <w:snapToGrid w:val="0"/>
          <w:kern w:val="0"/>
          <w:szCs w:val="21"/>
        </w:rPr>
      </w:pPr>
      <w:r>
        <w:rPr>
          <w:rFonts w:hint="eastAsia" w:ascii="黑体" w:hAnsi="黑体" w:eastAsia="黑体" w:cs="黑体"/>
          <w:snapToGrid w:val="0"/>
          <w:kern w:val="0"/>
          <w:szCs w:val="21"/>
        </w:rPr>
        <w:t>（1）对于本项目构想的详细描述；</w:t>
      </w:r>
    </w:p>
    <w:p w14:paraId="6B0E6270">
      <w:pPr>
        <w:adjustRightInd w:val="0"/>
        <w:snapToGrid w:val="0"/>
        <w:spacing w:line="360" w:lineRule="auto"/>
        <w:ind w:firstLine="420" w:firstLineChars="200"/>
        <w:textAlignment w:val="baseline"/>
        <w:rPr>
          <w:rFonts w:hint="eastAsia" w:ascii="黑体" w:hAnsi="黑体" w:eastAsia="黑体" w:cs="黑体"/>
          <w:snapToGrid w:val="0"/>
          <w:kern w:val="0"/>
          <w:szCs w:val="21"/>
        </w:rPr>
      </w:pPr>
      <w:r>
        <w:rPr>
          <w:rFonts w:hint="eastAsia" w:ascii="黑体" w:hAnsi="黑体" w:eastAsia="黑体" w:cs="黑体"/>
          <w:snapToGrid w:val="0"/>
          <w:kern w:val="0"/>
          <w:szCs w:val="21"/>
        </w:rPr>
        <w:t>（2）拟投入本项目的人力（项目组人员）、物力（仪器设备）、财力等；</w:t>
      </w:r>
    </w:p>
    <w:p w14:paraId="21E347C5">
      <w:pPr>
        <w:adjustRightInd w:val="0"/>
        <w:snapToGrid w:val="0"/>
        <w:spacing w:line="360" w:lineRule="auto"/>
        <w:ind w:firstLine="420" w:firstLineChars="200"/>
        <w:textAlignment w:val="baseline"/>
        <w:rPr>
          <w:rFonts w:hint="eastAsia" w:ascii="黑体" w:hAnsi="黑体" w:eastAsia="黑体" w:cs="黑体"/>
          <w:snapToGrid w:val="0"/>
          <w:kern w:val="0"/>
          <w:szCs w:val="21"/>
        </w:rPr>
      </w:pPr>
      <w:r>
        <w:rPr>
          <w:rFonts w:hint="eastAsia" w:ascii="黑体" w:hAnsi="黑体" w:eastAsia="黑体" w:cs="黑体"/>
          <w:snapToGrid w:val="0"/>
          <w:kern w:val="0"/>
          <w:szCs w:val="21"/>
        </w:rPr>
        <w:t>（3）服务方案或技术方案</w:t>
      </w:r>
    </w:p>
    <w:p w14:paraId="27450565">
      <w:pPr>
        <w:adjustRightInd w:val="0"/>
        <w:snapToGrid w:val="0"/>
        <w:spacing w:line="360" w:lineRule="auto"/>
        <w:ind w:firstLine="420" w:firstLineChars="200"/>
        <w:textAlignment w:val="baseline"/>
        <w:rPr>
          <w:rFonts w:hint="eastAsia" w:ascii="黑体" w:hAnsi="黑体" w:eastAsia="黑体" w:cs="黑体"/>
          <w:snapToGrid w:val="0"/>
          <w:kern w:val="0"/>
          <w:szCs w:val="21"/>
        </w:rPr>
      </w:pPr>
      <w:r>
        <w:rPr>
          <w:rFonts w:hint="eastAsia" w:ascii="黑体" w:hAnsi="黑体" w:eastAsia="黑体" w:cs="黑体"/>
          <w:snapToGrid w:val="0"/>
          <w:kern w:val="0"/>
          <w:szCs w:val="21"/>
        </w:rPr>
        <w:t>（4）企业业绩</w:t>
      </w:r>
    </w:p>
    <w:p w14:paraId="1DECA958">
      <w:pPr>
        <w:adjustRightInd w:val="0"/>
        <w:snapToGrid w:val="0"/>
        <w:spacing w:line="360" w:lineRule="auto"/>
        <w:ind w:firstLine="420" w:firstLineChars="200"/>
        <w:textAlignment w:val="baseline"/>
        <w:rPr>
          <w:rFonts w:hint="eastAsia" w:ascii="黑体" w:hAnsi="黑体" w:eastAsia="黑体" w:cs="黑体"/>
          <w:snapToGrid w:val="0"/>
          <w:kern w:val="0"/>
          <w:szCs w:val="21"/>
        </w:rPr>
      </w:pPr>
      <w:r>
        <w:rPr>
          <w:rFonts w:hint="eastAsia" w:ascii="黑体" w:hAnsi="黑体" w:eastAsia="黑体" w:cs="黑体"/>
          <w:snapToGrid w:val="0"/>
          <w:kern w:val="0"/>
          <w:szCs w:val="21"/>
        </w:rPr>
        <w:t>（5）供应商认为需要提供的其他技术资料。</w:t>
      </w:r>
    </w:p>
    <w:p w14:paraId="1B294A8C">
      <w:pPr>
        <w:pStyle w:val="5"/>
        <w:ind w:left="0" w:firstLine="0"/>
        <w:rPr>
          <w:rFonts w:hint="eastAsia"/>
          <w:snapToGrid w:val="0"/>
        </w:rPr>
      </w:pPr>
      <w:bookmarkStart w:id="84" w:name="_Toc463776821"/>
      <w:bookmarkStart w:id="85" w:name="_Toc387393264"/>
      <w:bookmarkStart w:id="86" w:name="_Toc507142094"/>
      <w:bookmarkStart w:id="87" w:name="_Toc446055541"/>
      <w:bookmarkStart w:id="88" w:name="_Toc462045807"/>
      <w:bookmarkStart w:id="89" w:name="_Toc447008970"/>
      <w:bookmarkStart w:id="90" w:name="_Toc387223062"/>
      <w:r>
        <w:rPr>
          <w:rFonts w:hint="eastAsia"/>
          <w:snapToGrid w:val="0"/>
        </w:rPr>
        <w:t>7.采购响应文件的格式</w:t>
      </w:r>
      <w:bookmarkEnd w:id="84"/>
      <w:bookmarkEnd w:id="85"/>
      <w:bookmarkEnd w:id="86"/>
      <w:bookmarkEnd w:id="87"/>
      <w:bookmarkEnd w:id="88"/>
      <w:bookmarkEnd w:id="89"/>
      <w:bookmarkEnd w:id="90"/>
    </w:p>
    <w:p w14:paraId="1A1D8B78">
      <w:pPr>
        <w:adjustRightInd w:val="0"/>
        <w:snapToGrid w:val="0"/>
        <w:spacing w:line="360" w:lineRule="auto"/>
        <w:ind w:firstLine="420" w:firstLineChars="200"/>
        <w:rPr>
          <w:rFonts w:hint="eastAsia" w:ascii="黑体" w:hAnsi="黑体" w:eastAsia="黑体" w:cs="黑体"/>
          <w:snapToGrid w:val="0"/>
          <w:kern w:val="0"/>
          <w:szCs w:val="21"/>
        </w:rPr>
      </w:pPr>
      <w:r>
        <w:rPr>
          <w:rFonts w:hint="eastAsia" w:ascii="黑体" w:hAnsi="黑体" w:eastAsia="黑体" w:cs="黑体"/>
          <w:snapToGrid w:val="0"/>
          <w:kern w:val="0"/>
          <w:szCs w:val="21"/>
        </w:rPr>
        <w:t>7.1供应商须按采购文件第七章“磋商响应文件格式”编制磋商采购响应文件。</w:t>
      </w:r>
    </w:p>
    <w:p w14:paraId="7A7C2D51">
      <w:pPr>
        <w:adjustRightInd w:val="0"/>
        <w:snapToGrid w:val="0"/>
        <w:spacing w:line="360" w:lineRule="auto"/>
        <w:ind w:firstLine="420" w:firstLineChars="200"/>
        <w:rPr>
          <w:rFonts w:hint="eastAsia" w:ascii="黑体" w:hAnsi="黑体" w:eastAsia="黑体" w:cs="黑体"/>
          <w:snapToGrid w:val="0"/>
          <w:kern w:val="0"/>
          <w:szCs w:val="21"/>
        </w:rPr>
      </w:pPr>
      <w:r>
        <w:rPr>
          <w:rFonts w:hint="eastAsia" w:ascii="黑体" w:hAnsi="黑体" w:eastAsia="黑体" w:cs="黑体"/>
          <w:snapToGrid w:val="0"/>
          <w:kern w:val="0"/>
          <w:szCs w:val="21"/>
        </w:rPr>
        <w:t>7.2供应商应在磋商响应文件中写清相应的采购文件编号、供应商全称、地址、邮编、电话、电挂、传真，并由授权代表签字或盖章。</w:t>
      </w:r>
    </w:p>
    <w:p w14:paraId="08E37B82">
      <w:pPr>
        <w:tabs>
          <w:tab w:val="left" w:pos="426"/>
        </w:tabs>
        <w:adjustRightInd w:val="0"/>
        <w:snapToGrid w:val="0"/>
        <w:spacing w:line="360" w:lineRule="auto"/>
        <w:ind w:firstLine="420" w:firstLineChars="200"/>
        <w:rPr>
          <w:rFonts w:hint="eastAsia" w:ascii="黑体" w:hAnsi="黑体" w:eastAsia="黑体" w:cs="黑体"/>
          <w:b/>
          <w:snapToGrid w:val="0"/>
          <w:kern w:val="0"/>
          <w:szCs w:val="21"/>
        </w:rPr>
      </w:pPr>
      <w:r>
        <w:rPr>
          <w:rFonts w:hint="eastAsia" w:ascii="黑体" w:hAnsi="黑体" w:eastAsia="黑体" w:cs="黑体"/>
          <w:snapToGrid w:val="0"/>
          <w:kern w:val="0"/>
          <w:szCs w:val="21"/>
        </w:rPr>
        <w:t>7.3报价表须按填表说明详细填写，价格、数量均按此表为准；</w:t>
      </w:r>
      <w:r>
        <w:rPr>
          <w:rFonts w:hint="eastAsia" w:ascii="黑体" w:hAnsi="黑体" w:eastAsia="黑体" w:cs="黑体"/>
          <w:b/>
          <w:snapToGrid w:val="0"/>
          <w:kern w:val="0"/>
          <w:szCs w:val="21"/>
        </w:rPr>
        <w:t>如有优惠条件须在此表中详细说明。</w:t>
      </w:r>
    </w:p>
    <w:p w14:paraId="1A05E01A">
      <w:pPr>
        <w:adjustRightInd w:val="0"/>
        <w:snapToGrid w:val="0"/>
        <w:spacing w:line="360" w:lineRule="auto"/>
        <w:ind w:firstLine="420" w:firstLineChars="200"/>
        <w:rPr>
          <w:rFonts w:hint="eastAsia" w:ascii="黑体" w:hAnsi="黑体" w:eastAsia="黑体" w:cs="黑体"/>
          <w:snapToGrid w:val="0"/>
          <w:kern w:val="0"/>
          <w:szCs w:val="21"/>
        </w:rPr>
      </w:pPr>
      <w:r>
        <w:rPr>
          <w:rFonts w:hint="eastAsia" w:ascii="黑体" w:hAnsi="黑体" w:eastAsia="黑体" w:cs="黑体"/>
          <w:snapToGrid w:val="0"/>
          <w:kern w:val="0"/>
          <w:szCs w:val="21"/>
        </w:rPr>
        <w:t>7.4货物、工程或服务的规格及技术参数响应表，供应商须按表填明对采购人要求的货物、工程或服务在规格及技术参数等方面的响应情况，并由授权代表签字或盖章。</w:t>
      </w:r>
    </w:p>
    <w:p w14:paraId="6E730FEC">
      <w:pPr>
        <w:pStyle w:val="5"/>
        <w:ind w:left="0" w:firstLine="0"/>
        <w:rPr>
          <w:rFonts w:hint="eastAsia"/>
          <w:snapToGrid w:val="0"/>
        </w:rPr>
      </w:pPr>
      <w:bookmarkStart w:id="91" w:name="_Toc462045808"/>
      <w:bookmarkStart w:id="92" w:name="_Toc387223063"/>
      <w:bookmarkStart w:id="93" w:name="_Toc463776822"/>
      <w:bookmarkStart w:id="94" w:name="_Toc387393265"/>
      <w:bookmarkStart w:id="95" w:name="_Toc447008971"/>
      <w:bookmarkStart w:id="96" w:name="_Toc446055542"/>
      <w:bookmarkStart w:id="97" w:name="_Toc507142095"/>
      <w:r>
        <w:rPr>
          <w:rFonts w:hint="eastAsia"/>
          <w:snapToGrid w:val="0"/>
        </w:rPr>
        <w:t>8.所供货物、工程或服务的价格</w:t>
      </w:r>
      <w:bookmarkEnd w:id="91"/>
      <w:bookmarkEnd w:id="92"/>
      <w:bookmarkEnd w:id="93"/>
      <w:bookmarkEnd w:id="94"/>
      <w:bookmarkEnd w:id="95"/>
      <w:bookmarkEnd w:id="96"/>
      <w:bookmarkEnd w:id="97"/>
    </w:p>
    <w:p w14:paraId="4F36BFB4">
      <w:pPr>
        <w:adjustRightInd w:val="0"/>
        <w:snapToGrid w:val="0"/>
        <w:spacing w:line="360" w:lineRule="auto"/>
        <w:ind w:firstLine="420" w:firstLineChars="200"/>
        <w:rPr>
          <w:rFonts w:hint="eastAsia" w:ascii="黑体" w:hAnsi="黑体" w:eastAsia="黑体" w:cs="黑体"/>
          <w:snapToGrid w:val="0"/>
          <w:kern w:val="0"/>
          <w:szCs w:val="21"/>
        </w:rPr>
      </w:pPr>
      <w:r>
        <w:rPr>
          <w:rFonts w:hint="eastAsia" w:ascii="黑体" w:hAnsi="黑体" w:eastAsia="黑体" w:cs="黑体"/>
          <w:snapToGrid w:val="0"/>
          <w:kern w:val="0"/>
          <w:szCs w:val="21"/>
        </w:rPr>
        <w:t>8.1采购代理机构对每一项货物、工程或服务仅接受一个价格，不接受选择性报价。</w:t>
      </w:r>
    </w:p>
    <w:p w14:paraId="026536AF">
      <w:pPr>
        <w:adjustRightInd w:val="0"/>
        <w:snapToGrid w:val="0"/>
        <w:spacing w:line="360" w:lineRule="auto"/>
        <w:ind w:firstLine="420" w:firstLineChars="200"/>
        <w:rPr>
          <w:rFonts w:hint="eastAsia" w:ascii="黑体" w:hAnsi="黑体" w:eastAsia="黑体" w:cs="黑体"/>
          <w:snapToGrid w:val="0"/>
          <w:kern w:val="0"/>
          <w:szCs w:val="21"/>
        </w:rPr>
      </w:pPr>
      <w:r>
        <w:rPr>
          <w:rFonts w:hint="eastAsia" w:ascii="黑体" w:hAnsi="黑体" w:eastAsia="黑体" w:cs="黑体"/>
          <w:snapToGrid w:val="0"/>
          <w:kern w:val="0"/>
          <w:szCs w:val="21"/>
        </w:rPr>
        <w:t>8.2供应商的报价表，必须有单位公章及法人代表或授权代表签署。</w:t>
      </w:r>
    </w:p>
    <w:p w14:paraId="7FEF8653">
      <w:pPr>
        <w:adjustRightInd w:val="0"/>
        <w:snapToGrid w:val="0"/>
        <w:spacing w:line="360" w:lineRule="auto"/>
        <w:ind w:firstLine="420" w:firstLineChars="200"/>
        <w:rPr>
          <w:rFonts w:hint="eastAsia" w:ascii="黑体" w:hAnsi="黑体" w:eastAsia="黑体" w:cs="黑体"/>
          <w:snapToGrid w:val="0"/>
          <w:kern w:val="0"/>
          <w:szCs w:val="21"/>
        </w:rPr>
      </w:pPr>
      <w:r>
        <w:rPr>
          <w:rFonts w:hint="eastAsia" w:ascii="黑体" w:hAnsi="黑体" w:eastAsia="黑体" w:cs="黑体"/>
          <w:snapToGrid w:val="0"/>
          <w:kern w:val="0"/>
          <w:szCs w:val="21"/>
        </w:rPr>
        <w:t>8.3供应商在填写报价表时，币制、金额单位要统一；数字、文字要清晰，不应涂改。</w:t>
      </w:r>
    </w:p>
    <w:p w14:paraId="23012B8C">
      <w:pPr>
        <w:adjustRightInd w:val="0"/>
        <w:snapToGrid w:val="0"/>
        <w:spacing w:line="360" w:lineRule="auto"/>
        <w:ind w:firstLine="420" w:firstLineChars="200"/>
        <w:rPr>
          <w:rFonts w:hint="eastAsia" w:ascii="黑体" w:hAnsi="黑体" w:eastAsia="黑体" w:cs="黑体"/>
          <w:b/>
          <w:snapToGrid w:val="0"/>
          <w:kern w:val="0"/>
          <w:szCs w:val="21"/>
        </w:rPr>
      </w:pPr>
      <w:r>
        <w:rPr>
          <w:rFonts w:hint="eastAsia" w:ascii="黑体" w:hAnsi="黑体" w:eastAsia="黑体" w:cs="黑体"/>
          <w:snapToGrid w:val="0"/>
          <w:kern w:val="0"/>
          <w:szCs w:val="21"/>
        </w:rPr>
        <w:t>8.4供应商的报价必须包括本次货物、工程或服务的所有费用，</w:t>
      </w:r>
      <w:r>
        <w:rPr>
          <w:rFonts w:hint="eastAsia" w:ascii="黑体" w:hAnsi="黑体" w:eastAsia="黑体" w:cs="黑体"/>
          <w:b/>
          <w:snapToGrid w:val="0"/>
          <w:kern w:val="0"/>
          <w:szCs w:val="21"/>
        </w:rPr>
        <w:t>采购人不再支付报价之外的任何费用。</w:t>
      </w:r>
    </w:p>
    <w:p w14:paraId="7EF05AF8">
      <w:pPr>
        <w:pStyle w:val="5"/>
        <w:ind w:left="0" w:firstLine="0"/>
        <w:rPr>
          <w:rFonts w:hint="eastAsia"/>
          <w:snapToGrid w:val="0"/>
        </w:rPr>
      </w:pPr>
      <w:bookmarkStart w:id="98" w:name="_Toc358468018"/>
      <w:bookmarkStart w:id="99" w:name="_Toc387223064"/>
      <w:bookmarkStart w:id="100" w:name="_Toc358469827"/>
      <w:bookmarkStart w:id="101" w:name="_Toc507142096"/>
      <w:bookmarkStart w:id="102" w:name="_Toc387393266"/>
      <w:bookmarkStart w:id="103" w:name="_Toc447008972"/>
      <w:bookmarkStart w:id="104" w:name="_Toc358468536"/>
      <w:bookmarkStart w:id="105" w:name="_Toc446055543"/>
      <w:bookmarkStart w:id="106" w:name="_Toc462045809"/>
      <w:bookmarkStart w:id="107" w:name="_Toc463776823"/>
      <w:r>
        <w:rPr>
          <w:rFonts w:hint="eastAsia"/>
          <w:snapToGrid w:val="0"/>
        </w:rPr>
        <w:t>9.报价的币制</w:t>
      </w:r>
      <w:bookmarkEnd w:id="98"/>
      <w:bookmarkEnd w:id="99"/>
      <w:bookmarkEnd w:id="100"/>
      <w:bookmarkEnd w:id="101"/>
      <w:bookmarkEnd w:id="102"/>
      <w:bookmarkEnd w:id="103"/>
      <w:bookmarkEnd w:id="104"/>
      <w:bookmarkEnd w:id="105"/>
      <w:bookmarkEnd w:id="106"/>
      <w:bookmarkEnd w:id="107"/>
    </w:p>
    <w:p w14:paraId="65DED660">
      <w:pPr>
        <w:adjustRightInd w:val="0"/>
        <w:snapToGrid w:val="0"/>
        <w:spacing w:line="360" w:lineRule="auto"/>
        <w:ind w:firstLine="420" w:firstLineChars="200"/>
        <w:rPr>
          <w:rFonts w:hint="eastAsia" w:ascii="黑体" w:hAnsi="黑体" w:eastAsia="黑体" w:cs="黑体"/>
          <w:snapToGrid w:val="0"/>
          <w:kern w:val="0"/>
          <w:szCs w:val="21"/>
        </w:rPr>
      </w:pPr>
      <w:r>
        <w:rPr>
          <w:rFonts w:hint="eastAsia" w:ascii="黑体" w:hAnsi="黑体" w:eastAsia="黑体" w:cs="黑体"/>
          <w:snapToGrid w:val="0"/>
          <w:kern w:val="0"/>
          <w:szCs w:val="21"/>
        </w:rPr>
        <w:t>9.1本次采购只接受中华人民共和国制造或已经进口到中华人民共和国境内的产品，以人民币形式报价，不接受外商用国外产品以外币直接报价。</w:t>
      </w:r>
    </w:p>
    <w:p w14:paraId="30D30B80">
      <w:pPr>
        <w:pStyle w:val="5"/>
        <w:ind w:left="0" w:firstLine="0"/>
        <w:rPr>
          <w:rFonts w:hint="eastAsia"/>
          <w:snapToGrid w:val="0"/>
        </w:rPr>
      </w:pPr>
      <w:bookmarkStart w:id="108" w:name="_Toc446055544"/>
      <w:bookmarkStart w:id="109" w:name="_Toc463776824"/>
      <w:bookmarkStart w:id="110" w:name="_Toc507142097"/>
      <w:bookmarkStart w:id="111" w:name="_Toc387223065"/>
      <w:bookmarkStart w:id="112" w:name="_Toc462045810"/>
      <w:bookmarkStart w:id="113" w:name="_Toc447008973"/>
      <w:bookmarkStart w:id="114" w:name="_Toc387393267"/>
      <w:r>
        <w:rPr>
          <w:rFonts w:hint="eastAsia"/>
          <w:snapToGrid w:val="0"/>
        </w:rPr>
        <w:t>10.磋商响应保证金</w:t>
      </w:r>
      <w:bookmarkEnd w:id="108"/>
      <w:bookmarkEnd w:id="109"/>
      <w:bookmarkEnd w:id="110"/>
      <w:bookmarkEnd w:id="111"/>
      <w:bookmarkEnd w:id="112"/>
      <w:bookmarkEnd w:id="113"/>
      <w:bookmarkEnd w:id="114"/>
    </w:p>
    <w:p w14:paraId="2B6CF32F">
      <w:pPr>
        <w:adjustRightInd w:val="0"/>
        <w:snapToGrid w:val="0"/>
        <w:spacing w:line="360" w:lineRule="auto"/>
        <w:ind w:firstLine="420" w:firstLineChars="200"/>
        <w:rPr>
          <w:rFonts w:hint="eastAsia" w:ascii="黑体" w:hAnsi="黑体" w:eastAsia="黑体" w:cs="黑体"/>
          <w:snapToGrid w:val="0"/>
          <w:kern w:val="0"/>
          <w:szCs w:val="21"/>
        </w:rPr>
      </w:pPr>
      <w:r>
        <w:rPr>
          <w:rFonts w:hint="eastAsia" w:ascii="黑体" w:hAnsi="黑体" w:eastAsia="黑体" w:cs="黑体"/>
          <w:snapToGrid w:val="0"/>
          <w:kern w:val="0"/>
          <w:szCs w:val="21"/>
        </w:rPr>
        <w:t>10.1本项目不收取磋商响应保证金。</w:t>
      </w:r>
    </w:p>
    <w:p w14:paraId="0DBA2912">
      <w:pPr>
        <w:pStyle w:val="5"/>
        <w:ind w:left="0" w:firstLine="0"/>
        <w:rPr>
          <w:rFonts w:hint="eastAsia"/>
          <w:snapToGrid w:val="0"/>
        </w:rPr>
      </w:pPr>
      <w:bookmarkStart w:id="115" w:name="_Toc387393268"/>
      <w:bookmarkStart w:id="116" w:name="_Toc462045811"/>
      <w:bookmarkStart w:id="117" w:name="_Toc463776825"/>
      <w:bookmarkStart w:id="118" w:name="_Toc507142098"/>
      <w:bookmarkStart w:id="119" w:name="_Toc447008974"/>
      <w:bookmarkStart w:id="120" w:name="_Toc387223066"/>
      <w:bookmarkStart w:id="121" w:name="_Toc446055545"/>
      <w:r>
        <w:rPr>
          <w:rFonts w:hint="eastAsia"/>
          <w:snapToGrid w:val="0"/>
        </w:rPr>
        <w:t>11.磋商响应文件的有效期</w:t>
      </w:r>
      <w:bookmarkEnd w:id="115"/>
      <w:bookmarkEnd w:id="116"/>
      <w:bookmarkEnd w:id="117"/>
      <w:bookmarkEnd w:id="118"/>
      <w:bookmarkEnd w:id="119"/>
      <w:bookmarkEnd w:id="120"/>
      <w:bookmarkEnd w:id="121"/>
    </w:p>
    <w:p w14:paraId="39C64698">
      <w:pPr>
        <w:adjustRightInd w:val="0"/>
        <w:snapToGrid w:val="0"/>
        <w:spacing w:line="360" w:lineRule="auto"/>
        <w:ind w:firstLine="420" w:firstLineChars="200"/>
        <w:rPr>
          <w:rFonts w:hint="eastAsia" w:ascii="黑体" w:hAnsi="黑体" w:eastAsia="黑体" w:cs="黑体"/>
          <w:snapToGrid w:val="0"/>
          <w:kern w:val="0"/>
          <w:szCs w:val="21"/>
        </w:rPr>
      </w:pPr>
      <w:r>
        <w:rPr>
          <w:rFonts w:hint="eastAsia" w:ascii="黑体" w:hAnsi="黑体" w:eastAsia="黑体" w:cs="黑体"/>
          <w:snapToGrid w:val="0"/>
          <w:kern w:val="0"/>
          <w:szCs w:val="21"/>
        </w:rPr>
        <w:t>11.1在采购代理机构决定包括推迟磋商日期起90天内，磋商响应文件应保持有效，有效期短于此规定的磋商响应文件将被拒绝或视为无效。</w:t>
      </w:r>
    </w:p>
    <w:p w14:paraId="068F11C2">
      <w:pPr>
        <w:adjustRightInd w:val="0"/>
        <w:snapToGrid w:val="0"/>
        <w:spacing w:line="360" w:lineRule="auto"/>
        <w:ind w:firstLine="420" w:firstLineChars="200"/>
        <w:rPr>
          <w:rFonts w:hint="eastAsia" w:ascii="黑体" w:hAnsi="黑体" w:eastAsia="黑体" w:cs="黑体"/>
          <w:snapToGrid w:val="0"/>
          <w:kern w:val="0"/>
          <w:szCs w:val="21"/>
        </w:rPr>
      </w:pPr>
      <w:r>
        <w:rPr>
          <w:rFonts w:hint="eastAsia" w:ascii="黑体" w:hAnsi="黑体" w:eastAsia="黑体" w:cs="黑体"/>
          <w:snapToGrid w:val="0"/>
          <w:kern w:val="0"/>
          <w:szCs w:val="21"/>
        </w:rPr>
        <w:t>11.2在特殊情况下，采购代理机构可与供应商协商延长有效期，此类要求和答复都应以信函、电报或传真的形式进行。同意延期的供应商不能修改磋商采购响应文件。</w:t>
      </w:r>
    </w:p>
    <w:p w14:paraId="39A8FF77">
      <w:pPr>
        <w:pStyle w:val="5"/>
        <w:ind w:left="0" w:firstLine="0"/>
        <w:rPr>
          <w:rFonts w:hint="eastAsia"/>
          <w:snapToGrid w:val="0"/>
        </w:rPr>
      </w:pPr>
      <w:bookmarkStart w:id="122" w:name="_Toc507142099"/>
      <w:bookmarkStart w:id="123" w:name="_Toc387393269"/>
      <w:bookmarkStart w:id="124" w:name="_Toc462045812"/>
      <w:bookmarkStart w:id="125" w:name="_Toc447008975"/>
      <w:bookmarkStart w:id="126" w:name="_Toc446055546"/>
      <w:bookmarkStart w:id="127" w:name="_Toc387223067"/>
      <w:bookmarkStart w:id="128" w:name="_Toc463776826"/>
      <w:r>
        <w:rPr>
          <w:rFonts w:hint="eastAsia"/>
          <w:snapToGrid w:val="0"/>
        </w:rPr>
        <w:t>12.磋商响应文件的组成</w:t>
      </w:r>
      <w:bookmarkEnd w:id="122"/>
      <w:bookmarkEnd w:id="123"/>
      <w:bookmarkEnd w:id="124"/>
      <w:bookmarkEnd w:id="125"/>
      <w:bookmarkEnd w:id="126"/>
      <w:bookmarkEnd w:id="127"/>
      <w:bookmarkEnd w:id="128"/>
    </w:p>
    <w:p w14:paraId="235D56B8">
      <w:pPr>
        <w:adjustRightInd w:val="0"/>
        <w:snapToGrid w:val="0"/>
        <w:spacing w:line="360" w:lineRule="auto"/>
        <w:ind w:firstLine="420" w:firstLineChars="200"/>
        <w:rPr>
          <w:rFonts w:hint="eastAsia" w:ascii="黑体" w:hAnsi="黑体" w:eastAsia="黑体" w:cs="黑体"/>
          <w:snapToGrid w:val="0"/>
          <w:kern w:val="0"/>
          <w:szCs w:val="21"/>
        </w:rPr>
      </w:pPr>
      <w:r>
        <w:rPr>
          <w:rFonts w:hint="eastAsia" w:ascii="黑体" w:hAnsi="黑体" w:eastAsia="黑体" w:cs="黑体"/>
          <w:snapToGrid w:val="0"/>
          <w:kern w:val="0"/>
          <w:szCs w:val="21"/>
        </w:rPr>
        <w:t>12.1供应商的磋商响应文件应包括下列部分：</w:t>
      </w:r>
    </w:p>
    <w:p w14:paraId="4ED48631">
      <w:pPr>
        <w:adjustRightInd w:val="0"/>
        <w:snapToGrid w:val="0"/>
        <w:spacing w:line="360" w:lineRule="auto"/>
        <w:ind w:firstLine="420" w:firstLineChars="200"/>
        <w:rPr>
          <w:rFonts w:hint="eastAsia" w:ascii="黑体" w:hAnsi="黑体" w:eastAsia="黑体" w:cs="黑体"/>
          <w:snapToGrid w:val="0"/>
          <w:kern w:val="0"/>
          <w:szCs w:val="21"/>
        </w:rPr>
      </w:pPr>
      <w:r>
        <w:rPr>
          <w:rFonts w:hint="eastAsia" w:ascii="黑体" w:hAnsi="黑体" w:eastAsia="黑体" w:cs="黑体"/>
          <w:snapToGrid w:val="0"/>
          <w:kern w:val="0"/>
          <w:szCs w:val="21"/>
        </w:rPr>
        <w:t>（1）按第5项规定，提供证明供应商是合法的，有资格的，并在成交后有能力执行合同的证明文件。</w:t>
      </w:r>
    </w:p>
    <w:p w14:paraId="4A2CEC3A">
      <w:pPr>
        <w:adjustRightInd w:val="0"/>
        <w:snapToGrid w:val="0"/>
        <w:spacing w:line="360" w:lineRule="auto"/>
        <w:ind w:firstLine="420" w:firstLineChars="200"/>
        <w:rPr>
          <w:rFonts w:hint="eastAsia" w:ascii="黑体" w:hAnsi="黑体" w:eastAsia="黑体" w:cs="黑体"/>
          <w:snapToGrid w:val="0"/>
          <w:kern w:val="0"/>
          <w:szCs w:val="21"/>
        </w:rPr>
      </w:pPr>
      <w:r>
        <w:rPr>
          <w:rFonts w:hint="eastAsia" w:ascii="黑体" w:hAnsi="黑体" w:eastAsia="黑体" w:cs="黑体"/>
          <w:snapToGrid w:val="0"/>
          <w:kern w:val="0"/>
          <w:szCs w:val="21"/>
        </w:rPr>
        <w:t>（2）按第6项规定，供应商提供的产品是合格的并符合采购文件要求的证明文件。</w:t>
      </w:r>
    </w:p>
    <w:p w14:paraId="386F5286">
      <w:pPr>
        <w:adjustRightInd w:val="0"/>
        <w:snapToGrid w:val="0"/>
        <w:spacing w:line="360" w:lineRule="auto"/>
        <w:ind w:firstLine="420" w:firstLineChars="200"/>
        <w:rPr>
          <w:rFonts w:hint="eastAsia" w:ascii="黑体" w:hAnsi="黑体" w:eastAsia="黑体" w:cs="黑体"/>
          <w:snapToGrid w:val="0"/>
          <w:kern w:val="0"/>
          <w:szCs w:val="21"/>
        </w:rPr>
      </w:pPr>
      <w:r>
        <w:rPr>
          <w:rFonts w:hint="eastAsia" w:ascii="黑体" w:hAnsi="黑体" w:eastAsia="黑体" w:cs="黑体"/>
          <w:snapToGrid w:val="0"/>
          <w:kern w:val="0"/>
          <w:szCs w:val="21"/>
        </w:rPr>
        <w:t>（3）按第7和第8项规定，提供采购响应文件、产品报价表、产品规格及技术参数响应表。</w:t>
      </w:r>
    </w:p>
    <w:p w14:paraId="21BDB646">
      <w:pPr>
        <w:adjustRightInd w:val="0"/>
        <w:snapToGrid w:val="0"/>
        <w:spacing w:line="360" w:lineRule="auto"/>
        <w:ind w:firstLine="420" w:firstLineChars="200"/>
        <w:rPr>
          <w:rFonts w:hint="eastAsia" w:ascii="黑体" w:hAnsi="黑体" w:eastAsia="黑体" w:cs="黑体"/>
          <w:snapToGrid w:val="0"/>
          <w:kern w:val="0"/>
          <w:szCs w:val="21"/>
        </w:rPr>
      </w:pPr>
      <w:r>
        <w:rPr>
          <w:rFonts w:hint="eastAsia" w:ascii="黑体" w:hAnsi="黑体" w:eastAsia="黑体" w:cs="黑体"/>
          <w:snapToGrid w:val="0"/>
          <w:kern w:val="0"/>
          <w:szCs w:val="21"/>
        </w:rPr>
        <w:t>（4）其他说明。</w:t>
      </w:r>
    </w:p>
    <w:p w14:paraId="06065BDF">
      <w:pPr>
        <w:pStyle w:val="5"/>
        <w:ind w:left="0" w:firstLine="0"/>
        <w:rPr>
          <w:rFonts w:hint="eastAsia"/>
          <w:snapToGrid w:val="0"/>
        </w:rPr>
      </w:pPr>
      <w:bookmarkStart w:id="129" w:name="_Toc387393270"/>
      <w:bookmarkStart w:id="130" w:name="_Toc507142100"/>
      <w:bookmarkStart w:id="131" w:name="_Toc387223068"/>
      <w:bookmarkStart w:id="132" w:name="_Toc463776827"/>
      <w:bookmarkStart w:id="133" w:name="_Toc462045813"/>
      <w:bookmarkStart w:id="134" w:name="_Toc446055547"/>
      <w:bookmarkStart w:id="135" w:name="_Toc447008976"/>
      <w:r>
        <w:rPr>
          <w:rFonts w:hint="eastAsia"/>
          <w:snapToGrid w:val="0"/>
        </w:rPr>
        <w:t>13.磋商响应文件的签署及其形式</w:t>
      </w:r>
      <w:bookmarkEnd w:id="129"/>
      <w:bookmarkEnd w:id="130"/>
      <w:bookmarkEnd w:id="131"/>
      <w:bookmarkEnd w:id="132"/>
      <w:bookmarkEnd w:id="133"/>
      <w:bookmarkEnd w:id="134"/>
      <w:bookmarkEnd w:id="135"/>
    </w:p>
    <w:p w14:paraId="3CFF3595">
      <w:pPr>
        <w:adjustRightInd w:val="0"/>
        <w:snapToGrid w:val="0"/>
        <w:spacing w:line="360" w:lineRule="auto"/>
        <w:ind w:firstLine="420" w:firstLineChars="200"/>
        <w:rPr>
          <w:rFonts w:hint="eastAsia" w:ascii="黑体" w:hAnsi="黑体" w:eastAsia="黑体" w:cs="黑体"/>
          <w:snapToGrid w:val="0"/>
          <w:kern w:val="0"/>
          <w:szCs w:val="21"/>
        </w:rPr>
      </w:pPr>
      <w:r>
        <w:rPr>
          <w:rFonts w:hint="eastAsia" w:ascii="黑体" w:hAnsi="黑体" w:eastAsia="黑体" w:cs="黑体"/>
          <w:snapToGrid w:val="0"/>
          <w:kern w:val="0"/>
          <w:szCs w:val="21"/>
        </w:rPr>
        <w:t>13.1供应商对磋商响应文件须准备一式叁份，并分别标以“正本”壹份和“副本”贰份，如果它们之间有差异，则以正本为准。随文件须提供电子档一份（U盘）。</w:t>
      </w:r>
    </w:p>
    <w:p w14:paraId="25B7581E">
      <w:pPr>
        <w:adjustRightInd w:val="0"/>
        <w:snapToGrid w:val="0"/>
        <w:spacing w:line="360" w:lineRule="auto"/>
        <w:ind w:firstLine="420" w:firstLineChars="200"/>
        <w:rPr>
          <w:rFonts w:hint="eastAsia" w:ascii="黑体" w:hAnsi="黑体" w:eastAsia="黑体" w:cs="黑体"/>
          <w:snapToGrid w:val="0"/>
          <w:kern w:val="0"/>
          <w:szCs w:val="21"/>
        </w:rPr>
      </w:pPr>
      <w:r>
        <w:rPr>
          <w:rFonts w:hint="eastAsia" w:ascii="黑体" w:hAnsi="黑体" w:eastAsia="黑体" w:cs="黑体"/>
          <w:snapToGrid w:val="0"/>
          <w:kern w:val="0"/>
          <w:szCs w:val="21"/>
        </w:rPr>
        <w:t>13.2磋商响应文件的正、副本都应用打字机或不</w:t>
      </w:r>
      <w:r>
        <w:rPr>
          <w:rFonts w:hint="eastAsia" w:ascii="黑体" w:hAnsi="黑体" w:eastAsia="黑体" w:cs="黑体"/>
          <w:snapToGrid w:val="0"/>
          <w:kern w:val="0"/>
          <w:szCs w:val="21"/>
          <w:lang w:eastAsia="zh-CN"/>
        </w:rPr>
        <w:t>褪色</w:t>
      </w:r>
      <w:r>
        <w:rPr>
          <w:rFonts w:hint="eastAsia" w:ascii="黑体" w:hAnsi="黑体" w:eastAsia="黑体" w:cs="黑体"/>
          <w:snapToGrid w:val="0"/>
          <w:kern w:val="0"/>
          <w:szCs w:val="21"/>
        </w:rPr>
        <w:t>墨水书写。</w:t>
      </w:r>
    </w:p>
    <w:p w14:paraId="05BC3937">
      <w:pPr>
        <w:adjustRightInd w:val="0"/>
        <w:snapToGrid w:val="0"/>
        <w:spacing w:line="360" w:lineRule="auto"/>
        <w:ind w:firstLine="420" w:firstLineChars="200"/>
        <w:rPr>
          <w:rFonts w:hint="eastAsia" w:ascii="黑体" w:hAnsi="黑体" w:eastAsia="黑体" w:cs="黑体"/>
          <w:snapToGrid w:val="0"/>
          <w:kern w:val="0"/>
          <w:szCs w:val="21"/>
        </w:rPr>
      </w:pPr>
      <w:r>
        <w:rPr>
          <w:rFonts w:hint="eastAsia" w:ascii="黑体" w:hAnsi="黑体" w:eastAsia="黑体" w:cs="黑体"/>
          <w:snapToGrid w:val="0"/>
          <w:kern w:val="0"/>
          <w:szCs w:val="21"/>
        </w:rPr>
        <w:t>13.3磋商采购响应文件不应有涂改、增删之处。但如有错误必须修改时，修改处必须由原授权代表签署。</w:t>
      </w:r>
    </w:p>
    <w:p w14:paraId="20EB9CF1">
      <w:pPr>
        <w:pStyle w:val="5"/>
        <w:ind w:left="0" w:firstLine="0"/>
        <w:rPr>
          <w:rFonts w:hint="eastAsia"/>
          <w:snapToGrid w:val="0"/>
        </w:rPr>
      </w:pPr>
      <w:bookmarkStart w:id="136" w:name="_Toc387223069"/>
      <w:bookmarkStart w:id="137" w:name="_Toc507142101"/>
      <w:bookmarkStart w:id="138" w:name="_Toc447008977"/>
      <w:bookmarkStart w:id="139" w:name="_Toc387393271"/>
      <w:bookmarkStart w:id="140" w:name="_Toc446055548"/>
      <w:bookmarkStart w:id="141" w:name="_Toc463776828"/>
      <w:bookmarkStart w:id="142" w:name="_Toc462045814"/>
      <w:r>
        <w:rPr>
          <w:rFonts w:hint="eastAsia"/>
          <w:snapToGrid w:val="0"/>
        </w:rPr>
        <w:t>14.磋商响应文件的密封及标记</w:t>
      </w:r>
      <w:bookmarkEnd w:id="136"/>
      <w:bookmarkEnd w:id="137"/>
      <w:bookmarkEnd w:id="138"/>
      <w:bookmarkEnd w:id="139"/>
      <w:bookmarkEnd w:id="140"/>
      <w:bookmarkEnd w:id="141"/>
      <w:bookmarkEnd w:id="142"/>
    </w:p>
    <w:p w14:paraId="09F0989B">
      <w:pPr>
        <w:adjustRightInd w:val="0"/>
        <w:snapToGrid w:val="0"/>
        <w:spacing w:line="360" w:lineRule="auto"/>
        <w:ind w:firstLine="420" w:firstLineChars="200"/>
        <w:rPr>
          <w:rFonts w:hint="eastAsia" w:ascii="黑体" w:hAnsi="黑体" w:eastAsia="黑体" w:cs="黑体"/>
          <w:snapToGrid w:val="0"/>
          <w:kern w:val="0"/>
          <w:szCs w:val="21"/>
        </w:rPr>
      </w:pPr>
      <w:r>
        <w:rPr>
          <w:rFonts w:hint="eastAsia" w:ascii="黑体" w:hAnsi="黑体" w:eastAsia="黑体" w:cs="黑体"/>
          <w:snapToGrid w:val="0"/>
          <w:kern w:val="0"/>
          <w:szCs w:val="21"/>
        </w:rPr>
        <w:t>14.1供应商应分别把正本和副本磋商响应文件都用封套加以密封，并在封套上标明“正本”和“副本”。</w:t>
      </w:r>
    </w:p>
    <w:p w14:paraId="6E1B179F">
      <w:pPr>
        <w:adjustRightInd w:val="0"/>
        <w:snapToGrid w:val="0"/>
        <w:spacing w:line="360" w:lineRule="auto"/>
        <w:ind w:firstLine="420" w:firstLineChars="200"/>
        <w:rPr>
          <w:rFonts w:hint="eastAsia" w:ascii="黑体" w:hAnsi="黑体" w:eastAsia="黑体" w:cs="黑体"/>
          <w:snapToGrid w:val="0"/>
          <w:kern w:val="0"/>
          <w:szCs w:val="21"/>
        </w:rPr>
      </w:pPr>
      <w:r>
        <w:rPr>
          <w:rFonts w:hint="eastAsia" w:ascii="黑体" w:hAnsi="黑体" w:eastAsia="黑体" w:cs="黑体"/>
          <w:snapToGrid w:val="0"/>
          <w:kern w:val="0"/>
          <w:szCs w:val="21"/>
        </w:rPr>
        <w:t>14.2外封套和内封套上均须按采购代理机构提供的格式写明：</w:t>
      </w:r>
    </w:p>
    <w:p w14:paraId="20661A23">
      <w:pPr>
        <w:adjustRightInd w:val="0"/>
        <w:snapToGrid w:val="0"/>
        <w:spacing w:line="360" w:lineRule="auto"/>
        <w:ind w:firstLine="420" w:firstLineChars="200"/>
        <w:rPr>
          <w:rFonts w:hint="eastAsia" w:ascii="黑体" w:hAnsi="黑体" w:eastAsia="黑体" w:cs="黑体"/>
          <w:snapToGrid w:val="0"/>
          <w:kern w:val="0"/>
          <w:szCs w:val="21"/>
        </w:rPr>
      </w:pPr>
      <w:bookmarkStart w:id="143" w:name="_Toc446055549"/>
      <w:bookmarkStart w:id="144" w:name="_Toc463776829"/>
      <w:bookmarkStart w:id="145" w:name="_Toc447008978"/>
      <w:bookmarkStart w:id="146" w:name="_Toc387393272"/>
      <w:bookmarkStart w:id="147" w:name="_Toc507142102"/>
      <w:bookmarkStart w:id="148" w:name="_Toc387223070"/>
      <w:bookmarkStart w:id="149" w:name="_Toc462045815"/>
      <w:r>
        <w:rPr>
          <w:rFonts w:hint="eastAsia" w:ascii="黑体" w:hAnsi="黑体" w:eastAsia="黑体" w:cs="黑体"/>
          <w:snapToGrid w:val="0"/>
          <w:kern w:val="0"/>
          <w:szCs w:val="21"/>
        </w:rPr>
        <w:t>（1）招标代理机构：江苏国衡工程咨询有限公司</w:t>
      </w:r>
      <w:r>
        <w:rPr>
          <w:rFonts w:ascii="黑体" w:hAnsi="黑体" w:eastAsia="黑体" w:cs="黑体"/>
          <w:snapToGrid w:val="0"/>
          <w:kern w:val="0"/>
          <w:szCs w:val="21"/>
        </w:rPr>
        <w:tab/>
      </w:r>
    </w:p>
    <w:p w14:paraId="08056F6F">
      <w:pPr>
        <w:adjustRightInd w:val="0"/>
        <w:snapToGrid w:val="0"/>
        <w:spacing w:line="360" w:lineRule="auto"/>
        <w:ind w:firstLine="420" w:firstLineChars="200"/>
        <w:rPr>
          <w:rFonts w:hint="eastAsia" w:ascii="黑体" w:hAnsi="黑体" w:eastAsia="黑体" w:cs="黑体"/>
          <w:snapToGrid w:val="0"/>
          <w:kern w:val="0"/>
          <w:szCs w:val="21"/>
        </w:rPr>
      </w:pPr>
      <w:r>
        <w:rPr>
          <w:rFonts w:hint="eastAsia" w:ascii="黑体" w:hAnsi="黑体" w:eastAsia="黑体" w:cs="黑体"/>
          <w:snapToGrid w:val="0"/>
          <w:kern w:val="0"/>
          <w:szCs w:val="21"/>
        </w:rPr>
        <w:t xml:space="preserve">（2）招标代理机构地址：南京市秦淮区洪武路23号隆盛大厦5楼    </w:t>
      </w:r>
    </w:p>
    <w:p w14:paraId="5390AA13">
      <w:pPr>
        <w:adjustRightInd w:val="0"/>
        <w:snapToGrid w:val="0"/>
        <w:spacing w:line="360" w:lineRule="auto"/>
        <w:ind w:firstLine="420" w:firstLineChars="200"/>
        <w:rPr>
          <w:rFonts w:hint="eastAsia" w:ascii="黑体" w:hAnsi="黑体" w:eastAsia="黑体" w:cs="黑体"/>
          <w:snapToGrid w:val="0"/>
          <w:kern w:val="0"/>
          <w:szCs w:val="21"/>
        </w:rPr>
      </w:pPr>
      <w:r>
        <w:rPr>
          <w:rFonts w:hint="eastAsia" w:ascii="黑体" w:hAnsi="黑体" w:eastAsia="黑体" w:cs="黑体"/>
          <w:snapToGrid w:val="0"/>
          <w:kern w:val="0"/>
          <w:szCs w:val="21"/>
        </w:rPr>
        <w:t xml:space="preserve">     邮编：210012</w:t>
      </w:r>
    </w:p>
    <w:p w14:paraId="6FD96FF2">
      <w:pPr>
        <w:adjustRightInd w:val="0"/>
        <w:snapToGrid w:val="0"/>
        <w:spacing w:line="360" w:lineRule="auto"/>
        <w:ind w:firstLine="420" w:firstLineChars="200"/>
        <w:rPr>
          <w:rFonts w:hint="eastAsia" w:ascii="黑体" w:hAnsi="黑体" w:eastAsia="黑体" w:cs="黑体"/>
          <w:snapToGrid w:val="0"/>
          <w:kern w:val="0"/>
          <w:szCs w:val="21"/>
        </w:rPr>
      </w:pPr>
      <w:r>
        <w:rPr>
          <w:rFonts w:hint="eastAsia" w:ascii="黑体" w:hAnsi="黑体" w:eastAsia="黑体" w:cs="黑体"/>
          <w:snapToGrid w:val="0"/>
          <w:kern w:val="0"/>
          <w:szCs w:val="21"/>
        </w:rPr>
        <w:t>（3）项目编号：宁国[2026]-ZB-0014号</w:t>
      </w:r>
    </w:p>
    <w:p w14:paraId="03A876FA">
      <w:pPr>
        <w:adjustRightInd w:val="0"/>
        <w:snapToGrid w:val="0"/>
        <w:spacing w:line="360" w:lineRule="auto"/>
        <w:ind w:firstLine="420" w:firstLineChars="200"/>
        <w:rPr>
          <w:rFonts w:hint="eastAsia" w:ascii="黑体" w:hAnsi="黑体" w:eastAsia="黑体" w:cs="黑体"/>
          <w:snapToGrid w:val="0"/>
          <w:kern w:val="0"/>
          <w:szCs w:val="21"/>
        </w:rPr>
      </w:pPr>
      <w:r>
        <w:rPr>
          <w:rFonts w:hint="eastAsia" w:ascii="黑体" w:hAnsi="黑体" w:eastAsia="黑体" w:cs="黑体"/>
          <w:snapToGrid w:val="0"/>
          <w:kern w:val="0"/>
          <w:szCs w:val="21"/>
        </w:rPr>
        <w:t xml:space="preserve">（4）项目名称：南京市栖霞区迈皋桥社区卫生服务中心儿童眼保健服务采购项目 </w:t>
      </w:r>
    </w:p>
    <w:p w14:paraId="70E90333">
      <w:pPr>
        <w:adjustRightInd w:val="0"/>
        <w:snapToGrid w:val="0"/>
        <w:spacing w:line="360" w:lineRule="auto"/>
        <w:ind w:firstLine="420" w:firstLineChars="200"/>
        <w:rPr>
          <w:rFonts w:hint="eastAsia" w:ascii="黑体" w:hAnsi="黑体" w:eastAsia="黑体" w:cs="黑体"/>
          <w:snapToGrid w:val="0"/>
          <w:kern w:val="0"/>
          <w:szCs w:val="21"/>
        </w:rPr>
      </w:pPr>
      <w:r>
        <w:rPr>
          <w:rFonts w:hint="eastAsia" w:ascii="黑体" w:hAnsi="黑体" w:eastAsia="黑体" w:cs="黑体"/>
          <w:snapToGrid w:val="0"/>
          <w:kern w:val="0"/>
          <w:szCs w:val="21"/>
        </w:rPr>
        <w:t>（5）供应商的全称、地址、电话和传真。</w:t>
      </w:r>
    </w:p>
    <w:p w14:paraId="362CA614">
      <w:pPr>
        <w:adjustRightInd w:val="0"/>
        <w:snapToGrid w:val="0"/>
        <w:spacing w:line="360" w:lineRule="auto"/>
        <w:ind w:firstLine="420" w:firstLineChars="200"/>
        <w:rPr>
          <w:rFonts w:hint="eastAsia" w:ascii="黑体" w:hAnsi="黑体" w:eastAsia="黑体" w:cs="黑体"/>
          <w:snapToGrid w:val="0"/>
          <w:kern w:val="0"/>
          <w:szCs w:val="21"/>
        </w:rPr>
      </w:pPr>
      <w:r>
        <w:rPr>
          <w:rFonts w:hint="eastAsia" w:ascii="黑体" w:hAnsi="黑体" w:eastAsia="黑体" w:cs="黑体"/>
          <w:snapToGrid w:val="0"/>
          <w:kern w:val="0"/>
          <w:szCs w:val="21"/>
        </w:rPr>
        <w:t>（6）写明开标时启封。</w:t>
      </w:r>
    </w:p>
    <w:p w14:paraId="69EC0C21">
      <w:pPr>
        <w:pStyle w:val="5"/>
        <w:ind w:left="0" w:firstLine="0"/>
        <w:rPr>
          <w:rFonts w:hint="eastAsia"/>
          <w:snapToGrid w:val="0"/>
        </w:rPr>
      </w:pPr>
      <w:r>
        <w:rPr>
          <w:rFonts w:hint="eastAsia"/>
          <w:snapToGrid w:val="0"/>
        </w:rPr>
        <w:t>15.截止日期</w:t>
      </w:r>
      <w:bookmarkEnd w:id="143"/>
      <w:bookmarkEnd w:id="144"/>
      <w:bookmarkEnd w:id="145"/>
      <w:bookmarkEnd w:id="146"/>
      <w:bookmarkEnd w:id="147"/>
      <w:bookmarkEnd w:id="148"/>
      <w:bookmarkEnd w:id="149"/>
    </w:p>
    <w:p w14:paraId="1F9A370A">
      <w:pPr>
        <w:adjustRightInd w:val="0"/>
        <w:snapToGrid w:val="0"/>
        <w:spacing w:line="360" w:lineRule="auto"/>
        <w:ind w:firstLine="420" w:firstLineChars="200"/>
        <w:rPr>
          <w:rFonts w:hint="eastAsia" w:ascii="黑体" w:hAnsi="黑体" w:eastAsia="黑体" w:cs="黑体"/>
          <w:snapToGrid w:val="0"/>
          <w:kern w:val="0"/>
          <w:szCs w:val="21"/>
        </w:rPr>
      </w:pPr>
      <w:r>
        <w:rPr>
          <w:rFonts w:hint="eastAsia" w:ascii="黑体" w:hAnsi="黑体" w:eastAsia="黑体" w:cs="黑体"/>
          <w:snapToGrid w:val="0"/>
          <w:kern w:val="0"/>
          <w:szCs w:val="21"/>
        </w:rPr>
        <w:t>15.1磋商采购响应文件须在采购代理机构规定的磋商采购截止时间前，邮寄到或派人送交到指定地点。</w:t>
      </w:r>
    </w:p>
    <w:p w14:paraId="7A3E476E">
      <w:pPr>
        <w:adjustRightInd w:val="0"/>
        <w:snapToGrid w:val="0"/>
        <w:spacing w:line="360" w:lineRule="auto"/>
        <w:ind w:firstLine="420" w:firstLineChars="200"/>
        <w:rPr>
          <w:rFonts w:hint="eastAsia" w:ascii="黑体" w:hAnsi="黑体" w:eastAsia="黑体" w:cs="黑体"/>
          <w:snapToGrid w:val="0"/>
          <w:kern w:val="0"/>
          <w:szCs w:val="21"/>
        </w:rPr>
      </w:pPr>
      <w:r>
        <w:rPr>
          <w:rFonts w:hint="eastAsia" w:ascii="黑体" w:hAnsi="黑体" w:eastAsia="黑体" w:cs="黑体"/>
          <w:snapToGrid w:val="0"/>
          <w:kern w:val="0"/>
          <w:szCs w:val="21"/>
        </w:rPr>
        <w:t>15.2采购代理机构可以按第3项的规定，以补充采购文件的形式推迟采购的截止时间、在这种情况下，采购代理机构或供应商的权利和义务都以新的截止时间为准。</w:t>
      </w:r>
    </w:p>
    <w:p w14:paraId="42474E22">
      <w:pPr>
        <w:adjustRightInd w:val="0"/>
        <w:snapToGrid w:val="0"/>
        <w:spacing w:line="360" w:lineRule="auto"/>
        <w:ind w:firstLine="420" w:firstLineChars="200"/>
        <w:rPr>
          <w:rFonts w:hint="eastAsia" w:ascii="黑体" w:hAnsi="黑体" w:eastAsia="黑体" w:cs="黑体"/>
          <w:snapToGrid w:val="0"/>
          <w:kern w:val="0"/>
          <w:szCs w:val="21"/>
        </w:rPr>
      </w:pPr>
      <w:r>
        <w:rPr>
          <w:rFonts w:hint="eastAsia" w:ascii="黑体" w:hAnsi="黑体" w:eastAsia="黑体" w:cs="黑体"/>
          <w:snapToGrid w:val="0"/>
          <w:kern w:val="0"/>
          <w:szCs w:val="21"/>
        </w:rPr>
        <w:t>15.3磋商响应文件由于不可抗拒的原因遗失和损坏，采购代理机构不负任何责任。</w:t>
      </w:r>
    </w:p>
    <w:p w14:paraId="448D3BE7">
      <w:pPr>
        <w:pStyle w:val="5"/>
        <w:ind w:left="0" w:firstLine="0"/>
        <w:rPr>
          <w:rFonts w:hint="eastAsia"/>
          <w:snapToGrid w:val="0"/>
        </w:rPr>
      </w:pPr>
      <w:bookmarkStart w:id="150" w:name="_Toc507142103"/>
      <w:bookmarkStart w:id="151" w:name="_Toc387223071"/>
      <w:bookmarkStart w:id="152" w:name="_Toc447008979"/>
      <w:bookmarkStart w:id="153" w:name="_Toc446055550"/>
      <w:bookmarkStart w:id="154" w:name="_Toc463776830"/>
      <w:bookmarkStart w:id="155" w:name="_Toc387393273"/>
      <w:bookmarkStart w:id="156" w:name="_Toc462045816"/>
      <w:r>
        <w:rPr>
          <w:rFonts w:hint="eastAsia"/>
          <w:snapToGrid w:val="0"/>
        </w:rPr>
        <w:t>16.过期磋商响应文件</w:t>
      </w:r>
      <w:bookmarkEnd w:id="150"/>
      <w:bookmarkEnd w:id="151"/>
      <w:bookmarkEnd w:id="152"/>
      <w:bookmarkEnd w:id="153"/>
      <w:bookmarkEnd w:id="154"/>
      <w:bookmarkEnd w:id="155"/>
      <w:bookmarkEnd w:id="156"/>
    </w:p>
    <w:p w14:paraId="793FE6AE">
      <w:pPr>
        <w:adjustRightInd w:val="0"/>
        <w:snapToGrid w:val="0"/>
        <w:spacing w:line="360" w:lineRule="auto"/>
        <w:ind w:firstLine="420" w:firstLineChars="200"/>
        <w:rPr>
          <w:rFonts w:hint="eastAsia" w:ascii="黑体" w:hAnsi="黑体" w:eastAsia="黑体" w:cs="黑体"/>
          <w:snapToGrid w:val="0"/>
          <w:kern w:val="0"/>
          <w:szCs w:val="21"/>
        </w:rPr>
      </w:pPr>
      <w:r>
        <w:rPr>
          <w:rFonts w:hint="eastAsia" w:ascii="黑体" w:hAnsi="黑体" w:eastAsia="黑体" w:cs="黑体"/>
          <w:snapToGrid w:val="0"/>
          <w:kern w:val="0"/>
          <w:szCs w:val="21"/>
        </w:rPr>
        <w:t>在采购截止时间以后收到的磋商响应文件、采购代理机构可以拒收或不启封退回给供应商（不可抗拒的原因除外）。</w:t>
      </w:r>
    </w:p>
    <w:p w14:paraId="23819248">
      <w:pPr>
        <w:pStyle w:val="5"/>
        <w:ind w:left="0" w:firstLine="0"/>
        <w:rPr>
          <w:rFonts w:hint="eastAsia"/>
          <w:snapToGrid w:val="0"/>
        </w:rPr>
      </w:pPr>
      <w:bookmarkStart w:id="157" w:name="_Toc387393274"/>
      <w:bookmarkStart w:id="158" w:name="_Toc462045817"/>
      <w:bookmarkStart w:id="159" w:name="_Toc507142104"/>
      <w:bookmarkStart w:id="160" w:name="_Toc447008980"/>
      <w:bookmarkStart w:id="161" w:name="_Toc446055551"/>
      <w:bookmarkStart w:id="162" w:name="_Toc387223072"/>
      <w:bookmarkStart w:id="163" w:name="_Toc463776831"/>
      <w:r>
        <w:rPr>
          <w:rFonts w:hint="eastAsia"/>
          <w:snapToGrid w:val="0"/>
        </w:rPr>
        <w:t>17.磋商响应文件的修改和撤回</w:t>
      </w:r>
      <w:bookmarkEnd w:id="157"/>
      <w:bookmarkEnd w:id="158"/>
      <w:bookmarkEnd w:id="159"/>
      <w:bookmarkEnd w:id="160"/>
      <w:bookmarkEnd w:id="161"/>
      <w:bookmarkEnd w:id="162"/>
      <w:bookmarkEnd w:id="163"/>
    </w:p>
    <w:p w14:paraId="3CD58B61">
      <w:pPr>
        <w:adjustRightInd w:val="0"/>
        <w:snapToGrid w:val="0"/>
        <w:spacing w:line="360" w:lineRule="auto"/>
        <w:ind w:firstLine="420" w:firstLineChars="200"/>
        <w:rPr>
          <w:rFonts w:hint="eastAsia" w:ascii="黑体" w:hAnsi="黑体" w:eastAsia="黑体" w:cs="黑体"/>
          <w:snapToGrid w:val="0"/>
          <w:kern w:val="0"/>
          <w:szCs w:val="21"/>
        </w:rPr>
      </w:pPr>
      <w:r>
        <w:rPr>
          <w:rFonts w:hint="eastAsia" w:ascii="黑体" w:hAnsi="黑体" w:eastAsia="黑体" w:cs="黑体"/>
          <w:snapToGrid w:val="0"/>
          <w:kern w:val="0"/>
          <w:szCs w:val="21"/>
        </w:rPr>
        <w:t>17.1响应采购以后，如果供应商书面的修改或撤回要求，使采购代理机构能在响应截止时间前（不考虑不可抗力因素）收到，那么采购代理机构可以接受供应商对磋商响应文件的修改和撤回。</w:t>
      </w:r>
    </w:p>
    <w:p w14:paraId="6750DD0E">
      <w:pPr>
        <w:adjustRightInd w:val="0"/>
        <w:snapToGrid w:val="0"/>
        <w:spacing w:line="360" w:lineRule="auto"/>
        <w:ind w:firstLine="420" w:firstLineChars="200"/>
        <w:rPr>
          <w:rFonts w:hint="eastAsia" w:ascii="黑体" w:hAnsi="黑体" w:eastAsia="黑体" w:cs="黑体"/>
          <w:snapToGrid w:val="0"/>
          <w:kern w:val="0"/>
          <w:szCs w:val="21"/>
        </w:rPr>
      </w:pPr>
      <w:r>
        <w:rPr>
          <w:rFonts w:hint="eastAsia" w:ascii="黑体" w:hAnsi="黑体" w:eastAsia="黑体" w:cs="黑体"/>
          <w:snapToGrid w:val="0"/>
          <w:kern w:val="0"/>
          <w:szCs w:val="21"/>
        </w:rPr>
        <w:t>17.2供应商的修改或撤回通知必须按第14项的规定并在封套上注明：“修改”或“撤回”字样封送给采购代理机构，如果通知采用传真的形式，则必须在截止采购时间前2天内用特快专递寄出或送到有签署的文件证明。</w:t>
      </w:r>
    </w:p>
    <w:p w14:paraId="243D539B">
      <w:pPr>
        <w:adjustRightInd w:val="0"/>
        <w:snapToGrid w:val="0"/>
        <w:spacing w:line="360" w:lineRule="auto"/>
        <w:ind w:firstLine="420" w:firstLineChars="200"/>
        <w:rPr>
          <w:rFonts w:hint="eastAsia" w:ascii="黑体" w:hAnsi="黑体" w:eastAsia="黑体" w:cs="黑体"/>
          <w:snapToGrid w:val="0"/>
          <w:kern w:val="0"/>
          <w:szCs w:val="21"/>
        </w:rPr>
      </w:pPr>
      <w:r>
        <w:rPr>
          <w:rFonts w:hint="eastAsia" w:ascii="黑体" w:hAnsi="黑体" w:eastAsia="黑体" w:cs="黑体"/>
          <w:snapToGrid w:val="0"/>
          <w:kern w:val="0"/>
          <w:szCs w:val="21"/>
        </w:rPr>
        <w:t>17.3除第19项情况外，任何磋商响应文件不得在采购截止时间以后进行修改。</w:t>
      </w:r>
    </w:p>
    <w:p w14:paraId="5FBD1BE7">
      <w:pPr>
        <w:adjustRightInd w:val="0"/>
        <w:snapToGrid w:val="0"/>
        <w:spacing w:line="360" w:lineRule="auto"/>
        <w:ind w:firstLine="420" w:firstLineChars="200"/>
        <w:rPr>
          <w:rFonts w:hint="eastAsia" w:ascii="黑体" w:hAnsi="黑体" w:eastAsia="黑体" w:cs="黑体"/>
          <w:snapToGrid w:val="0"/>
          <w:kern w:val="0"/>
          <w:szCs w:val="21"/>
        </w:rPr>
      </w:pPr>
      <w:r>
        <w:rPr>
          <w:rFonts w:hint="eastAsia" w:ascii="黑体" w:hAnsi="黑体" w:eastAsia="黑体" w:cs="黑体"/>
          <w:snapToGrid w:val="0"/>
          <w:kern w:val="0"/>
          <w:szCs w:val="21"/>
        </w:rPr>
        <w:t>17.4在磋商采购截止时间之后和采购响应文件有效期内，任何磋商响应文件不得撤回，在这段期间撤回磋商响应文件，将被作为不良诚信进行上报。</w:t>
      </w:r>
    </w:p>
    <w:p w14:paraId="74E44867">
      <w:pPr>
        <w:pStyle w:val="5"/>
        <w:ind w:left="0" w:firstLine="0"/>
        <w:rPr>
          <w:rFonts w:hint="eastAsia"/>
          <w:snapToGrid w:val="0"/>
        </w:rPr>
      </w:pPr>
      <w:bookmarkStart w:id="164" w:name="_Toc387223073"/>
      <w:bookmarkStart w:id="165" w:name="_Toc446055552"/>
      <w:bookmarkStart w:id="166" w:name="_Toc387393275"/>
      <w:bookmarkStart w:id="167" w:name="_Toc447008981"/>
      <w:bookmarkStart w:id="168" w:name="_Toc507142105"/>
      <w:bookmarkStart w:id="169" w:name="_Toc463776832"/>
      <w:bookmarkStart w:id="170" w:name="_Toc462045818"/>
      <w:r>
        <w:rPr>
          <w:rFonts w:hint="eastAsia"/>
          <w:snapToGrid w:val="0"/>
        </w:rPr>
        <w:t>18.采购代理机构</w:t>
      </w:r>
      <w:bookmarkEnd w:id="164"/>
      <w:bookmarkEnd w:id="165"/>
      <w:bookmarkEnd w:id="166"/>
      <w:bookmarkEnd w:id="167"/>
      <w:r>
        <w:rPr>
          <w:rFonts w:hint="eastAsia"/>
          <w:snapToGrid w:val="0"/>
        </w:rPr>
        <w:t>磋商</w:t>
      </w:r>
      <w:bookmarkEnd w:id="168"/>
      <w:bookmarkEnd w:id="169"/>
      <w:bookmarkEnd w:id="170"/>
    </w:p>
    <w:p w14:paraId="74BA8F4D">
      <w:pPr>
        <w:adjustRightInd w:val="0"/>
        <w:snapToGrid w:val="0"/>
        <w:spacing w:line="360" w:lineRule="auto"/>
        <w:ind w:firstLine="420" w:firstLineChars="200"/>
        <w:rPr>
          <w:rFonts w:hint="eastAsia" w:ascii="黑体" w:hAnsi="黑体" w:eastAsia="黑体" w:cs="黑体"/>
          <w:snapToGrid w:val="0"/>
          <w:kern w:val="0"/>
          <w:szCs w:val="21"/>
        </w:rPr>
      </w:pPr>
      <w:bookmarkStart w:id="171" w:name="_Toc387223074"/>
      <w:bookmarkStart w:id="172" w:name="_Toc387393276"/>
      <w:r>
        <w:rPr>
          <w:rFonts w:hint="eastAsia" w:ascii="黑体" w:hAnsi="黑体" w:eastAsia="黑体" w:cs="黑体"/>
          <w:snapToGrid w:val="0"/>
          <w:kern w:val="0"/>
          <w:szCs w:val="21"/>
        </w:rPr>
        <w:t>18.1采购代理机构按规定的时间和地点进行竞争性磋商，供应商法人代表或法人授权代表必须参加。</w:t>
      </w:r>
    </w:p>
    <w:p w14:paraId="34186ECA">
      <w:pPr>
        <w:pStyle w:val="5"/>
        <w:ind w:left="0" w:firstLine="0"/>
        <w:rPr>
          <w:rFonts w:hint="eastAsia"/>
          <w:snapToGrid w:val="0"/>
        </w:rPr>
      </w:pPr>
      <w:bookmarkStart w:id="173" w:name="_Toc507142106"/>
      <w:bookmarkStart w:id="174" w:name="_Toc463776833"/>
      <w:bookmarkStart w:id="175" w:name="_Toc446055553"/>
      <w:bookmarkStart w:id="176" w:name="_Toc462045819"/>
      <w:bookmarkStart w:id="177" w:name="_Toc447008982"/>
      <w:r>
        <w:rPr>
          <w:rFonts w:hint="eastAsia"/>
          <w:snapToGrid w:val="0"/>
        </w:rPr>
        <w:t>19.磋商响应文件的澄清</w:t>
      </w:r>
      <w:bookmarkEnd w:id="171"/>
      <w:bookmarkEnd w:id="172"/>
      <w:bookmarkEnd w:id="173"/>
      <w:bookmarkEnd w:id="174"/>
      <w:bookmarkEnd w:id="175"/>
      <w:bookmarkEnd w:id="176"/>
      <w:bookmarkEnd w:id="177"/>
    </w:p>
    <w:p w14:paraId="285F11ED">
      <w:pPr>
        <w:adjustRightInd w:val="0"/>
        <w:snapToGrid w:val="0"/>
        <w:spacing w:line="360" w:lineRule="auto"/>
        <w:ind w:firstLine="420" w:firstLineChars="200"/>
        <w:rPr>
          <w:rFonts w:hint="eastAsia" w:ascii="黑体" w:hAnsi="黑体" w:eastAsia="黑体" w:cs="黑体"/>
          <w:snapToGrid w:val="0"/>
          <w:kern w:val="0"/>
          <w:szCs w:val="21"/>
        </w:rPr>
      </w:pPr>
      <w:r>
        <w:rPr>
          <w:rFonts w:hint="eastAsia" w:ascii="黑体" w:hAnsi="黑体" w:eastAsia="黑体" w:cs="黑体"/>
          <w:snapToGrid w:val="0"/>
          <w:kern w:val="0"/>
          <w:szCs w:val="21"/>
        </w:rPr>
        <w:t xml:space="preserve"> 为有利于评审，采购代理机构在磋商后将进行询标，可随时请供应商对其磋商响应文件中某点加以书面澄清和说明。但不接受供应商主动提出的澄清和说明。这些资料经竞争性磋商小组认可后，可作为磋商响应文件的一部分参与评审。</w:t>
      </w:r>
    </w:p>
    <w:p w14:paraId="623F8311">
      <w:pPr>
        <w:pStyle w:val="5"/>
        <w:ind w:left="0" w:firstLine="0"/>
        <w:rPr>
          <w:rFonts w:hint="eastAsia"/>
          <w:snapToGrid w:val="0"/>
        </w:rPr>
      </w:pPr>
      <w:bookmarkStart w:id="178" w:name="_Toc447008983"/>
      <w:bookmarkStart w:id="179" w:name="_Toc507142107"/>
      <w:bookmarkStart w:id="180" w:name="_Toc387223075"/>
      <w:bookmarkStart w:id="181" w:name="_Toc463776834"/>
      <w:bookmarkStart w:id="182" w:name="_Toc446055554"/>
      <w:bookmarkStart w:id="183" w:name="_Toc462045820"/>
      <w:bookmarkStart w:id="184" w:name="_Toc387393277"/>
      <w:r>
        <w:rPr>
          <w:rFonts w:hint="eastAsia"/>
          <w:snapToGrid w:val="0"/>
        </w:rPr>
        <w:t>20.符合性检查</w:t>
      </w:r>
      <w:bookmarkEnd w:id="178"/>
      <w:bookmarkEnd w:id="179"/>
      <w:bookmarkEnd w:id="180"/>
      <w:bookmarkEnd w:id="181"/>
      <w:bookmarkEnd w:id="182"/>
      <w:bookmarkEnd w:id="183"/>
      <w:bookmarkEnd w:id="184"/>
    </w:p>
    <w:p w14:paraId="39941870">
      <w:pPr>
        <w:adjustRightInd w:val="0"/>
        <w:snapToGrid w:val="0"/>
        <w:spacing w:line="360" w:lineRule="auto"/>
        <w:ind w:firstLine="420" w:firstLineChars="200"/>
        <w:rPr>
          <w:rFonts w:hint="eastAsia" w:ascii="黑体" w:hAnsi="黑体" w:eastAsia="黑体" w:cs="黑体"/>
          <w:snapToGrid w:val="0"/>
          <w:kern w:val="0"/>
          <w:szCs w:val="21"/>
        </w:rPr>
      </w:pPr>
      <w:r>
        <w:rPr>
          <w:rFonts w:hint="eastAsia" w:ascii="黑体" w:hAnsi="黑体" w:eastAsia="黑体" w:cs="黑体"/>
          <w:snapToGrid w:val="0"/>
          <w:kern w:val="0"/>
          <w:szCs w:val="21"/>
        </w:rPr>
        <w:t>20.1在详细评审之前，竞争性磋商采购小组要审查每份磋商响应文件是否实质上响应了采购文件的要求。实质上响应的应该是与采购文件要求的全部条款、条件和规格相符，没有重大偏离。对关键条文的偏离、保留或反对，例如关于保证金、适用法律、税及关税等内容的偏离将被认为是实质上的偏离。竞争性磋商采购小组决定的响应性只根据响应文件本身的内容，而不寻求外部的证据。</w:t>
      </w:r>
    </w:p>
    <w:p w14:paraId="017A64CC">
      <w:pPr>
        <w:adjustRightInd w:val="0"/>
        <w:snapToGrid w:val="0"/>
        <w:spacing w:line="360" w:lineRule="auto"/>
        <w:ind w:firstLine="420" w:firstLineChars="200"/>
        <w:rPr>
          <w:rFonts w:hint="eastAsia" w:ascii="黑体" w:hAnsi="黑体" w:eastAsia="黑体" w:cs="黑体"/>
          <w:snapToGrid w:val="0"/>
          <w:kern w:val="0"/>
          <w:szCs w:val="21"/>
        </w:rPr>
      </w:pPr>
      <w:r>
        <w:rPr>
          <w:rFonts w:hint="eastAsia" w:ascii="黑体" w:hAnsi="黑体" w:eastAsia="黑体" w:cs="黑体"/>
          <w:snapToGrid w:val="0"/>
          <w:kern w:val="0"/>
          <w:szCs w:val="21"/>
        </w:rPr>
        <w:t>20.2实质上没有响应采购文件要求的响应将被拒绝。供应商不得通过修正或撤销不符合要求的偏离或保留，从而使其成为实质上响应。</w:t>
      </w:r>
    </w:p>
    <w:p w14:paraId="4F798CFF">
      <w:pPr>
        <w:adjustRightInd w:val="0"/>
        <w:snapToGrid w:val="0"/>
        <w:spacing w:line="360" w:lineRule="auto"/>
        <w:ind w:firstLine="420" w:firstLineChars="200"/>
        <w:rPr>
          <w:rFonts w:hint="eastAsia" w:ascii="黑体" w:hAnsi="黑体" w:eastAsia="黑体" w:cs="黑体"/>
          <w:snapToGrid w:val="0"/>
          <w:kern w:val="0"/>
          <w:szCs w:val="21"/>
        </w:rPr>
      </w:pPr>
      <w:r>
        <w:rPr>
          <w:rFonts w:hint="eastAsia" w:ascii="黑体" w:hAnsi="黑体" w:eastAsia="黑体" w:cs="黑体"/>
          <w:snapToGrid w:val="0"/>
          <w:kern w:val="0"/>
          <w:szCs w:val="21"/>
        </w:rPr>
        <w:t>20.3凡遇计算错误应按下列原则修正：</w:t>
      </w:r>
    </w:p>
    <w:p w14:paraId="0522F6E5">
      <w:pPr>
        <w:adjustRightInd w:val="0"/>
        <w:snapToGrid w:val="0"/>
        <w:spacing w:line="360" w:lineRule="auto"/>
        <w:ind w:firstLine="420" w:firstLineChars="200"/>
        <w:rPr>
          <w:rFonts w:hint="eastAsia" w:ascii="黑体" w:hAnsi="黑体" w:eastAsia="黑体" w:cs="黑体"/>
          <w:snapToGrid w:val="0"/>
          <w:kern w:val="0"/>
          <w:szCs w:val="21"/>
        </w:rPr>
      </w:pPr>
      <w:r>
        <w:rPr>
          <w:rFonts w:hint="eastAsia" w:ascii="黑体" w:hAnsi="黑体" w:eastAsia="黑体" w:cs="黑体"/>
          <w:snapToGrid w:val="0"/>
          <w:kern w:val="0"/>
          <w:szCs w:val="21"/>
        </w:rPr>
        <w:t>（1）如果单价乘数量不等于总价或各项累计合价有笔误时，应以各项单价为准，修正产品总金额。</w:t>
      </w:r>
    </w:p>
    <w:p w14:paraId="29666F7B">
      <w:pPr>
        <w:adjustRightInd w:val="0"/>
        <w:snapToGrid w:val="0"/>
        <w:spacing w:line="360" w:lineRule="auto"/>
        <w:ind w:firstLine="420" w:firstLineChars="200"/>
        <w:rPr>
          <w:rFonts w:hint="eastAsia" w:ascii="黑体" w:hAnsi="黑体" w:eastAsia="黑体" w:cs="黑体"/>
          <w:snapToGrid w:val="0"/>
          <w:kern w:val="0"/>
          <w:szCs w:val="21"/>
        </w:rPr>
      </w:pPr>
      <w:r>
        <w:rPr>
          <w:rFonts w:hint="eastAsia" w:ascii="黑体" w:hAnsi="黑体" w:eastAsia="黑体" w:cs="黑体"/>
          <w:snapToGrid w:val="0"/>
          <w:kern w:val="0"/>
          <w:szCs w:val="21"/>
        </w:rPr>
        <w:t>（2）若用文字表示的数值与用数字表示的数值不一致，以文字表示的数值为准。</w:t>
      </w:r>
    </w:p>
    <w:p w14:paraId="59CF95AD">
      <w:pPr>
        <w:adjustRightInd w:val="0"/>
        <w:snapToGrid w:val="0"/>
        <w:spacing w:line="360" w:lineRule="auto"/>
        <w:ind w:firstLine="420" w:firstLineChars="200"/>
        <w:rPr>
          <w:rFonts w:hint="eastAsia" w:ascii="黑体" w:hAnsi="黑体" w:eastAsia="黑体" w:cs="黑体"/>
          <w:snapToGrid w:val="0"/>
          <w:kern w:val="0"/>
          <w:szCs w:val="21"/>
        </w:rPr>
      </w:pPr>
      <w:r>
        <w:rPr>
          <w:rFonts w:hint="eastAsia" w:ascii="黑体" w:hAnsi="黑体" w:eastAsia="黑体" w:cs="黑体"/>
          <w:snapToGrid w:val="0"/>
          <w:kern w:val="0"/>
          <w:szCs w:val="21"/>
        </w:rPr>
        <w:t>（3）如果供应商不接受对其错误的更正，其响应将被拒绝。</w:t>
      </w:r>
    </w:p>
    <w:p w14:paraId="0BADFF71">
      <w:pPr>
        <w:adjustRightInd w:val="0"/>
        <w:snapToGrid w:val="0"/>
        <w:spacing w:line="360" w:lineRule="auto"/>
        <w:ind w:firstLine="420" w:firstLineChars="200"/>
        <w:rPr>
          <w:rFonts w:hint="eastAsia" w:ascii="黑体" w:hAnsi="黑体" w:eastAsia="黑体" w:cs="黑体"/>
          <w:snapToGrid w:val="0"/>
          <w:kern w:val="0"/>
          <w:szCs w:val="21"/>
        </w:rPr>
      </w:pPr>
      <w:r>
        <w:rPr>
          <w:rFonts w:hint="eastAsia" w:ascii="黑体" w:hAnsi="黑体" w:eastAsia="黑体" w:cs="黑体"/>
          <w:snapToGrid w:val="0"/>
          <w:kern w:val="0"/>
          <w:szCs w:val="21"/>
        </w:rPr>
        <w:t>（4）没有报单价的项目的价格视为已含在报价的其他项目中，供应商在合同实施过程中必须完成该项目，但金额不另行支付。</w:t>
      </w:r>
    </w:p>
    <w:p w14:paraId="2D2D539D">
      <w:pPr>
        <w:pStyle w:val="5"/>
        <w:ind w:left="0" w:firstLine="0"/>
        <w:rPr>
          <w:rFonts w:hint="eastAsia"/>
          <w:snapToGrid w:val="0"/>
        </w:rPr>
      </w:pPr>
      <w:bookmarkStart w:id="185" w:name="_Toc358469839"/>
      <w:bookmarkStart w:id="186" w:name="_Toc358468548"/>
      <w:bookmarkStart w:id="187" w:name="_Toc387393278"/>
      <w:bookmarkStart w:id="188" w:name="_Toc358468030"/>
      <w:bookmarkStart w:id="189" w:name="_Toc387223076"/>
      <w:bookmarkStart w:id="190" w:name="_Toc462045821"/>
      <w:bookmarkStart w:id="191" w:name="_Toc447008984"/>
      <w:bookmarkStart w:id="192" w:name="_Toc446055555"/>
      <w:bookmarkStart w:id="193" w:name="_Toc507142108"/>
      <w:bookmarkStart w:id="194" w:name="_Toc463776835"/>
      <w:r>
        <w:rPr>
          <w:rFonts w:hint="eastAsia"/>
          <w:snapToGrid w:val="0"/>
        </w:rPr>
        <w:t>21.</w:t>
      </w:r>
      <w:bookmarkEnd w:id="185"/>
      <w:bookmarkEnd w:id="186"/>
      <w:bookmarkEnd w:id="187"/>
      <w:bookmarkEnd w:id="188"/>
      <w:bookmarkEnd w:id="189"/>
      <w:r>
        <w:rPr>
          <w:rFonts w:hint="eastAsia"/>
          <w:snapToGrid w:val="0"/>
        </w:rPr>
        <w:t>竞争性磋商采购</w:t>
      </w:r>
      <w:bookmarkEnd w:id="190"/>
      <w:bookmarkEnd w:id="191"/>
      <w:bookmarkEnd w:id="192"/>
      <w:bookmarkEnd w:id="193"/>
      <w:bookmarkEnd w:id="194"/>
    </w:p>
    <w:p w14:paraId="3EED8567">
      <w:pPr>
        <w:adjustRightInd w:val="0"/>
        <w:snapToGrid w:val="0"/>
        <w:spacing w:line="360" w:lineRule="auto"/>
        <w:ind w:firstLine="420" w:firstLineChars="200"/>
        <w:rPr>
          <w:rFonts w:hint="eastAsia" w:ascii="黑体" w:hAnsi="黑体" w:eastAsia="黑体" w:cs="黑体"/>
          <w:snapToGrid w:val="0"/>
          <w:kern w:val="0"/>
          <w:szCs w:val="21"/>
        </w:rPr>
      </w:pPr>
      <w:r>
        <w:rPr>
          <w:rFonts w:hint="eastAsia" w:ascii="黑体" w:hAnsi="黑体" w:eastAsia="黑体" w:cs="黑体"/>
          <w:snapToGrid w:val="0"/>
          <w:kern w:val="0"/>
          <w:szCs w:val="21"/>
        </w:rPr>
        <w:t>21.1为了维护政府采购的严肃性，本次磋商必须严格按照国家关于政府采购的有关规定，严格遵守公开、公平、公正、诚实信用的原则，并在江苏国衡工程咨询有限公司的组织下，由采购人代表及有关方面专家组成的磋商小组来进行；</w:t>
      </w:r>
    </w:p>
    <w:p w14:paraId="39239251">
      <w:pPr>
        <w:adjustRightInd w:val="0"/>
        <w:snapToGrid w:val="0"/>
        <w:spacing w:line="360" w:lineRule="auto"/>
        <w:ind w:firstLine="420" w:firstLineChars="200"/>
        <w:rPr>
          <w:rFonts w:hint="eastAsia" w:ascii="黑体" w:hAnsi="黑体" w:eastAsia="黑体" w:cs="黑体"/>
          <w:snapToGrid w:val="0"/>
          <w:kern w:val="0"/>
          <w:szCs w:val="21"/>
        </w:rPr>
      </w:pPr>
      <w:r>
        <w:rPr>
          <w:rFonts w:hint="eastAsia" w:ascii="黑体" w:hAnsi="黑体" w:eastAsia="黑体" w:cs="黑体"/>
          <w:snapToGrid w:val="0"/>
          <w:kern w:val="0"/>
          <w:szCs w:val="21"/>
        </w:rPr>
        <w:t>21.2任何参加磋商供应商磋商及最终报价的前提：磋商响应文件必须实质性满足本磋商文件的要求且负责所投货物及设备方案的完整性（保证整个项目方案的完整性）。</w:t>
      </w:r>
    </w:p>
    <w:p w14:paraId="24B0F55C">
      <w:pPr>
        <w:adjustRightInd w:val="0"/>
        <w:snapToGrid w:val="0"/>
        <w:spacing w:line="360" w:lineRule="auto"/>
        <w:ind w:firstLine="420" w:firstLineChars="200"/>
        <w:rPr>
          <w:rFonts w:hint="eastAsia" w:ascii="黑体" w:hAnsi="黑体" w:eastAsia="黑体" w:cs="黑体"/>
          <w:snapToGrid w:val="0"/>
          <w:kern w:val="0"/>
          <w:szCs w:val="21"/>
        </w:rPr>
      </w:pPr>
      <w:r>
        <w:rPr>
          <w:rFonts w:hint="eastAsia" w:ascii="黑体" w:hAnsi="黑体" w:eastAsia="黑体" w:cs="黑体"/>
          <w:snapToGrid w:val="0"/>
          <w:kern w:val="0"/>
          <w:szCs w:val="21"/>
        </w:rPr>
        <w:t>21.3代理机构将在“磋商供应商须知前附表”中规定的时间和地点组织磋商。磋商供应商应委派代表准时参加，参加磋商的代表须签名以证明其出席。</w:t>
      </w:r>
    </w:p>
    <w:p w14:paraId="33C18C49">
      <w:pPr>
        <w:pStyle w:val="5"/>
        <w:ind w:left="0" w:firstLine="0"/>
        <w:rPr>
          <w:rFonts w:hint="eastAsia"/>
          <w:snapToGrid w:val="0"/>
        </w:rPr>
      </w:pPr>
      <w:bookmarkStart w:id="195" w:name="_Toc507142109"/>
      <w:bookmarkStart w:id="196" w:name="_Toc463776836"/>
      <w:bookmarkStart w:id="197" w:name="_Toc462045822"/>
      <w:r>
        <w:rPr>
          <w:rFonts w:hint="eastAsia"/>
          <w:snapToGrid w:val="0"/>
        </w:rPr>
        <w:t>22.磋商小组成员</w:t>
      </w:r>
      <w:bookmarkEnd w:id="195"/>
      <w:bookmarkEnd w:id="196"/>
      <w:bookmarkEnd w:id="197"/>
    </w:p>
    <w:p w14:paraId="232F9966">
      <w:pPr>
        <w:adjustRightInd w:val="0"/>
        <w:snapToGrid w:val="0"/>
        <w:spacing w:line="360" w:lineRule="auto"/>
        <w:ind w:firstLine="420" w:firstLineChars="200"/>
        <w:rPr>
          <w:rFonts w:hint="eastAsia" w:ascii="黑体" w:hAnsi="黑体" w:eastAsia="黑体" w:cs="黑体"/>
          <w:snapToGrid w:val="0"/>
          <w:kern w:val="0"/>
          <w:szCs w:val="21"/>
        </w:rPr>
      </w:pPr>
      <w:r>
        <w:rPr>
          <w:rFonts w:hint="eastAsia" w:ascii="黑体" w:hAnsi="黑体" w:eastAsia="黑体" w:cs="黑体"/>
          <w:snapToGrid w:val="0"/>
          <w:kern w:val="0"/>
          <w:szCs w:val="21"/>
        </w:rPr>
        <w:t>由专家库中随机抽取专家组成磋商小组。磋商小组独立开展工作，负责审议所有磋商响应文件，与实质性满足本磋商文件要求的参加磋商的供应商分别进行磋商，并推荐成交供应商。</w:t>
      </w:r>
    </w:p>
    <w:p w14:paraId="741C9F77">
      <w:pPr>
        <w:pStyle w:val="5"/>
        <w:ind w:left="0" w:firstLine="0"/>
        <w:rPr>
          <w:rFonts w:hint="eastAsia"/>
          <w:snapToGrid w:val="0"/>
        </w:rPr>
      </w:pPr>
      <w:bookmarkStart w:id="198" w:name="_Toc507142110"/>
      <w:bookmarkStart w:id="199" w:name="_Toc462045823"/>
      <w:bookmarkStart w:id="200" w:name="_Toc463776837"/>
      <w:r>
        <w:rPr>
          <w:rFonts w:hint="eastAsia"/>
          <w:snapToGrid w:val="0"/>
        </w:rPr>
        <w:t>23.磋商程序</w:t>
      </w:r>
      <w:bookmarkEnd w:id="198"/>
      <w:bookmarkEnd w:id="199"/>
      <w:bookmarkEnd w:id="200"/>
    </w:p>
    <w:p w14:paraId="091E8807">
      <w:pPr>
        <w:adjustRightInd w:val="0"/>
        <w:snapToGrid w:val="0"/>
        <w:spacing w:line="360" w:lineRule="auto"/>
        <w:ind w:firstLine="420" w:firstLineChars="200"/>
        <w:rPr>
          <w:rFonts w:hint="eastAsia" w:ascii="黑体" w:hAnsi="黑体" w:eastAsia="黑体" w:cs="黑体"/>
          <w:snapToGrid w:val="0"/>
          <w:kern w:val="0"/>
          <w:szCs w:val="21"/>
        </w:rPr>
      </w:pPr>
      <w:r>
        <w:rPr>
          <w:rFonts w:hint="eastAsia" w:ascii="黑体" w:hAnsi="黑体" w:eastAsia="黑体" w:cs="黑体"/>
          <w:snapToGrid w:val="0"/>
          <w:kern w:val="0"/>
          <w:szCs w:val="21"/>
        </w:rPr>
        <w:t>23.1在“参加磋商供应商须知前附表”中规定的时间、地点，由江苏国衡工程咨询有限公司组织磋商，供应商应委派代表准时参加，参加磋商的代表须签名以证明其出席。磋商开始前将当众检验磋商文件的密封情况，确认无误后方可进行拆封。由磋商小组成员与参加磋商的供应商分别单独进行磋商；</w:t>
      </w:r>
    </w:p>
    <w:p w14:paraId="73552851">
      <w:pPr>
        <w:adjustRightInd w:val="0"/>
        <w:snapToGrid w:val="0"/>
        <w:spacing w:line="360" w:lineRule="auto"/>
        <w:ind w:firstLine="420" w:firstLineChars="200"/>
        <w:rPr>
          <w:rFonts w:hint="eastAsia" w:ascii="黑体" w:hAnsi="黑体" w:eastAsia="黑体" w:cs="黑体"/>
          <w:snapToGrid w:val="0"/>
          <w:kern w:val="0"/>
          <w:szCs w:val="21"/>
        </w:rPr>
      </w:pPr>
      <w:r>
        <w:rPr>
          <w:rFonts w:hint="eastAsia" w:ascii="黑体" w:hAnsi="黑体" w:eastAsia="黑体" w:cs="黑体"/>
          <w:snapToGrid w:val="0"/>
          <w:kern w:val="0"/>
          <w:szCs w:val="21"/>
        </w:rPr>
        <w:t>23.2磋商中，磋商的任何一方不得透露与磋商有关的其他参加磋商的供应商的技术资料、价格和其他信息。磋商文件有实质性变动的，磋商小组将通知所有参加磋商的供应商。如果参加磋商供应商试图向江苏国衡工程咨询有限公司和参与评审的人员施加任何影响，都将会导致其磋商被拒绝。</w:t>
      </w:r>
    </w:p>
    <w:p w14:paraId="24F898F9">
      <w:pPr>
        <w:adjustRightInd w:val="0"/>
        <w:snapToGrid w:val="0"/>
        <w:spacing w:line="360" w:lineRule="auto"/>
        <w:ind w:firstLine="420" w:firstLineChars="200"/>
        <w:rPr>
          <w:rFonts w:hint="eastAsia" w:ascii="黑体" w:hAnsi="黑体" w:eastAsia="黑体" w:cs="黑体"/>
          <w:snapToGrid w:val="0"/>
          <w:kern w:val="0"/>
          <w:szCs w:val="21"/>
        </w:rPr>
      </w:pPr>
      <w:r>
        <w:rPr>
          <w:rFonts w:hint="eastAsia" w:ascii="黑体" w:hAnsi="黑体" w:eastAsia="黑体" w:cs="黑体"/>
          <w:snapToGrid w:val="0"/>
          <w:kern w:val="0"/>
          <w:szCs w:val="21"/>
        </w:rPr>
        <w:t>23.3磋商报价按如下形式进行，即磋商开始前报价（按本采购磋商文件要求的格式投报并加盖公章）磋商结束后</w:t>
      </w:r>
      <w:bookmarkStart w:id="201" w:name="_Hlk208503769"/>
      <w:r>
        <w:rPr>
          <w:rFonts w:hint="eastAsia" w:ascii="黑体" w:hAnsi="黑体" w:eastAsia="黑体" w:cs="黑体"/>
          <w:snapToGrid w:val="0"/>
          <w:kern w:val="0"/>
          <w:szCs w:val="21"/>
        </w:rPr>
        <w:t>最终</w:t>
      </w:r>
      <w:bookmarkEnd w:id="201"/>
      <w:r>
        <w:rPr>
          <w:rFonts w:hint="eastAsia" w:ascii="黑体" w:hAnsi="黑体" w:eastAsia="黑体" w:cs="黑体"/>
          <w:snapToGrid w:val="0"/>
          <w:kern w:val="0"/>
          <w:szCs w:val="21"/>
        </w:rPr>
        <w:t>报价（该报价将作为评定的依据）。最终磋商报价将不向参加供应商公开。</w:t>
      </w:r>
    </w:p>
    <w:p w14:paraId="70115182">
      <w:pPr>
        <w:adjustRightInd w:val="0"/>
        <w:snapToGrid w:val="0"/>
        <w:spacing w:line="360" w:lineRule="auto"/>
        <w:ind w:firstLine="420" w:firstLineChars="200"/>
        <w:rPr>
          <w:rFonts w:hint="eastAsia" w:ascii="黑体" w:hAnsi="黑体" w:eastAsia="黑体" w:cs="黑体"/>
          <w:b/>
          <w:snapToGrid w:val="0"/>
          <w:kern w:val="0"/>
          <w:szCs w:val="21"/>
        </w:rPr>
      </w:pPr>
      <w:r>
        <w:rPr>
          <w:rFonts w:hint="eastAsia" w:ascii="黑体" w:hAnsi="黑体" w:eastAsia="黑体" w:cs="黑体"/>
          <w:snapToGrid w:val="0"/>
          <w:kern w:val="0"/>
          <w:szCs w:val="21"/>
        </w:rPr>
        <w:t>23.4磋商结束后，磋商小组要求所有参加磋商并且磋商响应文件实质性满足江苏国衡工程咨询有限公司在本磋商文件中要求的供应商，</w:t>
      </w:r>
      <w:r>
        <w:rPr>
          <w:rFonts w:hint="eastAsia" w:ascii="黑体" w:hAnsi="黑体" w:eastAsia="黑体" w:cs="黑体"/>
          <w:b/>
          <w:bCs/>
          <w:snapToGrid w:val="0"/>
          <w:kern w:val="0"/>
          <w:szCs w:val="21"/>
        </w:rPr>
        <w:t>在规定时间内进行最终报价，然后按照磋商文件规定的各项评审因素进行量化指标评审，得分最高的供应商作为成交候选供应商。</w:t>
      </w:r>
    </w:p>
    <w:p w14:paraId="6370EC40">
      <w:pPr>
        <w:pStyle w:val="5"/>
        <w:ind w:left="0" w:firstLine="0"/>
        <w:rPr>
          <w:rFonts w:hint="eastAsia"/>
          <w:snapToGrid w:val="0"/>
        </w:rPr>
      </w:pPr>
      <w:bookmarkStart w:id="202" w:name="_Toc463776838"/>
      <w:bookmarkStart w:id="203" w:name="_Toc507142111"/>
      <w:bookmarkStart w:id="204" w:name="_Toc462045824"/>
      <w:r>
        <w:rPr>
          <w:rFonts w:hint="eastAsia"/>
          <w:snapToGrid w:val="0"/>
        </w:rPr>
        <w:t>24.对磋商响应文件的初审</w:t>
      </w:r>
      <w:bookmarkEnd w:id="202"/>
      <w:bookmarkEnd w:id="203"/>
      <w:bookmarkEnd w:id="204"/>
    </w:p>
    <w:p w14:paraId="7E242F2F">
      <w:pPr>
        <w:adjustRightInd w:val="0"/>
        <w:snapToGrid w:val="0"/>
        <w:spacing w:line="360" w:lineRule="auto"/>
        <w:ind w:firstLine="420" w:firstLineChars="200"/>
        <w:rPr>
          <w:rFonts w:hint="eastAsia" w:ascii="黑体" w:hAnsi="黑体" w:eastAsia="黑体" w:cs="黑体"/>
          <w:snapToGrid w:val="0"/>
          <w:kern w:val="0"/>
          <w:szCs w:val="21"/>
        </w:rPr>
      </w:pPr>
      <w:r>
        <w:rPr>
          <w:rFonts w:hint="eastAsia" w:ascii="黑体" w:hAnsi="黑体" w:eastAsia="黑体" w:cs="黑体"/>
          <w:snapToGrid w:val="0"/>
          <w:kern w:val="0"/>
          <w:szCs w:val="21"/>
        </w:rPr>
        <w:t>24.1 磋商小组将审查磋商响应文件是否完整，有无计算上的错误，是否足额提交磋商保证金，文件签署是否合格，磋商响应文件是否大体编排有序且基本符合磋商文件要求。</w:t>
      </w:r>
    </w:p>
    <w:p w14:paraId="4D331968">
      <w:pPr>
        <w:adjustRightInd w:val="0"/>
        <w:snapToGrid w:val="0"/>
        <w:spacing w:line="360" w:lineRule="auto"/>
        <w:ind w:firstLine="420" w:firstLineChars="200"/>
        <w:rPr>
          <w:rFonts w:hint="eastAsia" w:ascii="黑体" w:hAnsi="黑体" w:eastAsia="黑体" w:cs="黑体"/>
          <w:snapToGrid w:val="0"/>
          <w:kern w:val="0"/>
          <w:szCs w:val="21"/>
        </w:rPr>
      </w:pPr>
      <w:r>
        <w:rPr>
          <w:rFonts w:hint="eastAsia" w:ascii="黑体" w:hAnsi="黑体" w:eastAsia="黑体" w:cs="黑体"/>
          <w:snapToGrid w:val="0"/>
          <w:kern w:val="0"/>
          <w:szCs w:val="21"/>
        </w:rPr>
        <w:t>24.2 在详细评审之前，磋商小组将首先审查每份磋商响应文件是否实质性响应了磋商文件的要求。实质性响应的磋商响应文件应该是与磋商文件要求的全部条款、条件和规格相符，没有重大偏离或保留。所谓重大偏离或保留是指影响到磋商文件规定的品牌、型号、性能、供货期、供货范围、服务要求，或者在实质上与磋商文件不一致，而且限制了合同中甲方的权利或磋商供应商的义务，纠正这些偏离或保留将会对其他实质性响应要求的磋商供应商的竞争地位产生不公正的影响。重大偏离的认定需经过磋商小组三人以上认定。磋商小组决定磋商文件的响应性只根据磋商响应文件本身的内容，而不寻求外部证据。</w:t>
      </w:r>
    </w:p>
    <w:p w14:paraId="3C628405">
      <w:pPr>
        <w:adjustRightInd w:val="0"/>
        <w:snapToGrid w:val="0"/>
        <w:spacing w:line="360" w:lineRule="auto"/>
        <w:ind w:firstLine="420" w:firstLineChars="200"/>
        <w:rPr>
          <w:rFonts w:hint="eastAsia" w:ascii="黑体" w:hAnsi="黑体" w:eastAsia="黑体" w:cs="黑体"/>
          <w:snapToGrid w:val="0"/>
          <w:kern w:val="0"/>
          <w:szCs w:val="21"/>
        </w:rPr>
      </w:pPr>
      <w:r>
        <w:rPr>
          <w:rFonts w:hint="eastAsia" w:ascii="黑体" w:hAnsi="黑体" w:eastAsia="黑体" w:cs="黑体"/>
          <w:snapToGrid w:val="0"/>
          <w:kern w:val="0"/>
          <w:szCs w:val="21"/>
        </w:rPr>
        <w:t>24.3 如果磋商响应文件实质上没有响应本磋商文件的要求，磋商小组将予以拒绝，磋商供应商不得通过修改或撤销不合要求的偏离或保留而使其成为实质性的响应文件。</w:t>
      </w:r>
    </w:p>
    <w:p w14:paraId="2A6F9A78">
      <w:pPr>
        <w:adjustRightInd w:val="0"/>
        <w:snapToGrid w:val="0"/>
        <w:spacing w:line="360" w:lineRule="auto"/>
        <w:ind w:firstLine="420" w:firstLineChars="200"/>
        <w:rPr>
          <w:rFonts w:hint="eastAsia" w:ascii="黑体" w:hAnsi="黑体" w:eastAsia="黑体" w:cs="黑体"/>
          <w:snapToGrid w:val="0"/>
          <w:kern w:val="0"/>
          <w:szCs w:val="21"/>
        </w:rPr>
      </w:pPr>
      <w:r>
        <w:rPr>
          <w:rFonts w:hint="eastAsia" w:ascii="黑体" w:hAnsi="黑体" w:eastAsia="黑体" w:cs="黑体"/>
          <w:snapToGrid w:val="0"/>
          <w:kern w:val="0"/>
          <w:szCs w:val="21"/>
        </w:rPr>
        <w:t>24.4 磋商小组将对确定为实质性响应的磋商文件进行进一步的审核，看其是否有计算上或累加上的算术错误，修正错误的原则如下：</w:t>
      </w:r>
    </w:p>
    <w:p w14:paraId="1685C197">
      <w:pPr>
        <w:adjustRightInd w:val="0"/>
        <w:snapToGrid w:val="0"/>
        <w:spacing w:line="360" w:lineRule="auto"/>
        <w:ind w:firstLine="420" w:firstLineChars="200"/>
        <w:rPr>
          <w:rFonts w:hint="eastAsia" w:ascii="黑体" w:hAnsi="黑体" w:eastAsia="黑体" w:cs="黑体"/>
          <w:snapToGrid w:val="0"/>
          <w:kern w:val="0"/>
          <w:szCs w:val="21"/>
        </w:rPr>
      </w:pPr>
      <w:r>
        <w:rPr>
          <w:rFonts w:hint="eastAsia" w:ascii="黑体" w:hAnsi="黑体" w:eastAsia="黑体" w:cs="黑体"/>
          <w:snapToGrid w:val="0"/>
          <w:kern w:val="0"/>
          <w:szCs w:val="21"/>
        </w:rPr>
        <w:t>（1）如果用数字表示的金额和用文字表示的金额不一致时，应以文字表示的金额为准进行修正；</w:t>
      </w:r>
    </w:p>
    <w:p w14:paraId="24608916">
      <w:pPr>
        <w:adjustRightInd w:val="0"/>
        <w:snapToGrid w:val="0"/>
        <w:spacing w:line="360" w:lineRule="auto"/>
        <w:ind w:firstLine="420" w:firstLineChars="200"/>
        <w:rPr>
          <w:rFonts w:hint="eastAsia" w:ascii="黑体" w:hAnsi="黑体" w:eastAsia="黑体" w:cs="黑体"/>
          <w:snapToGrid w:val="0"/>
          <w:kern w:val="0"/>
          <w:szCs w:val="21"/>
        </w:rPr>
      </w:pPr>
      <w:r>
        <w:rPr>
          <w:rFonts w:hint="eastAsia" w:ascii="黑体" w:hAnsi="黑体" w:eastAsia="黑体" w:cs="黑体"/>
          <w:snapToGrid w:val="0"/>
          <w:kern w:val="0"/>
          <w:szCs w:val="21"/>
        </w:rPr>
        <w:t>（2）当单价与数量的乘积和总价不一致时，以单价为准进行修正。只有在磋商小组认为单价有明显的小数点错误时，才能以标出的总价为准，并修改单价；</w:t>
      </w:r>
    </w:p>
    <w:p w14:paraId="2677D28E">
      <w:pPr>
        <w:adjustRightInd w:val="0"/>
        <w:snapToGrid w:val="0"/>
        <w:spacing w:line="360" w:lineRule="auto"/>
        <w:ind w:firstLine="420" w:firstLineChars="200"/>
        <w:rPr>
          <w:rFonts w:hint="eastAsia" w:ascii="黑体" w:hAnsi="黑体" w:eastAsia="黑体" w:cs="黑体"/>
          <w:snapToGrid w:val="0"/>
          <w:kern w:val="0"/>
          <w:szCs w:val="21"/>
        </w:rPr>
      </w:pPr>
      <w:r>
        <w:rPr>
          <w:rFonts w:hint="eastAsia" w:ascii="黑体" w:hAnsi="黑体" w:eastAsia="黑体" w:cs="黑体"/>
          <w:snapToGrid w:val="0"/>
          <w:kern w:val="0"/>
          <w:szCs w:val="21"/>
        </w:rPr>
        <w:t>（3）如果磋商供应商提供的折扣数与按折扣率为基准计算的折扣数不一致时，以折扣率计算为基准进行修正。</w:t>
      </w:r>
    </w:p>
    <w:p w14:paraId="5DD568F3">
      <w:pPr>
        <w:adjustRightInd w:val="0"/>
        <w:snapToGrid w:val="0"/>
        <w:spacing w:line="360" w:lineRule="auto"/>
        <w:ind w:firstLine="420" w:firstLineChars="200"/>
        <w:rPr>
          <w:rFonts w:hint="eastAsia" w:ascii="黑体" w:hAnsi="黑体" w:eastAsia="黑体" w:cs="黑体"/>
          <w:snapToGrid w:val="0"/>
          <w:kern w:val="0"/>
          <w:szCs w:val="21"/>
        </w:rPr>
      </w:pPr>
      <w:r>
        <w:rPr>
          <w:rFonts w:hint="eastAsia" w:ascii="黑体" w:hAnsi="黑体" w:eastAsia="黑体" w:cs="黑体"/>
          <w:snapToGrid w:val="0"/>
          <w:kern w:val="0"/>
          <w:szCs w:val="21"/>
        </w:rPr>
        <w:t>24.5 磋商小组将按上述修正错误的方法调整磋商响应文件中的磋商报价，调整后的价格应对磋商供应商具有约束力。如果磋商供应商不接受修正后的价格，则其磋商响应文件将被拒绝。</w:t>
      </w:r>
    </w:p>
    <w:p w14:paraId="5F282A89">
      <w:pPr>
        <w:adjustRightInd w:val="0"/>
        <w:snapToGrid w:val="0"/>
        <w:spacing w:line="360" w:lineRule="auto"/>
        <w:ind w:firstLine="420" w:firstLineChars="200"/>
        <w:rPr>
          <w:rFonts w:hint="eastAsia" w:ascii="黑体" w:hAnsi="黑体" w:eastAsia="黑体" w:cs="黑体"/>
          <w:snapToGrid w:val="0"/>
          <w:kern w:val="0"/>
          <w:szCs w:val="21"/>
        </w:rPr>
      </w:pPr>
      <w:r>
        <w:rPr>
          <w:rFonts w:hint="eastAsia" w:ascii="黑体" w:hAnsi="黑体" w:eastAsia="黑体" w:cs="黑体"/>
          <w:snapToGrid w:val="0"/>
          <w:kern w:val="0"/>
          <w:szCs w:val="21"/>
        </w:rPr>
        <w:t>24.6 磋商小组将允许修正磋商文件中不构成重大偏离的、微小的、非正规的、不一致的或不规则的地方，但这些修改不能影响任何磋商供应商相应的名次排列。</w:t>
      </w:r>
    </w:p>
    <w:p w14:paraId="22F4B811">
      <w:pPr>
        <w:adjustRightInd w:val="0"/>
        <w:snapToGrid w:val="0"/>
        <w:spacing w:line="360" w:lineRule="auto"/>
        <w:ind w:firstLine="420" w:firstLineChars="200"/>
        <w:rPr>
          <w:rFonts w:hint="eastAsia" w:ascii="黑体" w:hAnsi="黑体" w:eastAsia="黑体" w:cs="黑体"/>
          <w:snapToGrid w:val="0"/>
          <w:kern w:val="0"/>
          <w:szCs w:val="21"/>
        </w:rPr>
      </w:pPr>
      <w:r>
        <w:rPr>
          <w:rFonts w:hint="eastAsia" w:ascii="黑体" w:hAnsi="黑体" w:eastAsia="黑体" w:cs="黑体"/>
          <w:snapToGrid w:val="0"/>
          <w:kern w:val="0"/>
          <w:szCs w:val="21"/>
        </w:rPr>
        <w:t>24.7磋商响应文件有下列情况之一的，应当在资格性、符合性检查时按照无效响应处理：</w:t>
      </w:r>
    </w:p>
    <w:p w14:paraId="2146260A">
      <w:pPr>
        <w:adjustRightInd w:val="0"/>
        <w:snapToGrid w:val="0"/>
        <w:spacing w:line="360" w:lineRule="auto"/>
        <w:ind w:firstLine="420" w:firstLineChars="200"/>
        <w:rPr>
          <w:rFonts w:hint="eastAsia" w:ascii="黑体" w:hAnsi="黑体" w:eastAsia="黑体" w:cs="黑体"/>
          <w:snapToGrid w:val="0"/>
          <w:kern w:val="0"/>
          <w:szCs w:val="21"/>
        </w:rPr>
      </w:pPr>
      <w:r>
        <w:rPr>
          <w:rFonts w:hint="eastAsia" w:ascii="黑体" w:hAnsi="黑体" w:eastAsia="黑体" w:cs="黑体"/>
          <w:snapToGrid w:val="0"/>
          <w:kern w:val="0"/>
          <w:szCs w:val="21"/>
        </w:rPr>
        <w:t>（1）未按照采购文件规定要求密封、签署、盖章的；</w:t>
      </w:r>
    </w:p>
    <w:p w14:paraId="1B2E1A83">
      <w:pPr>
        <w:adjustRightInd w:val="0"/>
        <w:snapToGrid w:val="0"/>
        <w:spacing w:line="360" w:lineRule="auto"/>
        <w:ind w:firstLine="420" w:firstLineChars="200"/>
        <w:rPr>
          <w:rFonts w:hint="eastAsia" w:ascii="黑体" w:hAnsi="黑体" w:eastAsia="黑体" w:cs="黑体"/>
          <w:snapToGrid w:val="0"/>
          <w:kern w:val="0"/>
          <w:szCs w:val="21"/>
        </w:rPr>
      </w:pPr>
      <w:r>
        <w:rPr>
          <w:rFonts w:hint="eastAsia" w:ascii="黑体" w:hAnsi="黑体" w:eastAsia="黑体" w:cs="黑体"/>
          <w:snapToGrid w:val="0"/>
          <w:kern w:val="0"/>
          <w:szCs w:val="21"/>
        </w:rPr>
        <w:t>（2）不具备采购文件中规定资质要求的或超过采购预算的；</w:t>
      </w:r>
    </w:p>
    <w:p w14:paraId="52BBD500">
      <w:pPr>
        <w:adjustRightInd w:val="0"/>
        <w:snapToGrid w:val="0"/>
        <w:spacing w:line="360" w:lineRule="auto"/>
        <w:ind w:firstLine="420" w:firstLineChars="200"/>
        <w:rPr>
          <w:rFonts w:hint="eastAsia" w:ascii="黑体" w:hAnsi="黑体" w:eastAsia="黑体" w:cs="黑体"/>
          <w:snapToGrid w:val="0"/>
          <w:kern w:val="0"/>
          <w:szCs w:val="21"/>
        </w:rPr>
      </w:pPr>
      <w:r>
        <w:rPr>
          <w:rFonts w:hint="eastAsia" w:ascii="黑体" w:hAnsi="黑体" w:eastAsia="黑体" w:cs="黑体"/>
          <w:snapToGrid w:val="0"/>
          <w:kern w:val="0"/>
          <w:szCs w:val="21"/>
        </w:rPr>
        <w:t>（3）不符合</w:t>
      </w:r>
      <w:r>
        <w:rPr>
          <w:rFonts w:hint="eastAsia" w:ascii="黑体" w:hAnsi="黑体" w:eastAsia="黑体" w:cs="黑体"/>
          <w:snapToGrid w:val="0"/>
          <w:kern w:val="0"/>
          <w:szCs w:val="21"/>
          <w:lang w:eastAsia="zh-CN"/>
        </w:rPr>
        <w:t>法律法规</w:t>
      </w:r>
      <w:r>
        <w:rPr>
          <w:rFonts w:hint="eastAsia" w:ascii="黑体" w:hAnsi="黑体" w:eastAsia="黑体" w:cs="黑体"/>
          <w:snapToGrid w:val="0"/>
          <w:kern w:val="0"/>
          <w:szCs w:val="21"/>
        </w:rPr>
        <w:t>和采购文件中规定的其他实质性要求的；</w:t>
      </w:r>
    </w:p>
    <w:p w14:paraId="0C362537">
      <w:pPr>
        <w:adjustRightInd w:val="0"/>
        <w:snapToGrid w:val="0"/>
        <w:spacing w:line="360" w:lineRule="auto"/>
        <w:ind w:firstLine="420" w:firstLineChars="200"/>
        <w:rPr>
          <w:rFonts w:hint="eastAsia" w:ascii="黑体" w:hAnsi="黑体" w:eastAsia="黑体" w:cs="黑体"/>
          <w:snapToGrid w:val="0"/>
          <w:kern w:val="0"/>
          <w:szCs w:val="21"/>
        </w:rPr>
      </w:pPr>
      <w:r>
        <w:rPr>
          <w:rFonts w:hint="eastAsia" w:ascii="黑体" w:hAnsi="黑体" w:eastAsia="黑体" w:cs="黑体"/>
          <w:snapToGrid w:val="0"/>
          <w:kern w:val="0"/>
          <w:szCs w:val="21"/>
        </w:rPr>
        <w:t>（4）提供虚假材料谋取成交的；</w:t>
      </w:r>
    </w:p>
    <w:p w14:paraId="143E586B">
      <w:pPr>
        <w:adjustRightInd w:val="0"/>
        <w:snapToGrid w:val="0"/>
        <w:spacing w:line="360" w:lineRule="auto"/>
        <w:ind w:firstLine="420" w:firstLineChars="200"/>
        <w:rPr>
          <w:rFonts w:hint="eastAsia" w:ascii="黑体" w:hAnsi="黑体" w:eastAsia="黑体" w:cs="黑体"/>
          <w:snapToGrid w:val="0"/>
          <w:kern w:val="0"/>
          <w:szCs w:val="21"/>
        </w:rPr>
      </w:pPr>
      <w:r>
        <w:rPr>
          <w:rFonts w:hint="eastAsia" w:ascii="黑体" w:hAnsi="黑体" w:eastAsia="黑体" w:cs="黑体"/>
          <w:snapToGrid w:val="0"/>
          <w:kern w:val="0"/>
          <w:szCs w:val="21"/>
        </w:rPr>
        <w:t>（5）不符合</w:t>
      </w:r>
      <w:r>
        <w:rPr>
          <w:rFonts w:hint="eastAsia" w:ascii="黑体" w:hAnsi="黑体" w:eastAsia="黑体" w:cs="黑体"/>
          <w:snapToGrid w:val="0"/>
          <w:kern w:val="0"/>
          <w:szCs w:val="21"/>
          <w:lang w:eastAsia="zh-CN"/>
        </w:rPr>
        <w:t>法律法规</w:t>
      </w:r>
      <w:r>
        <w:rPr>
          <w:rFonts w:hint="eastAsia" w:ascii="黑体" w:hAnsi="黑体" w:eastAsia="黑体" w:cs="黑体"/>
          <w:snapToGrid w:val="0"/>
          <w:kern w:val="0"/>
          <w:szCs w:val="21"/>
        </w:rPr>
        <w:t>和磋商文件规定的其他实质性要求的。</w:t>
      </w:r>
    </w:p>
    <w:p w14:paraId="36D2C582">
      <w:pPr>
        <w:adjustRightInd w:val="0"/>
        <w:snapToGrid w:val="0"/>
        <w:spacing w:line="360" w:lineRule="auto"/>
        <w:ind w:firstLine="420" w:firstLineChars="200"/>
        <w:rPr>
          <w:rFonts w:hint="eastAsia" w:ascii="黑体" w:hAnsi="黑体" w:eastAsia="黑体" w:cs="黑体"/>
          <w:snapToGrid w:val="0"/>
          <w:kern w:val="0"/>
          <w:szCs w:val="21"/>
        </w:rPr>
      </w:pPr>
      <w:r>
        <w:rPr>
          <w:rFonts w:hint="eastAsia" w:ascii="黑体" w:hAnsi="黑体" w:eastAsia="黑体" w:cs="黑体"/>
          <w:snapToGrid w:val="0"/>
          <w:kern w:val="0"/>
          <w:szCs w:val="21"/>
        </w:rPr>
        <w:t>24.8在</w:t>
      </w:r>
      <w:r>
        <w:rPr>
          <w:rFonts w:hint="eastAsia" w:ascii="黑体" w:hAnsi="黑体" w:eastAsia="黑体" w:cs="黑体"/>
          <w:snapToGrid w:val="0"/>
          <w:kern w:val="0"/>
          <w:szCs w:val="21"/>
          <w:lang w:eastAsia="zh-CN"/>
        </w:rPr>
        <w:t>采购</w:t>
      </w:r>
      <w:r>
        <w:rPr>
          <w:rFonts w:hint="eastAsia" w:ascii="黑体" w:hAnsi="黑体" w:eastAsia="黑体" w:cs="黑体"/>
          <w:snapToGrid w:val="0"/>
          <w:kern w:val="0"/>
          <w:szCs w:val="21"/>
        </w:rPr>
        <w:t>中，出现下列情形之一的，应予流标：</w:t>
      </w:r>
    </w:p>
    <w:p w14:paraId="4EEFCE63">
      <w:pPr>
        <w:adjustRightInd w:val="0"/>
        <w:snapToGrid w:val="0"/>
        <w:spacing w:line="360" w:lineRule="auto"/>
        <w:ind w:firstLine="420" w:firstLineChars="200"/>
        <w:rPr>
          <w:rFonts w:hint="eastAsia" w:ascii="黑体" w:hAnsi="黑体" w:eastAsia="黑体" w:cs="黑体"/>
          <w:snapToGrid w:val="0"/>
          <w:kern w:val="0"/>
          <w:szCs w:val="21"/>
        </w:rPr>
      </w:pPr>
      <w:r>
        <w:rPr>
          <w:rFonts w:hint="eastAsia" w:ascii="黑体" w:hAnsi="黑体" w:eastAsia="黑体" w:cs="黑体"/>
          <w:snapToGrid w:val="0"/>
          <w:kern w:val="0"/>
          <w:szCs w:val="21"/>
        </w:rPr>
        <w:t>（1）符合专业条件的供应商或者对采购文件作实质响应的供应商不足三家且评委会认定剩余有效报价无市场竞争性的；</w:t>
      </w:r>
    </w:p>
    <w:p w14:paraId="60CD94B7">
      <w:pPr>
        <w:adjustRightInd w:val="0"/>
        <w:snapToGrid w:val="0"/>
        <w:spacing w:line="360" w:lineRule="auto"/>
        <w:ind w:firstLine="420" w:firstLineChars="200"/>
        <w:rPr>
          <w:rFonts w:hint="eastAsia" w:ascii="黑体" w:hAnsi="黑体" w:eastAsia="黑体" w:cs="黑体"/>
          <w:snapToGrid w:val="0"/>
          <w:kern w:val="0"/>
          <w:szCs w:val="21"/>
        </w:rPr>
      </w:pPr>
      <w:r>
        <w:rPr>
          <w:rFonts w:hint="eastAsia" w:ascii="黑体" w:hAnsi="黑体" w:eastAsia="黑体" w:cs="黑体"/>
          <w:snapToGrid w:val="0"/>
          <w:kern w:val="0"/>
          <w:szCs w:val="21"/>
        </w:rPr>
        <w:t>（2）出现影响采购公正的违法、违规行为的；</w:t>
      </w:r>
    </w:p>
    <w:p w14:paraId="49CF07C6">
      <w:pPr>
        <w:adjustRightInd w:val="0"/>
        <w:snapToGrid w:val="0"/>
        <w:spacing w:line="360" w:lineRule="auto"/>
        <w:ind w:firstLine="420" w:firstLineChars="200"/>
        <w:rPr>
          <w:rFonts w:hint="eastAsia" w:ascii="黑体" w:hAnsi="黑体" w:eastAsia="黑体" w:cs="黑体"/>
          <w:snapToGrid w:val="0"/>
          <w:kern w:val="0"/>
          <w:szCs w:val="21"/>
        </w:rPr>
      </w:pPr>
      <w:r>
        <w:rPr>
          <w:rFonts w:hint="eastAsia" w:ascii="黑体" w:hAnsi="黑体" w:eastAsia="黑体" w:cs="黑体"/>
          <w:snapToGrid w:val="0"/>
          <w:kern w:val="0"/>
          <w:szCs w:val="21"/>
        </w:rPr>
        <w:t>（3）供应商的报价均超过了采购预算，采购人不能支付的；</w:t>
      </w:r>
    </w:p>
    <w:p w14:paraId="266A01DC">
      <w:pPr>
        <w:adjustRightInd w:val="0"/>
        <w:snapToGrid w:val="0"/>
        <w:spacing w:line="360" w:lineRule="auto"/>
        <w:ind w:firstLine="420" w:firstLineChars="200"/>
        <w:rPr>
          <w:rFonts w:hint="eastAsia" w:ascii="黑体" w:hAnsi="黑体" w:eastAsia="黑体" w:cs="黑体"/>
          <w:snapToGrid w:val="0"/>
          <w:kern w:val="0"/>
          <w:szCs w:val="21"/>
        </w:rPr>
      </w:pPr>
      <w:r>
        <w:rPr>
          <w:rFonts w:hint="eastAsia" w:ascii="黑体" w:hAnsi="黑体" w:eastAsia="黑体" w:cs="黑体"/>
          <w:snapToGrid w:val="0"/>
          <w:kern w:val="0"/>
          <w:szCs w:val="21"/>
        </w:rPr>
        <w:t>（4）因重大变故，采购任务取消的。</w:t>
      </w:r>
    </w:p>
    <w:p w14:paraId="4BD620F9">
      <w:pPr>
        <w:adjustRightInd w:val="0"/>
        <w:snapToGrid w:val="0"/>
        <w:spacing w:line="360" w:lineRule="auto"/>
        <w:ind w:firstLine="420" w:firstLineChars="200"/>
        <w:rPr>
          <w:rFonts w:hint="eastAsia" w:ascii="黑体" w:hAnsi="黑体" w:eastAsia="黑体" w:cs="黑体"/>
          <w:snapToGrid w:val="0"/>
          <w:kern w:val="0"/>
          <w:szCs w:val="21"/>
        </w:rPr>
      </w:pPr>
      <w:r>
        <w:rPr>
          <w:rFonts w:hint="eastAsia" w:ascii="黑体" w:hAnsi="黑体" w:eastAsia="黑体" w:cs="黑体"/>
          <w:snapToGrid w:val="0"/>
          <w:kern w:val="0"/>
          <w:szCs w:val="21"/>
        </w:rPr>
        <w:t>流标后，采购人应当将流标理由通知所有供应商。</w:t>
      </w:r>
    </w:p>
    <w:p w14:paraId="70BBD84E">
      <w:pPr>
        <w:pStyle w:val="5"/>
        <w:ind w:left="0" w:firstLine="0"/>
        <w:rPr>
          <w:rFonts w:hint="eastAsia"/>
          <w:snapToGrid w:val="0"/>
        </w:rPr>
      </w:pPr>
      <w:bookmarkStart w:id="205" w:name="_Toc462045825"/>
      <w:bookmarkStart w:id="206" w:name="_Toc463776839"/>
      <w:bookmarkStart w:id="207" w:name="_Toc507142112"/>
      <w:r>
        <w:rPr>
          <w:rFonts w:hint="eastAsia"/>
          <w:snapToGrid w:val="0"/>
        </w:rPr>
        <w:t>25.磋商过程及磋商响应文件的澄清</w:t>
      </w:r>
      <w:bookmarkEnd w:id="205"/>
      <w:bookmarkEnd w:id="206"/>
      <w:bookmarkEnd w:id="207"/>
    </w:p>
    <w:p w14:paraId="71661F18">
      <w:pPr>
        <w:adjustRightInd w:val="0"/>
        <w:snapToGrid w:val="0"/>
        <w:spacing w:line="360" w:lineRule="auto"/>
        <w:ind w:firstLine="420" w:firstLineChars="200"/>
        <w:rPr>
          <w:rFonts w:hint="eastAsia" w:ascii="黑体" w:hAnsi="黑体" w:eastAsia="黑体" w:cs="黑体"/>
          <w:snapToGrid w:val="0"/>
          <w:kern w:val="0"/>
          <w:szCs w:val="21"/>
        </w:rPr>
      </w:pPr>
      <w:r>
        <w:rPr>
          <w:rFonts w:hint="eastAsia" w:ascii="黑体" w:hAnsi="黑体" w:eastAsia="黑体" w:cs="黑体"/>
          <w:bCs/>
          <w:snapToGrid w:val="0"/>
          <w:kern w:val="0"/>
          <w:szCs w:val="21"/>
        </w:rPr>
        <w:t>25.1</w:t>
      </w:r>
      <w:r>
        <w:rPr>
          <w:rFonts w:hint="eastAsia" w:ascii="黑体" w:hAnsi="黑体" w:eastAsia="黑体" w:cs="黑体"/>
          <w:snapToGrid w:val="0"/>
          <w:kern w:val="0"/>
          <w:szCs w:val="21"/>
        </w:rPr>
        <w:t>磋商小组将对确定为实质性响应本磋商文件的磋商响应文件进行详细评价和比较，并与认为需要澄清的磋商供应商进行澄清，然后与通过初审的磋商供应商就本项目需求的价格、服务、质量、性能等与磋商供应商逐一进行磋商。磋商中，磋商文件有实质性变动的，磋商小组将以书面形式通知所有参加磋商的供应商。磋商结束后，磋商小组将要求所有磋商供应商在规定的时间内就磋商达成的最终条款进行书面承诺并进行最后报价，磋商供应商的最终报价及磋商书面承诺文件将被视为确定成交的最终依据。磋商供应商不得通过修改或撤销不合要求的偏离或保留而使其递交的磋商文件成为实质性响应。</w:t>
      </w:r>
    </w:p>
    <w:p w14:paraId="75C3D82C">
      <w:pPr>
        <w:adjustRightInd w:val="0"/>
        <w:snapToGrid w:val="0"/>
        <w:spacing w:line="360" w:lineRule="auto"/>
        <w:ind w:firstLine="420" w:firstLineChars="200"/>
        <w:rPr>
          <w:rFonts w:hint="eastAsia" w:ascii="黑体" w:hAnsi="黑体" w:eastAsia="黑体" w:cs="黑体"/>
          <w:snapToGrid w:val="0"/>
          <w:kern w:val="0"/>
          <w:szCs w:val="21"/>
        </w:rPr>
      </w:pPr>
      <w:r>
        <w:rPr>
          <w:rFonts w:hint="eastAsia" w:ascii="黑体" w:hAnsi="黑体" w:eastAsia="黑体" w:cs="黑体"/>
          <w:bCs/>
          <w:snapToGrid w:val="0"/>
          <w:kern w:val="0"/>
          <w:szCs w:val="21"/>
        </w:rPr>
        <w:t>25.2</w:t>
      </w:r>
      <w:r>
        <w:rPr>
          <w:rFonts w:hint="eastAsia" w:ascii="黑体" w:hAnsi="黑体" w:eastAsia="黑体" w:cs="黑体"/>
          <w:snapToGrid w:val="0"/>
          <w:kern w:val="0"/>
          <w:szCs w:val="21"/>
        </w:rPr>
        <w:t>接到磋商小组澄清要求的磋商供应商，应派人按磋商小组通知的时间和地点做出书面承诺，书面承诺的内容须由磋商供应商法定代表人或授权代表签署，并作为磋商响应文件的补充部分。</w:t>
      </w:r>
    </w:p>
    <w:p w14:paraId="754904F2">
      <w:pPr>
        <w:adjustRightInd w:val="0"/>
        <w:snapToGrid w:val="0"/>
        <w:spacing w:line="360" w:lineRule="auto"/>
        <w:ind w:firstLine="420" w:firstLineChars="200"/>
        <w:rPr>
          <w:rFonts w:hint="eastAsia" w:ascii="黑体" w:hAnsi="黑体" w:eastAsia="黑体" w:cs="黑体"/>
          <w:snapToGrid w:val="0"/>
          <w:kern w:val="0"/>
          <w:szCs w:val="21"/>
        </w:rPr>
      </w:pPr>
      <w:r>
        <w:rPr>
          <w:rFonts w:hint="eastAsia" w:ascii="黑体" w:hAnsi="黑体" w:eastAsia="黑体" w:cs="黑体"/>
          <w:bCs/>
          <w:snapToGrid w:val="0"/>
          <w:kern w:val="0"/>
          <w:szCs w:val="21"/>
        </w:rPr>
        <w:t>25.3</w:t>
      </w:r>
      <w:r>
        <w:rPr>
          <w:rFonts w:hint="eastAsia" w:ascii="黑体" w:hAnsi="黑体" w:eastAsia="黑体" w:cs="黑体"/>
          <w:snapToGrid w:val="0"/>
          <w:kern w:val="0"/>
          <w:szCs w:val="21"/>
        </w:rPr>
        <w:t>接到磋商小组澄清要求的磋商供应商如未按第23.2条的规定做出澄清，其风险由磋商供应商自行承担。</w:t>
      </w:r>
    </w:p>
    <w:p w14:paraId="0D4FA696">
      <w:pPr>
        <w:pStyle w:val="5"/>
        <w:ind w:left="0" w:firstLine="0"/>
        <w:rPr>
          <w:rFonts w:hint="eastAsia"/>
          <w:snapToGrid w:val="0"/>
        </w:rPr>
      </w:pPr>
      <w:bookmarkStart w:id="208" w:name="_Toc462045826"/>
      <w:bookmarkStart w:id="209" w:name="_Toc463776840"/>
      <w:bookmarkStart w:id="210" w:name="_Toc507142113"/>
      <w:r>
        <w:rPr>
          <w:rFonts w:hint="eastAsia"/>
          <w:snapToGrid w:val="0"/>
        </w:rPr>
        <w:t>26．磋商文件的评价和比较</w:t>
      </w:r>
      <w:bookmarkEnd w:id="208"/>
      <w:bookmarkEnd w:id="209"/>
      <w:bookmarkEnd w:id="210"/>
    </w:p>
    <w:p w14:paraId="43B686E8">
      <w:pPr>
        <w:adjustRightInd w:val="0"/>
        <w:snapToGrid w:val="0"/>
        <w:spacing w:line="360" w:lineRule="auto"/>
        <w:ind w:firstLine="420" w:firstLineChars="200"/>
        <w:rPr>
          <w:rFonts w:hint="eastAsia" w:ascii="黑体" w:hAnsi="黑体" w:eastAsia="黑体" w:cs="黑体"/>
          <w:b/>
          <w:snapToGrid w:val="0"/>
          <w:kern w:val="0"/>
          <w:szCs w:val="21"/>
        </w:rPr>
      </w:pPr>
      <w:r>
        <w:rPr>
          <w:rFonts w:hint="eastAsia" w:ascii="黑体" w:hAnsi="黑体" w:eastAsia="黑体" w:cs="黑体"/>
          <w:snapToGrid w:val="0"/>
          <w:kern w:val="0"/>
          <w:szCs w:val="21"/>
        </w:rPr>
        <w:t>26.1</w:t>
      </w:r>
      <w:r>
        <w:rPr>
          <w:rFonts w:hint="eastAsia" w:ascii="黑体" w:hAnsi="黑体" w:eastAsia="黑体" w:cs="黑体"/>
          <w:bCs/>
          <w:snapToGrid w:val="0"/>
          <w:kern w:val="0"/>
          <w:szCs w:val="21"/>
        </w:rPr>
        <w:t>磋商小组</w:t>
      </w:r>
      <w:r>
        <w:rPr>
          <w:rFonts w:hint="eastAsia" w:ascii="黑体" w:hAnsi="黑体" w:eastAsia="黑体" w:cs="黑体"/>
          <w:snapToGrid w:val="0"/>
          <w:kern w:val="0"/>
          <w:szCs w:val="21"/>
        </w:rPr>
        <w:t>所有成员与每一家供应商分别进行磋商，明确采购需求之后要求所有供应商提供最终报价，然后按照磋商文件规定的各项评审因素进行量化指标评审，按照得分由高到</w:t>
      </w:r>
      <w:r>
        <w:rPr>
          <w:rFonts w:hint="eastAsia" w:ascii="黑体" w:hAnsi="黑体" w:eastAsia="黑体" w:cs="黑体"/>
          <w:snapToGrid w:val="0"/>
          <w:kern w:val="0"/>
          <w:szCs w:val="21"/>
          <w:lang w:eastAsia="zh-CN"/>
        </w:rPr>
        <w:t>低</w:t>
      </w:r>
      <w:r>
        <w:rPr>
          <w:rFonts w:hint="eastAsia" w:ascii="黑体" w:hAnsi="黑体" w:eastAsia="黑体" w:cs="黑体"/>
          <w:snapToGrid w:val="0"/>
          <w:kern w:val="0"/>
          <w:szCs w:val="21"/>
        </w:rPr>
        <w:t>排序的原则确定成交候选供应商。</w:t>
      </w:r>
    </w:p>
    <w:p w14:paraId="4C6257E2">
      <w:pPr>
        <w:adjustRightInd w:val="0"/>
        <w:snapToGrid w:val="0"/>
        <w:spacing w:line="360" w:lineRule="auto"/>
        <w:ind w:firstLine="420" w:firstLineChars="200"/>
        <w:rPr>
          <w:rFonts w:hint="eastAsia" w:ascii="黑体" w:hAnsi="黑体" w:eastAsia="黑体" w:cs="黑体"/>
          <w:snapToGrid w:val="0"/>
          <w:kern w:val="0"/>
          <w:szCs w:val="21"/>
        </w:rPr>
      </w:pPr>
      <w:r>
        <w:rPr>
          <w:rFonts w:hint="eastAsia" w:ascii="黑体" w:hAnsi="黑体" w:eastAsia="黑体" w:cs="黑体"/>
          <w:bCs/>
          <w:snapToGrid w:val="0"/>
          <w:kern w:val="0"/>
          <w:szCs w:val="21"/>
        </w:rPr>
        <w:t>26.2</w:t>
      </w:r>
      <w:r>
        <w:rPr>
          <w:rFonts w:hint="eastAsia" w:ascii="黑体" w:hAnsi="黑体" w:eastAsia="黑体" w:cs="黑体"/>
          <w:snapToGrid w:val="0"/>
          <w:kern w:val="0"/>
          <w:szCs w:val="21"/>
        </w:rPr>
        <w:t>竞争性磋商确定的最后价格及服务等仍不能满足采购人的要求，江苏国衡工程咨询有限公司将保留最终放弃本次磋商的权利。</w:t>
      </w:r>
    </w:p>
    <w:p w14:paraId="73D25EA0">
      <w:pPr>
        <w:pStyle w:val="5"/>
        <w:ind w:left="0" w:firstLine="0"/>
        <w:rPr>
          <w:rFonts w:hint="eastAsia"/>
          <w:snapToGrid w:val="0"/>
        </w:rPr>
      </w:pPr>
      <w:r>
        <w:rPr>
          <w:rFonts w:hint="eastAsia"/>
          <w:snapToGrid w:val="0"/>
        </w:rPr>
        <w:t xml:space="preserve">27.违法行为 </w:t>
      </w:r>
    </w:p>
    <w:p w14:paraId="6885250C">
      <w:pPr>
        <w:adjustRightInd w:val="0"/>
        <w:snapToGrid w:val="0"/>
        <w:spacing w:line="360" w:lineRule="auto"/>
        <w:ind w:firstLine="420" w:firstLineChars="200"/>
        <w:rPr>
          <w:rFonts w:hint="eastAsia" w:ascii="黑体" w:hAnsi="黑体" w:eastAsia="黑体" w:cs="黑体"/>
          <w:snapToGrid w:val="0"/>
          <w:kern w:val="0"/>
          <w:szCs w:val="21"/>
        </w:rPr>
      </w:pPr>
      <w:r>
        <w:rPr>
          <w:rFonts w:hint="eastAsia" w:ascii="黑体" w:hAnsi="黑体" w:eastAsia="黑体" w:cs="黑体"/>
          <w:snapToGrid w:val="0"/>
          <w:kern w:val="0"/>
          <w:szCs w:val="21"/>
        </w:rPr>
        <w:t xml:space="preserve">27.1供应商不得与采购人、采购代理机构恶意串通；不得向采购人、采购代理机构或者评标委员会成员行贿或者提供其他不正当利益；不得提供虚假材料谋取中标；不得以任何方式干扰、影响采购工作。供应商违反政府采购法律法规相关规定的，依法追究法律责任。 </w:t>
      </w:r>
    </w:p>
    <w:p w14:paraId="56EB2030">
      <w:pPr>
        <w:adjustRightInd w:val="0"/>
        <w:snapToGrid w:val="0"/>
        <w:spacing w:line="360" w:lineRule="auto"/>
        <w:ind w:firstLine="420" w:firstLineChars="200"/>
        <w:rPr>
          <w:rFonts w:hint="eastAsia" w:ascii="黑体" w:hAnsi="黑体" w:eastAsia="黑体" w:cs="黑体"/>
          <w:snapToGrid w:val="0"/>
          <w:kern w:val="0"/>
          <w:szCs w:val="21"/>
        </w:rPr>
      </w:pPr>
      <w:r>
        <w:rPr>
          <w:rFonts w:hint="eastAsia" w:ascii="黑体" w:hAnsi="黑体" w:eastAsia="黑体" w:cs="黑体"/>
          <w:snapToGrid w:val="0"/>
          <w:kern w:val="0"/>
          <w:szCs w:val="21"/>
        </w:rPr>
        <w:t xml:space="preserve">27.2供应商应当遵循公平竞争的原则，不得恶意串通，不得妨碍其他供应商的竞争行为，不得损害采购人或者其他供应商的合法权益。 </w:t>
      </w:r>
    </w:p>
    <w:p w14:paraId="153EC1AF">
      <w:pPr>
        <w:adjustRightInd w:val="0"/>
        <w:snapToGrid w:val="0"/>
        <w:spacing w:line="360" w:lineRule="auto"/>
        <w:ind w:firstLine="420" w:firstLineChars="200"/>
        <w:rPr>
          <w:rFonts w:hint="eastAsia" w:ascii="黑体" w:hAnsi="黑体" w:eastAsia="黑体" w:cs="黑体"/>
          <w:snapToGrid w:val="0"/>
          <w:kern w:val="0"/>
          <w:szCs w:val="21"/>
        </w:rPr>
      </w:pPr>
      <w:r>
        <w:rPr>
          <w:rFonts w:hint="eastAsia" w:ascii="黑体" w:hAnsi="黑体" w:eastAsia="黑体" w:cs="黑体"/>
          <w:snapToGrid w:val="0"/>
          <w:kern w:val="0"/>
          <w:szCs w:val="21"/>
        </w:rPr>
        <w:t xml:space="preserve">有下列情形之一的，视为供应商串通投标，其响应文件无效： </w:t>
      </w:r>
    </w:p>
    <w:p w14:paraId="23990DCC">
      <w:pPr>
        <w:numPr>
          <w:ilvl w:val="0"/>
          <w:numId w:val="2"/>
        </w:numPr>
        <w:adjustRightInd w:val="0"/>
        <w:snapToGrid w:val="0"/>
        <w:spacing w:line="360" w:lineRule="auto"/>
        <w:ind w:firstLine="420" w:firstLineChars="200"/>
        <w:rPr>
          <w:rFonts w:hint="eastAsia" w:ascii="黑体" w:hAnsi="黑体" w:eastAsia="黑体" w:cs="黑体"/>
          <w:snapToGrid w:val="0"/>
          <w:kern w:val="0"/>
          <w:szCs w:val="21"/>
        </w:rPr>
      </w:pPr>
      <w:r>
        <w:rPr>
          <w:rFonts w:hint="eastAsia" w:ascii="黑体" w:hAnsi="黑体" w:eastAsia="黑体" w:cs="黑体"/>
          <w:snapToGrid w:val="0"/>
          <w:kern w:val="0"/>
          <w:szCs w:val="21"/>
        </w:rPr>
        <w:t xml:space="preserve">不同供应商的响应文件由同一单位或者个人编制；  </w:t>
      </w:r>
    </w:p>
    <w:p w14:paraId="41B31FEE">
      <w:pPr>
        <w:numPr>
          <w:ilvl w:val="0"/>
          <w:numId w:val="2"/>
        </w:numPr>
        <w:adjustRightInd w:val="0"/>
        <w:snapToGrid w:val="0"/>
        <w:spacing w:line="360" w:lineRule="auto"/>
        <w:ind w:firstLine="420" w:firstLineChars="200"/>
        <w:rPr>
          <w:rFonts w:hint="eastAsia" w:ascii="黑体" w:hAnsi="黑体" w:eastAsia="黑体" w:cs="黑体"/>
          <w:snapToGrid w:val="0"/>
          <w:kern w:val="0"/>
          <w:szCs w:val="21"/>
        </w:rPr>
      </w:pPr>
      <w:r>
        <w:rPr>
          <w:rFonts w:hint="eastAsia" w:ascii="黑体" w:hAnsi="黑体" w:eastAsia="黑体" w:cs="黑体"/>
          <w:snapToGrid w:val="0"/>
          <w:kern w:val="0"/>
          <w:szCs w:val="21"/>
        </w:rPr>
        <w:t xml:space="preserve">不同供应商委托同一单位或者个人办理投标事宜； </w:t>
      </w:r>
    </w:p>
    <w:p w14:paraId="0FDCB89E">
      <w:pPr>
        <w:numPr>
          <w:ilvl w:val="0"/>
          <w:numId w:val="2"/>
        </w:numPr>
        <w:adjustRightInd w:val="0"/>
        <w:snapToGrid w:val="0"/>
        <w:spacing w:line="360" w:lineRule="auto"/>
        <w:ind w:firstLine="420" w:firstLineChars="200"/>
        <w:rPr>
          <w:rFonts w:hint="eastAsia" w:ascii="黑体" w:hAnsi="黑体" w:eastAsia="黑体" w:cs="黑体"/>
          <w:snapToGrid w:val="0"/>
          <w:kern w:val="0"/>
          <w:szCs w:val="21"/>
        </w:rPr>
      </w:pPr>
      <w:r>
        <w:rPr>
          <w:rFonts w:hint="eastAsia" w:ascii="黑体" w:hAnsi="黑体" w:eastAsia="黑体" w:cs="黑体"/>
          <w:snapToGrid w:val="0"/>
          <w:kern w:val="0"/>
          <w:szCs w:val="21"/>
        </w:rPr>
        <w:t>不同供应商的响应文件载明的项目管理成员或者联系人员为同一人；</w:t>
      </w:r>
    </w:p>
    <w:p w14:paraId="21A33FFF">
      <w:pPr>
        <w:numPr>
          <w:ilvl w:val="0"/>
          <w:numId w:val="2"/>
        </w:numPr>
        <w:adjustRightInd w:val="0"/>
        <w:snapToGrid w:val="0"/>
        <w:spacing w:line="360" w:lineRule="auto"/>
        <w:ind w:firstLine="420" w:firstLineChars="200"/>
        <w:rPr>
          <w:rFonts w:hint="eastAsia" w:ascii="黑体" w:hAnsi="黑体" w:eastAsia="黑体" w:cs="黑体"/>
          <w:snapToGrid w:val="0"/>
          <w:kern w:val="0"/>
          <w:szCs w:val="21"/>
        </w:rPr>
      </w:pPr>
      <w:r>
        <w:rPr>
          <w:rFonts w:hint="eastAsia" w:ascii="黑体" w:hAnsi="黑体" w:eastAsia="黑体" w:cs="黑体"/>
          <w:snapToGrid w:val="0"/>
          <w:kern w:val="0"/>
          <w:szCs w:val="21"/>
        </w:rPr>
        <w:t>不同供应商的响应文件异常一致或者投标报价呈规律性差异；</w:t>
      </w:r>
    </w:p>
    <w:p w14:paraId="0EDACEC4">
      <w:pPr>
        <w:numPr>
          <w:ilvl w:val="0"/>
          <w:numId w:val="2"/>
        </w:numPr>
        <w:adjustRightInd w:val="0"/>
        <w:snapToGrid w:val="0"/>
        <w:spacing w:line="360" w:lineRule="auto"/>
        <w:ind w:firstLine="420" w:firstLineChars="200"/>
        <w:rPr>
          <w:rFonts w:hint="eastAsia" w:ascii="黑体" w:hAnsi="黑体" w:eastAsia="黑体" w:cs="黑体"/>
          <w:snapToGrid w:val="0"/>
          <w:kern w:val="0"/>
          <w:szCs w:val="21"/>
        </w:rPr>
      </w:pPr>
      <w:r>
        <w:rPr>
          <w:rFonts w:hint="eastAsia" w:ascii="黑体" w:hAnsi="黑体" w:eastAsia="黑体" w:cs="黑体"/>
          <w:snapToGrid w:val="0"/>
          <w:kern w:val="0"/>
          <w:szCs w:val="21"/>
        </w:rPr>
        <w:t xml:space="preserve">不同供应商的响应文件相互混装； </w:t>
      </w:r>
    </w:p>
    <w:p w14:paraId="7B3AE05C">
      <w:pPr>
        <w:numPr>
          <w:ilvl w:val="0"/>
          <w:numId w:val="2"/>
        </w:numPr>
        <w:adjustRightInd w:val="0"/>
        <w:snapToGrid w:val="0"/>
        <w:spacing w:line="360" w:lineRule="auto"/>
        <w:ind w:firstLine="420" w:firstLineChars="200"/>
        <w:rPr>
          <w:rFonts w:hint="eastAsia" w:ascii="黑体" w:hAnsi="黑体" w:eastAsia="黑体" w:cs="黑体"/>
          <w:snapToGrid w:val="0"/>
          <w:kern w:val="0"/>
          <w:szCs w:val="21"/>
        </w:rPr>
      </w:pPr>
      <w:r>
        <w:rPr>
          <w:rFonts w:hint="eastAsia" w:ascii="黑体" w:hAnsi="黑体" w:eastAsia="黑体" w:cs="黑体"/>
          <w:snapToGrid w:val="0"/>
          <w:kern w:val="0"/>
          <w:szCs w:val="21"/>
        </w:rPr>
        <w:t>不同供应商的磋商保证金从同一单位或者个人的账户转出（不适用）。</w:t>
      </w:r>
    </w:p>
    <w:p w14:paraId="1CBE1B3E">
      <w:pPr>
        <w:adjustRightInd w:val="0"/>
        <w:snapToGrid w:val="0"/>
        <w:spacing w:line="360" w:lineRule="auto"/>
        <w:ind w:firstLine="420" w:firstLineChars="200"/>
        <w:rPr>
          <w:rFonts w:hint="eastAsia" w:ascii="黑体" w:hAnsi="黑体" w:eastAsia="黑体" w:cs="黑体"/>
          <w:snapToGrid w:val="0"/>
          <w:kern w:val="0"/>
          <w:szCs w:val="21"/>
        </w:rPr>
      </w:pPr>
      <w:r>
        <w:rPr>
          <w:rFonts w:hint="eastAsia" w:ascii="黑体" w:hAnsi="黑体" w:eastAsia="黑体" w:cs="黑体"/>
          <w:snapToGrid w:val="0"/>
          <w:kern w:val="0"/>
          <w:szCs w:val="21"/>
        </w:rPr>
        <w:t>27.3</w:t>
      </w:r>
      <w:bookmarkStart w:id="211" w:name="bookmark3"/>
      <w:bookmarkStart w:id="212" w:name="bookmark4"/>
      <w:bookmarkStart w:id="213" w:name="bookmark5"/>
      <w:r>
        <w:rPr>
          <w:rFonts w:hint="eastAsia" w:ascii="黑体" w:hAnsi="黑体" w:eastAsia="黑体" w:cs="黑体"/>
          <w:snapToGrid w:val="0"/>
          <w:kern w:val="0"/>
          <w:szCs w:val="21"/>
        </w:rPr>
        <w:t>根据南京市《关于在政府采购活动中推行信用承诺制的通知</w:t>
      </w:r>
      <w:bookmarkEnd w:id="211"/>
      <w:bookmarkEnd w:id="212"/>
      <w:bookmarkEnd w:id="213"/>
      <w:r>
        <w:rPr>
          <w:rFonts w:hint="eastAsia" w:ascii="黑体" w:hAnsi="黑体" w:eastAsia="黑体" w:cs="黑体"/>
          <w:snapToGrid w:val="0"/>
          <w:kern w:val="0"/>
          <w:szCs w:val="21"/>
        </w:rPr>
        <w:t>》（宁财购通〔 2021〕5号），政府</w:t>
      </w:r>
      <w:r>
        <w:rPr>
          <w:rFonts w:hint="eastAsia" w:ascii="黑体" w:hAnsi="黑体" w:eastAsia="黑体" w:cs="黑体"/>
          <w:snapToGrid w:val="0"/>
          <w:kern w:val="0"/>
          <w:szCs w:val="21"/>
          <w:lang w:eastAsia="zh-CN"/>
        </w:rPr>
        <w:t>采购</w:t>
      </w:r>
      <w:r>
        <w:rPr>
          <w:rFonts w:hint="eastAsia" w:ascii="黑体" w:hAnsi="黑体" w:eastAsia="黑体" w:cs="黑体"/>
          <w:snapToGrid w:val="0"/>
          <w:kern w:val="0"/>
          <w:szCs w:val="21"/>
        </w:rPr>
        <w:t>供应商应当以书面形式向政府采购监管部门、</w:t>
      </w:r>
      <w:r>
        <w:rPr>
          <w:rFonts w:hint="eastAsia" w:ascii="黑体" w:hAnsi="黑体" w:eastAsia="黑体" w:cs="黑体"/>
          <w:snapToGrid w:val="0"/>
          <w:kern w:val="0"/>
          <w:szCs w:val="21"/>
          <w:lang w:eastAsia="zh-CN"/>
        </w:rPr>
        <w:t>采购</w:t>
      </w:r>
      <w:r>
        <w:rPr>
          <w:rFonts w:hint="eastAsia" w:ascii="黑体" w:hAnsi="黑体" w:eastAsia="黑体" w:cs="黑体"/>
          <w:snapToGrid w:val="0"/>
          <w:kern w:val="0"/>
          <w:szCs w:val="21"/>
        </w:rPr>
        <w:t>人或政府</w:t>
      </w:r>
      <w:r>
        <w:rPr>
          <w:rFonts w:hint="eastAsia" w:ascii="黑体" w:hAnsi="黑体" w:eastAsia="黑体" w:cs="黑体"/>
          <w:snapToGrid w:val="0"/>
          <w:kern w:val="0"/>
          <w:szCs w:val="21"/>
          <w:lang w:eastAsia="zh-CN"/>
        </w:rPr>
        <w:t>采购</w:t>
      </w:r>
      <w:r>
        <w:rPr>
          <w:rFonts w:hint="eastAsia" w:ascii="黑体" w:hAnsi="黑体" w:eastAsia="黑体" w:cs="黑体"/>
          <w:snapToGrid w:val="0"/>
          <w:kern w:val="0"/>
          <w:szCs w:val="21"/>
        </w:rPr>
        <w:t>代理机构作出信用承诺，供应商对信用承诺内容的真实性、合法性、有效性负责。如作出虚假信用承诺，视同为</w:t>
      </w:r>
      <w:r>
        <w:rPr>
          <w:rFonts w:hint="eastAsia" w:ascii="黑体" w:hAnsi="黑体" w:eastAsia="黑体" w:cs="黑体"/>
          <w:snapToGrid w:val="0"/>
          <w:kern w:val="0"/>
          <w:szCs w:val="21"/>
          <w:lang w:val="zh-CN"/>
        </w:rPr>
        <w:t>“提供</w:t>
      </w:r>
      <w:r>
        <w:rPr>
          <w:rFonts w:hint="eastAsia" w:ascii="黑体" w:hAnsi="黑体" w:eastAsia="黑体" w:cs="黑体"/>
          <w:snapToGrid w:val="0"/>
          <w:kern w:val="0"/>
          <w:szCs w:val="21"/>
        </w:rPr>
        <w:t>虚假材料谋取中标、成交”的 违法行为。经调查核实后，按照《</w:t>
      </w:r>
      <w:r>
        <w:rPr>
          <w:rFonts w:hint="eastAsia" w:ascii="黑体" w:hAnsi="黑体" w:eastAsia="黑体" w:cs="黑体"/>
          <w:snapToGrid w:val="0"/>
          <w:kern w:val="0"/>
          <w:szCs w:val="21"/>
          <w:lang w:val="en-US" w:eastAsia="zh-CN"/>
        </w:rPr>
        <w:t>中华人民共和国</w:t>
      </w:r>
      <w:r>
        <w:rPr>
          <w:rFonts w:hint="eastAsia" w:ascii="黑体" w:hAnsi="黑体" w:eastAsia="黑体" w:cs="黑体"/>
          <w:snapToGrid w:val="0"/>
          <w:kern w:val="0"/>
          <w:szCs w:val="21"/>
        </w:rPr>
        <w:t>政府采购法》第七十七条规定， 处以采购金额千分之五以上千分之十以下的罚款，列入不良行为记录名单，在一至三年内禁止参加政府</w:t>
      </w:r>
      <w:r>
        <w:rPr>
          <w:rFonts w:hint="eastAsia" w:ascii="黑体" w:hAnsi="黑体" w:eastAsia="黑体" w:cs="黑体"/>
          <w:snapToGrid w:val="0"/>
          <w:kern w:val="0"/>
          <w:szCs w:val="21"/>
          <w:lang w:eastAsia="zh-CN"/>
        </w:rPr>
        <w:t>采购</w:t>
      </w:r>
      <w:r>
        <w:rPr>
          <w:rFonts w:hint="eastAsia" w:ascii="黑体" w:hAnsi="黑体" w:eastAsia="黑体" w:cs="黑体"/>
          <w:snapToGrid w:val="0"/>
          <w:kern w:val="0"/>
          <w:szCs w:val="21"/>
        </w:rPr>
        <w:t>活动；有违法所得的, 并处没收违法所得，情节严重的，由市场监管部门吊销营业执照; 构成犯罪的，依法追究刑事责任。</w:t>
      </w:r>
    </w:p>
    <w:p w14:paraId="4427C9B4">
      <w:pPr>
        <w:pStyle w:val="5"/>
        <w:ind w:left="0" w:firstLine="0"/>
        <w:rPr>
          <w:rFonts w:hint="eastAsia"/>
          <w:snapToGrid w:val="0"/>
        </w:rPr>
      </w:pPr>
      <w:bookmarkStart w:id="214" w:name="_Toc462045827"/>
      <w:bookmarkStart w:id="215" w:name="_Toc463776841"/>
      <w:bookmarkStart w:id="216" w:name="_Toc446055556"/>
      <w:bookmarkStart w:id="217" w:name="_Toc507142114"/>
      <w:bookmarkStart w:id="218" w:name="_Toc387393280"/>
      <w:bookmarkStart w:id="219" w:name="_Toc447008985"/>
      <w:bookmarkStart w:id="220" w:name="_Toc387223078"/>
      <w:r>
        <w:rPr>
          <w:rFonts w:hint="eastAsia"/>
          <w:snapToGrid w:val="0"/>
        </w:rPr>
        <w:t>28.与采购代理机构的联系</w:t>
      </w:r>
      <w:bookmarkEnd w:id="214"/>
      <w:bookmarkEnd w:id="215"/>
      <w:bookmarkEnd w:id="216"/>
      <w:bookmarkEnd w:id="217"/>
      <w:bookmarkEnd w:id="218"/>
      <w:bookmarkEnd w:id="219"/>
      <w:bookmarkEnd w:id="220"/>
    </w:p>
    <w:p w14:paraId="4571D05D">
      <w:pPr>
        <w:adjustRightInd w:val="0"/>
        <w:snapToGrid w:val="0"/>
        <w:spacing w:line="360" w:lineRule="auto"/>
        <w:ind w:firstLine="420" w:firstLineChars="200"/>
        <w:rPr>
          <w:rFonts w:hint="eastAsia" w:ascii="黑体" w:hAnsi="黑体" w:eastAsia="黑体" w:cs="黑体"/>
          <w:snapToGrid w:val="0"/>
          <w:kern w:val="0"/>
          <w:szCs w:val="21"/>
        </w:rPr>
      </w:pPr>
      <w:r>
        <w:rPr>
          <w:rFonts w:hint="eastAsia" w:ascii="黑体" w:hAnsi="黑体" w:eastAsia="黑体" w:cs="黑体"/>
          <w:snapToGrid w:val="0"/>
          <w:kern w:val="0"/>
          <w:szCs w:val="21"/>
        </w:rPr>
        <w:t>除第19项的情况外，供应商企图影响评标的任何活动，并经竞争性磋商采购小组确认，都将导致其磋商采购响应文件被拒绝考虑。</w:t>
      </w:r>
    </w:p>
    <w:p w14:paraId="3A534EAF">
      <w:pPr>
        <w:pStyle w:val="5"/>
        <w:ind w:left="0" w:firstLine="0"/>
        <w:rPr>
          <w:rFonts w:hint="eastAsia"/>
          <w:snapToGrid w:val="0"/>
        </w:rPr>
      </w:pPr>
      <w:bookmarkStart w:id="221" w:name="_Toc387223079"/>
      <w:bookmarkStart w:id="222" w:name="_Toc387393281"/>
      <w:bookmarkStart w:id="223" w:name="_Toc446055557"/>
      <w:bookmarkStart w:id="224" w:name="_Toc462045828"/>
      <w:bookmarkStart w:id="225" w:name="_Toc447008986"/>
      <w:bookmarkStart w:id="226" w:name="_Toc507142115"/>
      <w:bookmarkStart w:id="227" w:name="_Toc463776842"/>
      <w:r>
        <w:rPr>
          <w:rFonts w:hint="eastAsia"/>
          <w:snapToGrid w:val="0"/>
        </w:rPr>
        <w:t>29.最后审定</w:t>
      </w:r>
      <w:bookmarkEnd w:id="221"/>
      <w:bookmarkEnd w:id="222"/>
      <w:bookmarkEnd w:id="223"/>
      <w:bookmarkEnd w:id="224"/>
      <w:bookmarkEnd w:id="225"/>
      <w:bookmarkEnd w:id="226"/>
      <w:bookmarkEnd w:id="227"/>
    </w:p>
    <w:p w14:paraId="28FE73AE">
      <w:pPr>
        <w:adjustRightInd w:val="0"/>
        <w:snapToGrid w:val="0"/>
        <w:spacing w:line="360" w:lineRule="auto"/>
        <w:ind w:firstLine="420" w:firstLineChars="200"/>
        <w:rPr>
          <w:rFonts w:hint="eastAsia" w:ascii="黑体" w:hAnsi="黑体" w:eastAsia="黑体" w:cs="黑体"/>
          <w:snapToGrid w:val="0"/>
          <w:kern w:val="0"/>
          <w:szCs w:val="21"/>
        </w:rPr>
      </w:pPr>
      <w:r>
        <w:rPr>
          <w:rFonts w:hint="eastAsia" w:ascii="黑体" w:hAnsi="黑体" w:eastAsia="黑体" w:cs="黑体"/>
          <w:snapToGrid w:val="0"/>
          <w:kern w:val="0"/>
          <w:szCs w:val="21"/>
        </w:rPr>
        <w:t>29.1通过磋商并进一步检查供应商按第12项规定提供的各类文件资料，检查的结果必须是肯定的，才是授予合同通知书的先决条件。采购人在收到评审报告后5个工作日内，从评审报告提出的成交候选供应商中，按照排序由高到</w:t>
      </w:r>
      <w:r>
        <w:rPr>
          <w:rFonts w:hint="eastAsia" w:ascii="黑体" w:hAnsi="黑体" w:eastAsia="黑体" w:cs="黑体"/>
          <w:snapToGrid w:val="0"/>
          <w:kern w:val="0"/>
          <w:szCs w:val="21"/>
          <w:lang w:eastAsia="zh-CN"/>
        </w:rPr>
        <w:t>低</w:t>
      </w:r>
      <w:r>
        <w:rPr>
          <w:rFonts w:hint="eastAsia" w:ascii="黑体" w:hAnsi="黑体" w:eastAsia="黑体" w:cs="黑体"/>
          <w:snapToGrid w:val="0"/>
          <w:kern w:val="0"/>
          <w:szCs w:val="21"/>
        </w:rPr>
        <w:t>的原则确定成交供应商，也可以书面授权磋商小组直接确定成交供应商。</w:t>
      </w:r>
    </w:p>
    <w:p w14:paraId="44A8A776">
      <w:pPr>
        <w:pStyle w:val="5"/>
        <w:ind w:left="0" w:firstLine="0"/>
        <w:rPr>
          <w:rFonts w:hint="eastAsia"/>
          <w:snapToGrid w:val="0"/>
        </w:rPr>
      </w:pPr>
      <w:bookmarkStart w:id="228" w:name="_Toc446055558"/>
      <w:bookmarkStart w:id="229" w:name="_Toc447008987"/>
      <w:bookmarkStart w:id="230" w:name="_Toc387393282"/>
      <w:bookmarkStart w:id="231" w:name="_Toc463776843"/>
      <w:bookmarkStart w:id="232" w:name="_Toc462045829"/>
      <w:bookmarkStart w:id="233" w:name="_Toc387223080"/>
      <w:bookmarkStart w:id="234" w:name="_Toc507142116"/>
      <w:r>
        <w:rPr>
          <w:rFonts w:hint="eastAsia"/>
          <w:snapToGrid w:val="0"/>
        </w:rPr>
        <w:t>30.成交的通知</w:t>
      </w:r>
      <w:bookmarkEnd w:id="228"/>
      <w:bookmarkEnd w:id="229"/>
      <w:bookmarkEnd w:id="230"/>
      <w:bookmarkEnd w:id="231"/>
      <w:bookmarkEnd w:id="232"/>
      <w:bookmarkEnd w:id="233"/>
      <w:bookmarkEnd w:id="234"/>
    </w:p>
    <w:p w14:paraId="152D3E20">
      <w:pPr>
        <w:adjustRightInd w:val="0"/>
        <w:snapToGrid w:val="0"/>
        <w:spacing w:line="360" w:lineRule="auto"/>
        <w:ind w:firstLine="420" w:firstLineChars="200"/>
        <w:rPr>
          <w:rFonts w:hint="eastAsia" w:ascii="黑体" w:hAnsi="黑体" w:eastAsia="黑体" w:cs="黑体"/>
          <w:snapToGrid w:val="0"/>
          <w:kern w:val="0"/>
          <w:szCs w:val="21"/>
        </w:rPr>
      </w:pPr>
      <w:r>
        <w:rPr>
          <w:rFonts w:hint="eastAsia" w:ascii="黑体" w:hAnsi="黑体" w:eastAsia="黑体" w:cs="黑体"/>
          <w:snapToGrid w:val="0"/>
          <w:kern w:val="0"/>
          <w:szCs w:val="21"/>
        </w:rPr>
        <w:t>30.1在磋商响应文件有效期内，采购代理机构以书面通知所选定的成交供应商，通知也可以用电报或传真的形式，但随后以书面文件通知证实。</w:t>
      </w:r>
    </w:p>
    <w:p w14:paraId="03B50674">
      <w:pPr>
        <w:adjustRightInd w:val="0"/>
        <w:snapToGrid w:val="0"/>
        <w:spacing w:line="360" w:lineRule="auto"/>
        <w:ind w:firstLine="420" w:firstLineChars="200"/>
        <w:rPr>
          <w:rFonts w:hint="eastAsia" w:ascii="黑体" w:hAnsi="黑体" w:eastAsia="黑体" w:cs="黑体"/>
          <w:snapToGrid w:val="0"/>
          <w:kern w:val="0"/>
          <w:szCs w:val="21"/>
        </w:rPr>
      </w:pPr>
      <w:r>
        <w:rPr>
          <w:rFonts w:hint="eastAsia" w:ascii="黑体" w:hAnsi="黑体" w:eastAsia="黑体" w:cs="黑体"/>
          <w:snapToGrid w:val="0"/>
          <w:kern w:val="0"/>
          <w:szCs w:val="21"/>
        </w:rPr>
        <w:t>30.2成交供应商在收到授予合同通知书后，应立即给采购人以“回执”，“回执”中应郑重保证履行成交供应商应履行的一切义务和责任。</w:t>
      </w:r>
    </w:p>
    <w:p w14:paraId="52C545CA">
      <w:pPr>
        <w:adjustRightInd w:val="0"/>
        <w:snapToGrid w:val="0"/>
        <w:spacing w:line="360" w:lineRule="auto"/>
        <w:ind w:firstLine="420" w:firstLineChars="200"/>
        <w:rPr>
          <w:rFonts w:hint="eastAsia" w:ascii="黑体" w:hAnsi="黑体" w:eastAsia="黑体" w:cs="黑体"/>
          <w:snapToGrid w:val="0"/>
          <w:kern w:val="0"/>
          <w:szCs w:val="21"/>
        </w:rPr>
      </w:pPr>
      <w:r>
        <w:rPr>
          <w:rFonts w:hint="eastAsia" w:ascii="黑体" w:hAnsi="黑体" w:eastAsia="黑体" w:cs="黑体"/>
          <w:snapToGrid w:val="0"/>
          <w:kern w:val="0"/>
          <w:szCs w:val="21"/>
        </w:rPr>
        <w:t>30.3当成交供应商按第29项规定签订经济合同和协议后，采购代理机构将立即通知所有未成交供应商。</w:t>
      </w:r>
    </w:p>
    <w:p w14:paraId="75133251">
      <w:pPr>
        <w:pStyle w:val="5"/>
        <w:ind w:left="0" w:firstLine="0"/>
        <w:rPr>
          <w:rFonts w:hint="eastAsia"/>
          <w:snapToGrid w:val="0"/>
        </w:rPr>
      </w:pPr>
      <w:bookmarkStart w:id="235" w:name="_Toc463776844"/>
      <w:bookmarkStart w:id="236" w:name="_Toc447008988"/>
      <w:bookmarkStart w:id="237" w:name="_Toc507142117"/>
      <w:bookmarkStart w:id="238" w:name="_Toc462045830"/>
      <w:bookmarkStart w:id="239" w:name="_Toc387393283"/>
      <w:bookmarkStart w:id="240" w:name="_Toc446055559"/>
      <w:bookmarkStart w:id="241" w:name="_Toc387223081"/>
      <w:r>
        <w:rPr>
          <w:rFonts w:hint="eastAsia"/>
          <w:snapToGrid w:val="0"/>
        </w:rPr>
        <w:t>31.履约保证</w:t>
      </w:r>
      <w:bookmarkEnd w:id="235"/>
      <w:bookmarkEnd w:id="236"/>
      <w:bookmarkEnd w:id="237"/>
      <w:bookmarkEnd w:id="238"/>
      <w:bookmarkEnd w:id="239"/>
      <w:bookmarkEnd w:id="240"/>
      <w:bookmarkEnd w:id="241"/>
    </w:p>
    <w:p w14:paraId="7C7E48C1">
      <w:pPr>
        <w:pStyle w:val="10"/>
        <w:adjustRightInd w:val="0"/>
        <w:snapToGrid w:val="0"/>
        <w:spacing w:line="360" w:lineRule="auto"/>
        <w:ind w:firstLine="420" w:firstLineChars="200"/>
        <w:rPr>
          <w:rFonts w:hint="eastAsia" w:ascii="黑体" w:hAnsi="黑体" w:eastAsia="黑体" w:cs="黑体"/>
          <w:b w:val="0"/>
          <w:snapToGrid w:val="0"/>
          <w:kern w:val="0"/>
          <w:sz w:val="21"/>
          <w:szCs w:val="21"/>
        </w:rPr>
      </w:pPr>
      <w:r>
        <w:rPr>
          <w:rFonts w:hint="eastAsia" w:ascii="黑体" w:hAnsi="黑体" w:eastAsia="黑体" w:cs="黑体"/>
          <w:b w:val="0"/>
          <w:snapToGrid w:val="0"/>
          <w:kern w:val="0"/>
          <w:sz w:val="21"/>
          <w:szCs w:val="21"/>
        </w:rPr>
        <w:t>本项目不设履约保证金。</w:t>
      </w:r>
    </w:p>
    <w:p w14:paraId="13BA13B8">
      <w:pPr>
        <w:pStyle w:val="5"/>
        <w:ind w:left="0" w:firstLine="0"/>
        <w:rPr>
          <w:rFonts w:hint="eastAsia"/>
          <w:snapToGrid w:val="0"/>
        </w:rPr>
      </w:pPr>
      <w:bookmarkStart w:id="242" w:name="_Toc507142118"/>
      <w:bookmarkStart w:id="243" w:name="_Toc463776845"/>
      <w:bookmarkStart w:id="244" w:name="_Toc446055560"/>
      <w:bookmarkStart w:id="245" w:name="_Toc387393284"/>
      <w:bookmarkStart w:id="246" w:name="_Toc387223082"/>
      <w:bookmarkStart w:id="247" w:name="_Toc462045831"/>
      <w:bookmarkStart w:id="248" w:name="_Toc447008989"/>
      <w:r>
        <w:rPr>
          <w:rFonts w:hint="eastAsia"/>
          <w:snapToGrid w:val="0"/>
        </w:rPr>
        <w:t>32.签订合同</w:t>
      </w:r>
      <w:bookmarkEnd w:id="242"/>
      <w:bookmarkEnd w:id="243"/>
      <w:bookmarkEnd w:id="244"/>
      <w:bookmarkEnd w:id="245"/>
      <w:bookmarkEnd w:id="246"/>
      <w:bookmarkEnd w:id="247"/>
      <w:bookmarkEnd w:id="248"/>
    </w:p>
    <w:p w14:paraId="64933A35">
      <w:pPr>
        <w:adjustRightInd w:val="0"/>
        <w:snapToGrid w:val="0"/>
        <w:spacing w:line="360" w:lineRule="auto"/>
        <w:ind w:firstLine="420" w:firstLineChars="200"/>
        <w:rPr>
          <w:rFonts w:hint="eastAsia" w:ascii="黑体" w:hAnsi="黑体" w:eastAsia="黑体" w:cs="黑体"/>
          <w:snapToGrid w:val="0"/>
          <w:kern w:val="0"/>
          <w:szCs w:val="21"/>
        </w:rPr>
      </w:pPr>
      <w:r>
        <w:rPr>
          <w:rFonts w:hint="eastAsia" w:ascii="黑体" w:hAnsi="黑体" w:eastAsia="黑体" w:cs="黑体"/>
          <w:snapToGrid w:val="0"/>
          <w:kern w:val="0"/>
          <w:szCs w:val="21"/>
        </w:rPr>
        <w:t>32.1在收到采购代理机构授予合同通知以后，成交供应商应在指定时间、地点与买方签订合同，签订合同的时间最迟不晚于授予成交通知书发出之日起30个工作日内，否则采购代理机构有权取消授予合同资格。</w:t>
      </w:r>
    </w:p>
    <w:p w14:paraId="7F2CDE37">
      <w:pPr>
        <w:adjustRightInd w:val="0"/>
        <w:snapToGrid w:val="0"/>
        <w:spacing w:line="360" w:lineRule="auto"/>
        <w:ind w:firstLine="420" w:firstLineChars="200"/>
        <w:rPr>
          <w:rFonts w:hint="eastAsia" w:ascii="黑体" w:hAnsi="黑体" w:eastAsia="黑体" w:cs="黑体"/>
          <w:snapToGrid w:val="0"/>
          <w:kern w:val="0"/>
          <w:szCs w:val="21"/>
        </w:rPr>
      </w:pPr>
      <w:r>
        <w:rPr>
          <w:rFonts w:hint="eastAsia" w:ascii="黑体" w:hAnsi="黑体" w:eastAsia="黑体" w:cs="黑体"/>
          <w:snapToGrid w:val="0"/>
          <w:kern w:val="0"/>
          <w:szCs w:val="21"/>
        </w:rPr>
        <w:t>32.2采购文件中采购人服务需求及说明、合同条款、采购响应文件、服务报价表，有关图表和说明等，均应作为合同附件。</w:t>
      </w:r>
    </w:p>
    <w:p w14:paraId="7755D173">
      <w:pPr>
        <w:pStyle w:val="5"/>
        <w:ind w:left="0" w:firstLine="0"/>
        <w:rPr>
          <w:rFonts w:hint="eastAsia"/>
          <w:snapToGrid w:val="0"/>
        </w:rPr>
      </w:pPr>
      <w:bookmarkStart w:id="249" w:name="_Toc507142119"/>
      <w:bookmarkStart w:id="250" w:name="_Toc477444092"/>
      <w:r>
        <w:rPr>
          <w:rFonts w:hint="eastAsia"/>
          <w:snapToGrid w:val="0"/>
        </w:rPr>
        <w:t>33.采购代理服务费</w:t>
      </w:r>
      <w:bookmarkEnd w:id="249"/>
      <w:bookmarkEnd w:id="250"/>
    </w:p>
    <w:p w14:paraId="32511127">
      <w:pPr>
        <w:adjustRightInd w:val="0"/>
        <w:snapToGrid w:val="0"/>
        <w:spacing w:line="360" w:lineRule="auto"/>
        <w:ind w:firstLine="420" w:firstLineChars="200"/>
        <w:rPr>
          <w:rFonts w:hint="eastAsia" w:ascii="黑体" w:hAnsi="黑体" w:eastAsia="黑体" w:cs="黑体"/>
          <w:snapToGrid w:val="0"/>
          <w:kern w:val="0"/>
          <w:szCs w:val="21"/>
        </w:rPr>
      </w:pPr>
      <w:r>
        <w:rPr>
          <w:rFonts w:hint="eastAsia" w:ascii="黑体" w:hAnsi="黑体" w:eastAsia="黑体" w:cs="黑体"/>
          <w:snapToGrid w:val="0"/>
          <w:kern w:val="0"/>
          <w:szCs w:val="21"/>
        </w:rPr>
        <w:t>33.1 成交供应商应按照招标采购前附表中的规定交纳采购代理服务费。</w:t>
      </w:r>
    </w:p>
    <w:p w14:paraId="6B0BE00E">
      <w:pPr>
        <w:pStyle w:val="5"/>
        <w:ind w:left="0" w:firstLine="0"/>
        <w:rPr>
          <w:rFonts w:hint="eastAsia"/>
          <w:snapToGrid w:val="0"/>
        </w:rPr>
      </w:pPr>
      <w:r>
        <w:rPr>
          <w:rFonts w:hint="eastAsia"/>
          <w:snapToGrid w:val="0"/>
        </w:rPr>
        <w:t>34.相关采购政策</w:t>
      </w:r>
    </w:p>
    <w:p w14:paraId="419F5F97">
      <w:pPr>
        <w:adjustRightInd w:val="0"/>
        <w:snapToGrid w:val="0"/>
        <w:spacing w:line="360" w:lineRule="auto"/>
        <w:ind w:firstLine="420" w:firstLineChars="200"/>
        <w:rPr>
          <w:rFonts w:hint="eastAsia" w:ascii="黑体" w:hAnsi="黑体" w:eastAsia="黑体" w:cs="黑体"/>
          <w:snapToGrid w:val="0"/>
          <w:kern w:val="0"/>
          <w:szCs w:val="21"/>
          <w:lang w:val="zh-CN"/>
        </w:rPr>
      </w:pPr>
      <w:r>
        <w:rPr>
          <w:rFonts w:hint="eastAsia" w:ascii="黑体" w:hAnsi="黑体" w:eastAsia="黑体" w:cs="黑体"/>
          <w:snapToGrid w:val="0"/>
          <w:kern w:val="0"/>
          <w:szCs w:val="21"/>
        </w:rPr>
        <w:t>34.1</w:t>
      </w:r>
      <w:r>
        <w:rPr>
          <w:rFonts w:hint="eastAsia" w:ascii="黑体" w:hAnsi="黑体" w:eastAsia="黑体" w:cs="黑体"/>
          <w:snapToGrid w:val="0"/>
          <w:kern w:val="0"/>
          <w:szCs w:val="21"/>
          <w:lang w:val="zh-CN"/>
        </w:rPr>
        <w:t>中小企业政策</w:t>
      </w:r>
    </w:p>
    <w:p w14:paraId="1A22E9EB">
      <w:pPr>
        <w:adjustRightInd w:val="0"/>
        <w:snapToGrid w:val="0"/>
        <w:spacing w:line="360" w:lineRule="auto"/>
        <w:ind w:firstLine="420" w:firstLineChars="200"/>
        <w:rPr>
          <w:rFonts w:hint="eastAsia" w:ascii="黑体" w:hAnsi="黑体" w:eastAsia="黑体" w:cs="黑体"/>
          <w:snapToGrid w:val="0"/>
          <w:kern w:val="0"/>
          <w:szCs w:val="21"/>
          <w:lang w:val="zh-CN"/>
        </w:rPr>
      </w:pPr>
      <w:bookmarkStart w:id="251" w:name="（1）中小企业应当符合《政府采购促进中小企业发展暂行办法》（财库〔2011〕18"/>
      <w:bookmarkEnd w:id="251"/>
      <w:r>
        <w:rPr>
          <w:rFonts w:hint="eastAsia" w:ascii="黑体" w:hAnsi="黑体" w:eastAsia="黑体" w:cs="黑体"/>
          <w:snapToGrid w:val="0"/>
          <w:kern w:val="0"/>
          <w:szCs w:val="21"/>
          <w:lang w:val="zh-CN"/>
        </w:rPr>
        <w:t>（</w:t>
      </w:r>
      <w:r>
        <w:rPr>
          <w:rFonts w:hint="eastAsia" w:ascii="黑体" w:hAnsi="黑体" w:eastAsia="黑体" w:cs="黑体"/>
          <w:snapToGrid w:val="0"/>
          <w:kern w:val="0"/>
          <w:szCs w:val="21"/>
        </w:rPr>
        <w:t>1</w:t>
      </w:r>
      <w:r>
        <w:rPr>
          <w:rFonts w:hint="eastAsia" w:ascii="黑体" w:hAnsi="黑体" w:eastAsia="黑体" w:cs="黑体"/>
          <w:snapToGrid w:val="0"/>
          <w:kern w:val="0"/>
          <w:szCs w:val="21"/>
          <w:lang w:val="zh-CN"/>
        </w:rPr>
        <w:t>）中小企业应当符合《政府采购促进中小企业发展暂行办法》（财库〔2011〕181 号）第二条、《关于政府采购支持监狱企业发展有关问题的通知》（财库〔2014〕68号） 第一条或《关于促进残疾人就业政府采购政策的通知》（财库〔2017〕141号）第一条的规定。</w:t>
      </w:r>
    </w:p>
    <w:p w14:paraId="4874897A">
      <w:pPr>
        <w:adjustRightInd w:val="0"/>
        <w:snapToGrid w:val="0"/>
        <w:spacing w:line="360" w:lineRule="auto"/>
        <w:ind w:firstLine="420" w:firstLineChars="200"/>
        <w:rPr>
          <w:rFonts w:hint="eastAsia" w:ascii="黑体" w:hAnsi="黑体" w:eastAsia="黑体" w:cs="黑体"/>
          <w:snapToGrid w:val="0"/>
          <w:kern w:val="0"/>
          <w:szCs w:val="21"/>
          <w:lang w:val="zh-CN"/>
        </w:rPr>
      </w:pPr>
      <w:bookmarkStart w:id="252" w:name="（2）对于专门面向中小企业或小型、微型企业的项目，只面向中小企业或小型、微型企业"/>
      <w:bookmarkEnd w:id="252"/>
      <w:r>
        <w:rPr>
          <w:rFonts w:hint="eastAsia" w:ascii="黑体" w:hAnsi="黑体" w:eastAsia="黑体" w:cs="黑体"/>
          <w:snapToGrid w:val="0"/>
          <w:kern w:val="0"/>
          <w:szCs w:val="21"/>
          <w:lang w:val="zh-CN"/>
        </w:rPr>
        <w:t>（</w:t>
      </w:r>
      <w:r>
        <w:rPr>
          <w:rFonts w:hint="eastAsia" w:ascii="黑体" w:hAnsi="黑体" w:eastAsia="黑体" w:cs="黑体"/>
          <w:snapToGrid w:val="0"/>
          <w:kern w:val="0"/>
          <w:szCs w:val="21"/>
        </w:rPr>
        <w:t>2</w:t>
      </w:r>
      <w:r>
        <w:rPr>
          <w:rFonts w:hint="eastAsia" w:ascii="黑体" w:hAnsi="黑体" w:eastAsia="黑体" w:cs="黑体"/>
          <w:snapToGrid w:val="0"/>
          <w:kern w:val="0"/>
          <w:szCs w:val="21"/>
          <w:lang w:val="zh-CN"/>
        </w:rPr>
        <w:t>）对于专门面向中小企业或小型、微型企业的项目，只面向中小企业或小型、微型企业采购。对于非专门面向中小企业的项目，对小型和微型企业产品的价格给予</w:t>
      </w:r>
      <w:r>
        <w:rPr>
          <w:rFonts w:ascii="黑体" w:hAnsi="黑体" w:eastAsia="黑体" w:cs="黑体"/>
          <w:snapToGrid w:val="0"/>
          <w:kern w:val="0"/>
          <w:szCs w:val="21"/>
        </w:rPr>
        <w:t>10</w:t>
      </w:r>
      <w:r>
        <w:rPr>
          <w:rFonts w:hint="eastAsia" w:ascii="黑体" w:hAnsi="黑体" w:eastAsia="黑体" w:cs="黑体"/>
          <w:snapToGrid w:val="0"/>
          <w:kern w:val="0"/>
          <w:szCs w:val="21"/>
          <w:lang w:val="zh-CN"/>
        </w:rPr>
        <w:t>%的扣除，用扣除后的价格参与评审。</w:t>
      </w:r>
    </w:p>
    <w:p w14:paraId="39CAF47F">
      <w:pPr>
        <w:adjustRightInd w:val="0"/>
        <w:snapToGrid w:val="0"/>
        <w:spacing w:line="360" w:lineRule="auto"/>
        <w:ind w:firstLine="420" w:firstLineChars="200"/>
        <w:rPr>
          <w:rFonts w:hint="eastAsia" w:ascii="黑体" w:hAnsi="黑体" w:eastAsia="黑体" w:cs="黑体"/>
          <w:snapToGrid w:val="0"/>
          <w:kern w:val="0"/>
          <w:szCs w:val="21"/>
          <w:lang w:val="zh-CN"/>
        </w:rPr>
      </w:pPr>
      <w:bookmarkStart w:id="253" w:name="（3）参加政府采购活动的中小企业应当提供《中小企业声明函》、由省级以上监狱管理局"/>
      <w:bookmarkEnd w:id="253"/>
      <w:r>
        <w:rPr>
          <w:rFonts w:hint="eastAsia" w:ascii="黑体" w:hAnsi="黑体" w:eastAsia="黑体" w:cs="黑体"/>
          <w:snapToGrid w:val="0"/>
          <w:kern w:val="0"/>
          <w:szCs w:val="21"/>
          <w:lang w:val="zh-CN"/>
        </w:rPr>
        <w:t>（</w:t>
      </w:r>
      <w:r>
        <w:rPr>
          <w:rFonts w:hint="eastAsia" w:ascii="黑体" w:hAnsi="黑体" w:eastAsia="黑体" w:cs="黑体"/>
          <w:snapToGrid w:val="0"/>
          <w:kern w:val="0"/>
          <w:szCs w:val="21"/>
        </w:rPr>
        <w:t>3</w:t>
      </w:r>
      <w:r>
        <w:rPr>
          <w:rFonts w:hint="eastAsia" w:ascii="黑体" w:hAnsi="黑体" w:eastAsia="黑体" w:cs="黑体"/>
          <w:snapToGrid w:val="0"/>
          <w:kern w:val="0"/>
          <w:szCs w:val="21"/>
          <w:lang w:val="zh-CN"/>
        </w:rPr>
        <w:t>）参加政府采购活动的中小企业应当提供《中小企业声明函》、由省级以上监狱管理局戒毒管理局（含新疆生产建设兵团）出具的属于监狱企业的证明文件或《残疾人福利性单位声明函》。</w:t>
      </w:r>
    </w:p>
    <w:p w14:paraId="3A128A8C">
      <w:pPr>
        <w:adjustRightInd w:val="0"/>
        <w:snapToGrid w:val="0"/>
        <w:spacing w:line="360" w:lineRule="auto"/>
        <w:ind w:firstLine="420" w:firstLineChars="200"/>
        <w:rPr>
          <w:rFonts w:hint="eastAsia" w:ascii="黑体" w:hAnsi="黑体" w:eastAsia="黑体" w:cs="黑体"/>
          <w:snapToGrid w:val="0"/>
          <w:kern w:val="0"/>
          <w:szCs w:val="21"/>
          <w:lang w:val="zh-CN"/>
        </w:rPr>
      </w:pPr>
      <w:bookmarkStart w:id="254" w:name="（4）对于接受投标人以联合体形式参加采购活动的项目，小型、微型企业联合体应当符合"/>
      <w:bookmarkEnd w:id="254"/>
      <w:r>
        <w:rPr>
          <w:rFonts w:hint="eastAsia" w:ascii="黑体" w:hAnsi="黑体" w:eastAsia="黑体" w:cs="黑体"/>
          <w:snapToGrid w:val="0"/>
          <w:kern w:val="0"/>
          <w:szCs w:val="21"/>
          <w:lang w:val="zh-CN"/>
        </w:rPr>
        <w:t>（</w:t>
      </w:r>
      <w:r>
        <w:rPr>
          <w:rFonts w:hint="eastAsia" w:ascii="黑体" w:hAnsi="黑体" w:eastAsia="黑体" w:cs="黑体"/>
          <w:snapToGrid w:val="0"/>
          <w:kern w:val="0"/>
          <w:szCs w:val="21"/>
        </w:rPr>
        <w:t>4</w:t>
      </w:r>
      <w:r>
        <w:rPr>
          <w:rFonts w:hint="eastAsia" w:ascii="黑体" w:hAnsi="黑体" w:eastAsia="黑体" w:cs="黑体"/>
          <w:snapToGrid w:val="0"/>
          <w:kern w:val="0"/>
          <w:szCs w:val="21"/>
          <w:lang w:val="zh-CN"/>
        </w:rPr>
        <w:t>）对于接受供应商以联合体形式参加采购活动的项目，小型、微型企业联合体应当符合《政府采购促进中小企业发展暂行办法》（财库〔2011〕181号）第六条的规定。联合协议中约定，小型、微型企业的协议合同金额占到联合体协议合同总金额30%以上的，给予联合体</w:t>
      </w:r>
      <w:r>
        <w:rPr>
          <w:rFonts w:ascii="黑体" w:hAnsi="黑体" w:eastAsia="黑体" w:cs="黑体"/>
          <w:snapToGrid w:val="0"/>
          <w:kern w:val="0"/>
          <w:szCs w:val="21"/>
          <w:lang w:val="zh-CN"/>
        </w:rPr>
        <w:t>4</w:t>
      </w:r>
      <w:r>
        <w:rPr>
          <w:rFonts w:hint="eastAsia" w:ascii="黑体" w:hAnsi="黑体" w:eastAsia="黑体" w:cs="黑体"/>
          <w:snapToGrid w:val="0"/>
          <w:kern w:val="0"/>
          <w:szCs w:val="21"/>
          <w:lang w:val="zh-CN"/>
        </w:rPr>
        <w:t>%的价格扣除。联合体各方均为小型、微型企业的，联合体视同为小型、微型企业给予</w:t>
      </w:r>
      <w:r>
        <w:rPr>
          <w:rFonts w:ascii="黑体" w:hAnsi="黑体" w:eastAsia="黑体" w:cs="黑体"/>
          <w:snapToGrid w:val="0"/>
          <w:kern w:val="0"/>
          <w:szCs w:val="21"/>
        </w:rPr>
        <w:t>10</w:t>
      </w:r>
      <w:r>
        <w:rPr>
          <w:rFonts w:hint="eastAsia" w:ascii="黑体" w:hAnsi="黑体" w:eastAsia="黑体" w:cs="黑体"/>
          <w:snapToGrid w:val="0"/>
          <w:kern w:val="0"/>
          <w:szCs w:val="21"/>
          <w:lang w:val="zh-CN"/>
        </w:rPr>
        <w:t>%价格扣除。组成联合体的大中型企业和其他自然人、法人或者其他组织，与小型、微型企业之间不得存在投资关系。</w:t>
      </w:r>
    </w:p>
    <w:p w14:paraId="7459F19A">
      <w:pPr>
        <w:adjustRightInd w:val="0"/>
        <w:snapToGrid w:val="0"/>
        <w:spacing w:line="360" w:lineRule="auto"/>
        <w:ind w:firstLine="420" w:firstLineChars="200"/>
        <w:rPr>
          <w:rFonts w:hint="eastAsia" w:ascii="黑体" w:hAnsi="黑体" w:eastAsia="黑体" w:cs="黑体"/>
          <w:snapToGrid w:val="0"/>
          <w:kern w:val="0"/>
          <w:szCs w:val="21"/>
          <w:lang w:val="zh-CN"/>
        </w:rPr>
      </w:pPr>
      <w:bookmarkStart w:id="255" w:name="（5）中小企业依据《政府采购促进中小企业发展暂行办法》（财库〔2011〕181号"/>
      <w:bookmarkEnd w:id="255"/>
      <w:r>
        <w:rPr>
          <w:rFonts w:hint="eastAsia" w:ascii="黑体" w:hAnsi="黑体" w:eastAsia="黑体" w:cs="黑体"/>
          <w:snapToGrid w:val="0"/>
          <w:kern w:val="0"/>
          <w:szCs w:val="21"/>
          <w:lang w:val="zh-CN"/>
        </w:rPr>
        <w:t>（</w:t>
      </w:r>
      <w:r>
        <w:rPr>
          <w:rFonts w:hint="eastAsia" w:ascii="黑体" w:hAnsi="黑体" w:eastAsia="黑体" w:cs="黑体"/>
          <w:snapToGrid w:val="0"/>
          <w:kern w:val="0"/>
          <w:szCs w:val="21"/>
        </w:rPr>
        <w:t>5</w:t>
      </w:r>
      <w:r>
        <w:rPr>
          <w:rFonts w:hint="eastAsia" w:ascii="黑体" w:hAnsi="黑体" w:eastAsia="黑体" w:cs="黑体"/>
          <w:snapToGrid w:val="0"/>
          <w:kern w:val="0"/>
          <w:szCs w:val="21"/>
          <w:lang w:val="zh-CN"/>
        </w:rPr>
        <w:t>）中小企业依据《政府采购促进中小企业发展暂行办法》（财库〔2011〕181号） 规定的政策获取政府采购合同后，小型、微型企业不得分包或转包给大型、中型企业， 中型企业不得分包或转包给大型企业。</w:t>
      </w:r>
    </w:p>
    <w:p w14:paraId="39968B7E">
      <w:pPr>
        <w:adjustRightInd w:val="0"/>
        <w:snapToGrid w:val="0"/>
        <w:spacing w:line="360" w:lineRule="auto"/>
        <w:ind w:firstLine="420" w:firstLineChars="200"/>
        <w:rPr>
          <w:rFonts w:hint="eastAsia" w:ascii="黑体" w:hAnsi="黑体" w:eastAsia="黑体" w:cs="黑体"/>
          <w:snapToGrid w:val="0"/>
          <w:kern w:val="0"/>
          <w:szCs w:val="21"/>
          <w:lang w:val="zh-CN"/>
        </w:rPr>
      </w:pPr>
      <w:r>
        <w:rPr>
          <w:rFonts w:hint="eastAsia" w:ascii="黑体" w:hAnsi="黑体" w:eastAsia="黑体" w:cs="黑体"/>
          <w:snapToGrid w:val="0"/>
          <w:kern w:val="0"/>
          <w:szCs w:val="21"/>
        </w:rPr>
        <w:t>34.2</w:t>
      </w:r>
      <w:r>
        <w:rPr>
          <w:rFonts w:hint="eastAsia" w:ascii="黑体" w:hAnsi="黑体" w:eastAsia="黑体" w:cs="黑体"/>
          <w:snapToGrid w:val="0"/>
          <w:kern w:val="0"/>
          <w:szCs w:val="21"/>
          <w:lang w:val="zh-CN"/>
        </w:rPr>
        <w:t>节能产品、环境标志产品政策</w:t>
      </w:r>
    </w:p>
    <w:p w14:paraId="5F724600">
      <w:pPr>
        <w:adjustRightInd w:val="0"/>
        <w:snapToGrid w:val="0"/>
        <w:spacing w:line="360" w:lineRule="auto"/>
        <w:ind w:firstLine="420" w:firstLineChars="200"/>
        <w:rPr>
          <w:rFonts w:hint="eastAsia" w:ascii="黑体" w:hAnsi="黑体" w:eastAsia="黑体" w:cs="黑体"/>
          <w:snapToGrid w:val="0"/>
          <w:kern w:val="0"/>
          <w:szCs w:val="21"/>
          <w:lang w:val="zh-CN"/>
        </w:rPr>
      </w:pPr>
      <w:bookmarkStart w:id="256" w:name="（1）政府采购节能产品、环境标志产品实施品目清单管理。"/>
      <w:bookmarkEnd w:id="256"/>
      <w:r>
        <w:rPr>
          <w:rFonts w:hint="eastAsia" w:ascii="黑体" w:hAnsi="黑体" w:eastAsia="黑体" w:cs="黑体"/>
          <w:snapToGrid w:val="0"/>
          <w:kern w:val="0"/>
          <w:szCs w:val="21"/>
          <w:lang w:val="zh-CN"/>
        </w:rPr>
        <w:t>（</w:t>
      </w:r>
      <w:r>
        <w:rPr>
          <w:rFonts w:hint="eastAsia" w:ascii="黑体" w:hAnsi="黑体" w:eastAsia="黑体" w:cs="黑体"/>
          <w:snapToGrid w:val="0"/>
          <w:kern w:val="0"/>
          <w:szCs w:val="21"/>
        </w:rPr>
        <w:t>1</w:t>
      </w:r>
      <w:r>
        <w:rPr>
          <w:rFonts w:hint="eastAsia" w:ascii="黑体" w:hAnsi="黑体" w:eastAsia="黑体" w:cs="黑体"/>
          <w:snapToGrid w:val="0"/>
          <w:kern w:val="0"/>
          <w:szCs w:val="21"/>
          <w:lang w:val="zh-CN"/>
        </w:rPr>
        <w:t>）政府采购节能产品、环境标志产品实施品目清单管理。</w:t>
      </w:r>
    </w:p>
    <w:p w14:paraId="3DF4570D">
      <w:pPr>
        <w:adjustRightInd w:val="0"/>
        <w:snapToGrid w:val="0"/>
        <w:spacing w:line="360" w:lineRule="auto"/>
        <w:ind w:firstLine="420" w:firstLineChars="200"/>
        <w:rPr>
          <w:rFonts w:hint="eastAsia" w:ascii="黑体" w:hAnsi="黑体" w:eastAsia="黑体" w:cs="黑体"/>
          <w:snapToGrid w:val="0"/>
          <w:kern w:val="0"/>
          <w:szCs w:val="21"/>
          <w:lang w:val="zh-CN"/>
        </w:rPr>
      </w:pPr>
      <w:bookmarkStart w:id="257" w:name="（2）拟采购产品属于节能产品、环境标志产品品目清单规定必须强制采购的，实行强制采"/>
      <w:bookmarkEnd w:id="257"/>
      <w:r>
        <w:rPr>
          <w:rFonts w:hint="eastAsia" w:ascii="黑体" w:hAnsi="黑体" w:eastAsia="黑体" w:cs="黑体"/>
          <w:snapToGrid w:val="0"/>
          <w:kern w:val="0"/>
          <w:szCs w:val="21"/>
          <w:lang w:val="zh-CN"/>
        </w:rPr>
        <w:t>（</w:t>
      </w:r>
      <w:r>
        <w:rPr>
          <w:rFonts w:hint="eastAsia" w:ascii="黑体" w:hAnsi="黑体" w:eastAsia="黑体" w:cs="黑体"/>
          <w:snapToGrid w:val="0"/>
          <w:kern w:val="0"/>
          <w:szCs w:val="21"/>
        </w:rPr>
        <w:t>2</w:t>
      </w:r>
      <w:r>
        <w:rPr>
          <w:rFonts w:hint="eastAsia" w:ascii="黑体" w:hAnsi="黑体" w:eastAsia="黑体" w:cs="黑体"/>
          <w:snapToGrid w:val="0"/>
          <w:kern w:val="0"/>
          <w:szCs w:val="21"/>
          <w:lang w:val="zh-CN"/>
        </w:rPr>
        <w:t>）拟采购产品属于节能产品、环境标志产品品目清单规定必须强制采购的，实行强制采购。</w:t>
      </w:r>
    </w:p>
    <w:p w14:paraId="61BC5A86">
      <w:pPr>
        <w:adjustRightInd w:val="0"/>
        <w:snapToGrid w:val="0"/>
        <w:spacing w:line="360" w:lineRule="auto"/>
        <w:ind w:firstLine="420" w:firstLineChars="200"/>
        <w:rPr>
          <w:rFonts w:hint="eastAsia" w:ascii="黑体" w:hAnsi="黑体" w:eastAsia="黑体" w:cs="黑体"/>
          <w:snapToGrid w:val="0"/>
          <w:kern w:val="0"/>
          <w:szCs w:val="21"/>
          <w:lang w:val="zh-CN"/>
        </w:rPr>
      </w:pPr>
      <w:bookmarkStart w:id="258" w:name="（3）拟采购产品属于节能产品、环境标志产品品目清单规定优先采购的，在性能、技术、"/>
      <w:bookmarkEnd w:id="258"/>
      <w:r>
        <w:rPr>
          <w:rFonts w:hint="eastAsia" w:ascii="黑体" w:hAnsi="黑体" w:eastAsia="黑体" w:cs="黑体"/>
          <w:snapToGrid w:val="0"/>
          <w:kern w:val="0"/>
          <w:szCs w:val="21"/>
          <w:lang w:val="zh-CN"/>
        </w:rPr>
        <w:t>（</w:t>
      </w:r>
      <w:r>
        <w:rPr>
          <w:rFonts w:hint="eastAsia" w:ascii="黑体" w:hAnsi="黑体" w:eastAsia="黑体" w:cs="黑体"/>
          <w:snapToGrid w:val="0"/>
          <w:kern w:val="0"/>
          <w:szCs w:val="21"/>
        </w:rPr>
        <w:t>3）</w:t>
      </w:r>
      <w:r>
        <w:rPr>
          <w:rFonts w:hint="eastAsia" w:ascii="黑体" w:hAnsi="黑体" w:eastAsia="黑体" w:cs="黑体"/>
          <w:snapToGrid w:val="0"/>
          <w:kern w:val="0"/>
          <w:szCs w:val="21"/>
          <w:lang w:val="zh-CN"/>
        </w:rPr>
        <w:t>拟采购产品属于节能产品、环境标志产品品目清单规定优先采购的，在性能、技术、服务等指标同等条件下，实行优先采购，优先采购的评审标准详见本招标文件第三章。</w:t>
      </w:r>
    </w:p>
    <w:p w14:paraId="5670594F">
      <w:pPr>
        <w:adjustRightInd w:val="0"/>
        <w:snapToGrid w:val="0"/>
        <w:spacing w:line="360" w:lineRule="auto"/>
        <w:ind w:firstLine="420" w:firstLineChars="200"/>
        <w:rPr>
          <w:lang w:val="zh-CN"/>
        </w:rPr>
      </w:pPr>
      <w:bookmarkStart w:id="259" w:name="（4）参加政府采购活动的节能产品、环境标志产品投标人应当提供国家确定的认证机构出"/>
      <w:bookmarkEnd w:id="259"/>
      <w:r>
        <w:rPr>
          <w:rFonts w:hint="eastAsia" w:ascii="黑体" w:hAnsi="黑体" w:eastAsia="黑体" w:cs="黑体"/>
          <w:snapToGrid w:val="0"/>
          <w:kern w:val="0"/>
          <w:szCs w:val="21"/>
          <w:lang w:val="zh-CN"/>
        </w:rPr>
        <w:t>（</w:t>
      </w:r>
      <w:r>
        <w:rPr>
          <w:rFonts w:hint="eastAsia" w:ascii="黑体" w:hAnsi="黑体" w:eastAsia="黑体" w:cs="黑体"/>
          <w:snapToGrid w:val="0"/>
          <w:kern w:val="0"/>
          <w:szCs w:val="21"/>
        </w:rPr>
        <w:t>4</w:t>
      </w:r>
      <w:r>
        <w:rPr>
          <w:rFonts w:hint="eastAsia" w:ascii="黑体" w:hAnsi="黑体" w:eastAsia="黑体" w:cs="黑体"/>
          <w:snapToGrid w:val="0"/>
          <w:kern w:val="0"/>
          <w:szCs w:val="21"/>
          <w:lang w:val="zh-CN"/>
        </w:rPr>
        <w:t>）参加政府采购活动的节能产品、环境标志产品供应商应当提供国家确定的认证机构出具的、处于有效期之内的节能产品、环境标志产品认证证书。</w:t>
      </w:r>
    </w:p>
    <w:p w14:paraId="7ABCBDF2">
      <w:pPr>
        <w:widowControl/>
        <w:jc w:val="left"/>
        <w:rPr>
          <w:rFonts w:ascii="Times New Roman" w:hAnsi="Times New Roman" w:eastAsia="宋体"/>
          <w:snapToGrid w:val="0"/>
          <w:sz w:val="24"/>
        </w:rPr>
      </w:pPr>
      <w:bookmarkStart w:id="260" w:name="_Toc20761"/>
      <w:bookmarkStart w:id="261" w:name="_Toc26331"/>
    </w:p>
    <w:p w14:paraId="7531AA0C">
      <w:pPr>
        <w:widowControl/>
        <w:jc w:val="left"/>
        <w:rPr>
          <w:rFonts w:ascii="Times New Roman" w:hAnsi="Times New Roman" w:eastAsia="宋体"/>
          <w:snapToGrid w:val="0"/>
          <w:sz w:val="24"/>
        </w:rPr>
      </w:pPr>
    </w:p>
    <w:p w14:paraId="3D242F65">
      <w:pPr>
        <w:pStyle w:val="3"/>
        <w:rPr>
          <w:rFonts w:hint="eastAsia"/>
        </w:rPr>
      </w:pPr>
      <w:r>
        <w:rPr>
          <w:rFonts w:hint="eastAsia"/>
        </w:rPr>
        <w:t>四、评标办法和标准</w:t>
      </w:r>
      <w:bookmarkEnd w:id="260"/>
      <w:bookmarkEnd w:id="261"/>
    </w:p>
    <w:p w14:paraId="43115DB2">
      <w:pPr>
        <w:spacing w:line="360" w:lineRule="auto"/>
        <w:ind w:firstLine="420" w:firstLineChars="200"/>
        <w:rPr>
          <w:rFonts w:hint="eastAsia" w:ascii="宋体" w:hAnsi="宋体"/>
        </w:rPr>
      </w:pPr>
      <w:bookmarkStart w:id="262" w:name="_Hlk140154636"/>
      <w:bookmarkStart w:id="263" w:name="_Toc507142120"/>
      <w:r>
        <w:rPr>
          <w:rFonts w:hint="eastAsia" w:ascii="黑体" w:hAnsi="黑体" w:eastAsia="黑体" w:cs="黑体"/>
          <w:snapToGrid w:val="0"/>
          <w:kern w:val="0"/>
          <w:szCs w:val="21"/>
        </w:rPr>
        <w:t>本次招标，采取综合评分法。对通过资格审查和初步评审的响应文件进行详细评审，并采取打分的方法衡量响应文件是否最大限度地满足采购文件中规定的各项评价标准，满分为 100 分。</w:t>
      </w:r>
      <w:r>
        <w:rPr>
          <w:rFonts w:hint="eastAsia" w:ascii="黑体" w:hAnsi="黑体" w:eastAsia="黑体" w:cs="黑体"/>
          <w:snapToGrid w:val="0"/>
          <w:kern w:val="0"/>
          <w:szCs w:val="21"/>
          <w:lang w:val="zh-CN"/>
        </w:rPr>
        <w:t>将全部评委评分直接进行算术平均，小数点后保留2位。评标委员会从以下几方面对响应文件进行详细评审和打分，按评审后得分由高到低顺序排列，得分相同的，按报价由低到高顺序排列，报价得分相同的，按技术指标优劣顺序排列，评标委员会根据排名确定1-3名候选人。</w:t>
      </w:r>
    </w:p>
    <w:bookmarkEnd w:id="262"/>
    <w:p w14:paraId="3934A3FB">
      <w:pPr>
        <w:pStyle w:val="9"/>
        <w:rPr>
          <w:rFonts w:hint="eastAsia"/>
        </w:rPr>
      </w:pPr>
    </w:p>
    <w:tbl>
      <w:tblPr>
        <w:tblStyle w:val="24"/>
        <w:tblW w:w="477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5"/>
        <w:gridCol w:w="1217"/>
        <w:gridCol w:w="6541"/>
        <w:gridCol w:w="543"/>
      </w:tblGrid>
      <w:tr w14:paraId="041DC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 w:type="pct"/>
            <w:vAlign w:val="center"/>
          </w:tcPr>
          <w:p w14:paraId="6D1E3D86">
            <w:pPr>
              <w:widowControl/>
              <w:spacing w:line="360" w:lineRule="auto"/>
              <w:jc w:val="center"/>
              <w:rPr>
                <w:rFonts w:hint="eastAsia" w:ascii="黑体" w:hAnsi="黑体" w:eastAsia="黑体" w:cs="宋体"/>
                <w:kern w:val="0"/>
                <w:szCs w:val="21"/>
              </w:rPr>
            </w:pPr>
            <w:r>
              <w:rPr>
                <w:rFonts w:hint="eastAsia" w:ascii="黑体" w:hAnsi="黑体" w:eastAsia="黑体" w:cs="宋体"/>
                <w:kern w:val="0"/>
                <w:szCs w:val="21"/>
              </w:rPr>
              <w:t>序号</w:t>
            </w:r>
          </w:p>
        </w:tc>
        <w:tc>
          <w:tcPr>
            <w:tcW w:w="688" w:type="pct"/>
            <w:vAlign w:val="center"/>
          </w:tcPr>
          <w:p w14:paraId="3C2B253B">
            <w:pPr>
              <w:widowControl/>
              <w:spacing w:line="360" w:lineRule="auto"/>
              <w:jc w:val="center"/>
              <w:rPr>
                <w:rFonts w:hint="eastAsia" w:ascii="黑体" w:hAnsi="黑体" w:eastAsia="黑体" w:cs="宋体"/>
                <w:kern w:val="0"/>
                <w:szCs w:val="21"/>
              </w:rPr>
            </w:pPr>
            <w:r>
              <w:rPr>
                <w:rFonts w:hint="eastAsia" w:ascii="黑体" w:hAnsi="黑体" w:eastAsia="黑体" w:cs="宋体"/>
                <w:kern w:val="0"/>
                <w:szCs w:val="21"/>
              </w:rPr>
              <w:t>评审因素</w:t>
            </w:r>
          </w:p>
        </w:tc>
        <w:tc>
          <w:tcPr>
            <w:tcW w:w="3697" w:type="pct"/>
            <w:vAlign w:val="center"/>
          </w:tcPr>
          <w:p w14:paraId="5E402378">
            <w:pPr>
              <w:widowControl/>
              <w:jc w:val="center"/>
              <w:rPr>
                <w:rFonts w:hint="eastAsia" w:ascii="黑体" w:hAnsi="黑体" w:eastAsia="黑体" w:cs="宋体"/>
                <w:kern w:val="0"/>
                <w:szCs w:val="21"/>
              </w:rPr>
            </w:pPr>
            <w:r>
              <w:rPr>
                <w:rFonts w:hint="eastAsia" w:ascii="黑体" w:hAnsi="黑体" w:eastAsia="黑体" w:cs="宋体"/>
                <w:kern w:val="0"/>
                <w:szCs w:val="21"/>
              </w:rPr>
              <w:t>评分标准</w:t>
            </w:r>
          </w:p>
        </w:tc>
        <w:tc>
          <w:tcPr>
            <w:tcW w:w="308" w:type="pct"/>
            <w:vAlign w:val="center"/>
          </w:tcPr>
          <w:p w14:paraId="5D9DA708">
            <w:pPr>
              <w:widowControl/>
              <w:spacing w:line="360" w:lineRule="auto"/>
              <w:jc w:val="center"/>
              <w:rPr>
                <w:rFonts w:hint="eastAsia" w:ascii="黑体" w:hAnsi="黑体" w:eastAsia="黑体" w:cs="宋体"/>
                <w:kern w:val="0"/>
                <w:szCs w:val="21"/>
              </w:rPr>
            </w:pPr>
            <w:r>
              <w:rPr>
                <w:rFonts w:hint="eastAsia" w:ascii="黑体" w:hAnsi="黑体" w:eastAsia="黑体" w:cs="宋体"/>
                <w:kern w:val="0"/>
                <w:szCs w:val="21"/>
              </w:rPr>
              <w:t>分值</w:t>
            </w:r>
          </w:p>
        </w:tc>
      </w:tr>
      <w:tr w14:paraId="49076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6" w:hRule="atLeast"/>
          <w:jc w:val="center"/>
        </w:trPr>
        <w:tc>
          <w:tcPr>
            <w:tcW w:w="308" w:type="pct"/>
            <w:vMerge w:val="restart"/>
            <w:vAlign w:val="center"/>
          </w:tcPr>
          <w:p w14:paraId="04AB9A37">
            <w:pPr>
              <w:widowControl/>
              <w:spacing w:line="360" w:lineRule="auto"/>
              <w:jc w:val="center"/>
              <w:rPr>
                <w:rFonts w:hint="eastAsia" w:ascii="黑体" w:hAnsi="黑体" w:eastAsia="黑体" w:cs="宋体"/>
                <w:kern w:val="0"/>
                <w:szCs w:val="21"/>
              </w:rPr>
            </w:pPr>
            <w:r>
              <w:rPr>
                <w:rFonts w:hint="eastAsia" w:ascii="黑体" w:hAnsi="黑体" w:eastAsia="黑体" w:cs="宋体"/>
                <w:kern w:val="0"/>
                <w:szCs w:val="21"/>
              </w:rPr>
              <w:t>1</w:t>
            </w:r>
          </w:p>
        </w:tc>
        <w:tc>
          <w:tcPr>
            <w:tcW w:w="688" w:type="pct"/>
            <w:vMerge w:val="restart"/>
            <w:vAlign w:val="center"/>
          </w:tcPr>
          <w:p w14:paraId="4647E9C0">
            <w:pPr>
              <w:widowControl/>
              <w:spacing w:line="360" w:lineRule="auto"/>
              <w:jc w:val="center"/>
              <w:rPr>
                <w:rFonts w:hint="eastAsia" w:ascii="黑体" w:hAnsi="黑体" w:eastAsia="黑体" w:cs="宋体"/>
                <w:kern w:val="0"/>
                <w:szCs w:val="21"/>
              </w:rPr>
            </w:pPr>
            <w:r>
              <w:rPr>
                <w:rFonts w:hint="eastAsia" w:ascii="黑体" w:hAnsi="黑体" w:eastAsia="黑体" w:cs="宋体"/>
                <w:kern w:val="0"/>
                <w:szCs w:val="21"/>
              </w:rPr>
              <w:t>价格</w:t>
            </w:r>
          </w:p>
          <w:p w14:paraId="4FDF4650">
            <w:pPr>
              <w:widowControl/>
              <w:spacing w:line="360" w:lineRule="auto"/>
              <w:jc w:val="center"/>
              <w:rPr>
                <w:rFonts w:hint="eastAsia" w:ascii="黑体" w:hAnsi="黑体" w:eastAsia="黑体" w:cs="宋体"/>
                <w:kern w:val="0"/>
                <w:szCs w:val="21"/>
              </w:rPr>
            </w:pPr>
            <w:r>
              <w:rPr>
                <w:rFonts w:hint="eastAsia" w:ascii="黑体" w:hAnsi="黑体" w:eastAsia="黑体" w:cs="宋体"/>
                <w:kern w:val="0"/>
                <w:szCs w:val="21"/>
              </w:rPr>
              <w:t>（20分）</w:t>
            </w:r>
          </w:p>
        </w:tc>
        <w:tc>
          <w:tcPr>
            <w:tcW w:w="3697" w:type="pct"/>
            <w:vAlign w:val="center"/>
          </w:tcPr>
          <w:p w14:paraId="4399438E">
            <w:pPr>
              <w:rPr>
                <w:rFonts w:hint="eastAsia"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门诊眼保健筛查服务价格分：</w:t>
            </w:r>
          </w:p>
          <w:p w14:paraId="69C165EA">
            <w:pPr>
              <w:widowControl/>
              <w:rPr>
                <w:rFonts w:hint="eastAsia" w:ascii="黑体" w:hAnsi="黑体" w:eastAsia="黑体" w:cs="宋体"/>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采用低价优先法计算，即满足磋商文件要求且最后费率报价最低的供应商的报价作为磋商基准价，其价格分为满分，其他供应商的价格分统一按照下列公式计算（小数点保留两位）：</w:t>
            </w:r>
            <w:r>
              <w:rPr>
                <w:rFonts w:hint="eastAsia" w:ascii="黑体" w:hAnsi="黑体" w:eastAsia="黑体"/>
                <w:color w:val="000000" w:themeColor="text1"/>
                <w:szCs w:val="21"/>
                <w14:textFill>
                  <w14:solidFill>
                    <w14:schemeClr w14:val="tx1"/>
                  </w14:solidFill>
                </w14:textFill>
              </w:rPr>
              <w:t>门诊医疗服务磋商报价得</w:t>
            </w:r>
            <w:r>
              <w:rPr>
                <w:rFonts w:hint="eastAsia" w:ascii="黑体" w:hAnsi="黑体" w:eastAsia="黑体" w:cs="宋体"/>
                <w:color w:val="000000" w:themeColor="text1"/>
                <w:kern w:val="0"/>
                <w:szCs w:val="21"/>
                <w14:textFill>
                  <w14:solidFill>
                    <w14:schemeClr w14:val="tx1"/>
                  </w14:solidFill>
                </w14:textFill>
              </w:rPr>
              <w:t>分=（磋商基准价/最后磋商费率报价）×10。</w:t>
            </w:r>
          </w:p>
          <w:p w14:paraId="776FAEB9">
            <w:pPr>
              <w:widowControl/>
              <w:rPr>
                <w:rFonts w:hint="eastAsia" w:ascii="黑体" w:hAnsi="黑体" w:eastAsia="黑体" w:cs="宋体"/>
                <w:color w:val="000000" w:themeColor="text1"/>
                <w:kern w:val="0"/>
                <w:szCs w:val="21"/>
                <w14:textFill>
                  <w14:solidFill>
                    <w14:schemeClr w14:val="tx1"/>
                  </w14:solidFill>
                </w14:textFill>
              </w:rPr>
            </w:pPr>
            <w:r>
              <w:rPr>
                <w:rFonts w:hint="eastAsia" w:ascii="黑体" w:hAnsi="黑体" w:eastAsia="黑体" w:cs="方正仿宋_GBK"/>
                <w:b/>
                <w:bCs/>
                <w:color w:val="000000" w:themeColor="text1"/>
                <w:szCs w:val="21"/>
                <w14:textFill>
                  <w14:solidFill>
                    <w14:schemeClr w14:val="tx1"/>
                  </w14:solidFill>
                </w14:textFill>
              </w:rPr>
              <w:t>以江苏省医疗服务价格为基准，如省文件未规定的，则以南京市医疗服务价格为基准。</w:t>
            </w:r>
          </w:p>
        </w:tc>
        <w:tc>
          <w:tcPr>
            <w:tcW w:w="308" w:type="pct"/>
            <w:vAlign w:val="center"/>
          </w:tcPr>
          <w:p w14:paraId="3B6FBF37">
            <w:pPr>
              <w:widowControl/>
              <w:spacing w:line="360" w:lineRule="auto"/>
              <w:jc w:val="center"/>
              <w:rPr>
                <w:rFonts w:hint="eastAsia" w:ascii="黑体" w:hAnsi="黑体" w:eastAsia="黑体" w:cs="宋体"/>
                <w:kern w:val="0"/>
                <w:szCs w:val="21"/>
              </w:rPr>
            </w:pPr>
            <w:r>
              <w:rPr>
                <w:rFonts w:hint="eastAsia" w:ascii="黑体" w:hAnsi="黑体" w:eastAsia="黑体" w:cs="宋体"/>
                <w:kern w:val="0"/>
                <w:szCs w:val="21"/>
              </w:rPr>
              <w:t>10</w:t>
            </w:r>
          </w:p>
        </w:tc>
      </w:tr>
      <w:tr w14:paraId="5B739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 w:type="pct"/>
            <w:vMerge w:val="continue"/>
            <w:vAlign w:val="center"/>
          </w:tcPr>
          <w:p w14:paraId="3C3F5BA5">
            <w:pPr>
              <w:widowControl/>
              <w:spacing w:line="360" w:lineRule="auto"/>
              <w:jc w:val="center"/>
              <w:rPr>
                <w:rFonts w:hint="eastAsia" w:ascii="黑体" w:hAnsi="黑体" w:eastAsia="黑体" w:cs="宋体"/>
                <w:kern w:val="0"/>
                <w:szCs w:val="21"/>
              </w:rPr>
            </w:pPr>
          </w:p>
        </w:tc>
        <w:tc>
          <w:tcPr>
            <w:tcW w:w="688" w:type="pct"/>
            <w:vMerge w:val="continue"/>
            <w:vAlign w:val="center"/>
          </w:tcPr>
          <w:p w14:paraId="65ABAE8B">
            <w:pPr>
              <w:widowControl/>
              <w:spacing w:line="360" w:lineRule="auto"/>
              <w:jc w:val="center"/>
              <w:rPr>
                <w:rFonts w:hint="eastAsia" w:ascii="黑体" w:hAnsi="黑体" w:eastAsia="黑体" w:cs="宋体"/>
                <w:kern w:val="0"/>
                <w:szCs w:val="21"/>
              </w:rPr>
            </w:pPr>
          </w:p>
        </w:tc>
        <w:tc>
          <w:tcPr>
            <w:tcW w:w="3697" w:type="pct"/>
            <w:vAlign w:val="center"/>
          </w:tcPr>
          <w:p w14:paraId="0653F007">
            <w:pPr>
              <w:rPr>
                <w:rFonts w:hint="eastAsia" w:ascii="黑体" w:hAnsi="黑体" w:eastAsia="黑体" w:cs="宋体"/>
                <w:color w:val="000000" w:themeColor="text1"/>
                <w:kern w:val="0"/>
                <w:szCs w:val="21"/>
                <w14:textFill>
                  <w14:solidFill>
                    <w14:schemeClr w14:val="tx1"/>
                  </w14:solidFill>
                </w14:textFill>
              </w:rPr>
            </w:pPr>
            <w:r>
              <w:rPr>
                <w:rFonts w:hint="eastAsia" w:ascii="黑体" w:hAnsi="黑体" w:eastAsia="黑体" w:cs="黑体"/>
                <w:color w:val="000000" w:themeColor="text1"/>
                <w:szCs w:val="32"/>
                <w14:textFill>
                  <w14:solidFill>
                    <w14:schemeClr w14:val="tx1"/>
                  </w14:solidFill>
                </w14:textFill>
              </w:rPr>
              <w:t>其他视功能辅助检查筛查及拓展服务</w:t>
            </w:r>
            <w:r>
              <w:rPr>
                <w:rFonts w:hint="eastAsia" w:ascii="黑体" w:hAnsi="黑体" w:eastAsia="黑体"/>
                <w:color w:val="000000" w:themeColor="text1"/>
                <w:szCs w:val="21"/>
                <w14:textFill>
                  <w14:solidFill>
                    <w14:schemeClr w14:val="tx1"/>
                  </w14:solidFill>
                </w14:textFill>
              </w:rPr>
              <w:t>价格分：</w:t>
            </w:r>
          </w:p>
          <w:p w14:paraId="5D2BF4BD">
            <w:pPr>
              <w:widowControl/>
              <w:rPr>
                <w:rFonts w:hint="eastAsia" w:ascii="黑体" w:hAnsi="黑体" w:eastAsia="黑体" w:cs="宋体"/>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采用低价优先法计算，即满足磋商文件要求且最后报价最低的供应商的价格作为磋商基准价，其价格分为满分，其他供应商的价格分统一按照下列公式计算（小数点保留两位）：</w:t>
            </w:r>
          </w:p>
          <w:p w14:paraId="7A58D956">
            <w:pPr>
              <w:rPr>
                <w:rFonts w:hint="eastAsia" w:ascii="黑体" w:hAnsi="黑体" w:eastAsia="黑体" w:cs="宋体"/>
                <w:color w:val="000000" w:themeColor="text1"/>
                <w:kern w:val="0"/>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托幼机构医疗服务磋商报价得</w:t>
            </w:r>
            <w:r>
              <w:rPr>
                <w:rFonts w:hint="eastAsia" w:ascii="黑体" w:hAnsi="黑体" w:eastAsia="黑体" w:cs="宋体"/>
                <w:color w:val="000000" w:themeColor="text1"/>
                <w:kern w:val="0"/>
                <w:szCs w:val="21"/>
                <w14:textFill>
                  <w14:solidFill>
                    <w14:schemeClr w14:val="tx1"/>
                  </w14:solidFill>
                </w14:textFill>
              </w:rPr>
              <w:t>分=（磋商基准价/最后磋商报价）×10。</w:t>
            </w:r>
          </w:p>
          <w:p w14:paraId="380457CF">
            <w:pPr>
              <w:widowControl/>
              <w:rPr>
                <w:rFonts w:hint="eastAsia" w:ascii="黑体" w:hAnsi="黑体" w:eastAsia="黑体" w:cs="宋体"/>
                <w:color w:val="000000" w:themeColor="text1"/>
                <w:kern w:val="0"/>
                <w:szCs w:val="21"/>
                <w14:textFill>
                  <w14:solidFill>
                    <w14:schemeClr w14:val="tx1"/>
                  </w14:solidFill>
                </w14:textFill>
              </w:rPr>
            </w:pPr>
            <w:r>
              <w:rPr>
                <w:rFonts w:hint="eastAsia" w:ascii="黑体" w:hAnsi="黑体" w:eastAsia="黑体" w:cs="方正仿宋_GBK"/>
                <w:b/>
                <w:bCs/>
                <w:color w:val="000000" w:themeColor="text1"/>
                <w:szCs w:val="21"/>
                <w14:textFill>
                  <w14:solidFill>
                    <w14:schemeClr w14:val="tx1"/>
                  </w14:solidFill>
                </w14:textFill>
              </w:rPr>
              <w:t>以江苏省医疗服务价格为基准，如省文件未规定的，则以南京市医疗服务价格为基准。</w:t>
            </w:r>
          </w:p>
        </w:tc>
        <w:tc>
          <w:tcPr>
            <w:tcW w:w="308" w:type="pct"/>
            <w:vAlign w:val="center"/>
          </w:tcPr>
          <w:p w14:paraId="3D96C0E9">
            <w:pPr>
              <w:widowControl/>
              <w:spacing w:line="360" w:lineRule="auto"/>
              <w:jc w:val="center"/>
              <w:rPr>
                <w:rFonts w:hint="eastAsia" w:ascii="黑体" w:hAnsi="黑体" w:eastAsia="黑体" w:cs="宋体"/>
                <w:kern w:val="0"/>
                <w:szCs w:val="21"/>
              </w:rPr>
            </w:pPr>
            <w:r>
              <w:rPr>
                <w:rFonts w:hint="eastAsia" w:ascii="黑体" w:hAnsi="黑体" w:eastAsia="黑体" w:cs="宋体"/>
                <w:kern w:val="0"/>
                <w:szCs w:val="21"/>
              </w:rPr>
              <w:t>10</w:t>
            </w:r>
          </w:p>
        </w:tc>
      </w:tr>
      <w:tr w14:paraId="0AB93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8" w:hRule="atLeast"/>
          <w:jc w:val="center"/>
        </w:trPr>
        <w:tc>
          <w:tcPr>
            <w:tcW w:w="308" w:type="pct"/>
            <w:vAlign w:val="center"/>
          </w:tcPr>
          <w:p w14:paraId="7B7A4606">
            <w:pPr>
              <w:widowControl/>
              <w:jc w:val="center"/>
              <w:rPr>
                <w:rFonts w:hint="eastAsia" w:ascii="黑体" w:hAnsi="黑体" w:eastAsia="黑体" w:cs="宋体"/>
                <w:kern w:val="0"/>
                <w:szCs w:val="21"/>
              </w:rPr>
            </w:pPr>
            <w:r>
              <w:rPr>
                <w:rFonts w:ascii="黑体" w:hAnsi="黑体" w:eastAsia="黑体" w:cs="宋体"/>
                <w:kern w:val="0"/>
                <w:szCs w:val="21"/>
              </w:rPr>
              <w:t>2</w:t>
            </w:r>
          </w:p>
        </w:tc>
        <w:tc>
          <w:tcPr>
            <w:tcW w:w="688" w:type="pct"/>
            <w:vAlign w:val="center"/>
          </w:tcPr>
          <w:p w14:paraId="1CDD4CBE">
            <w:pPr>
              <w:jc w:val="center"/>
              <w:rPr>
                <w:rFonts w:hint="eastAsia" w:ascii="黑体" w:hAnsi="黑体" w:eastAsia="黑体" w:cs="宋体"/>
                <w:szCs w:val="21"/>
              </w:rPr>
            </w:pPr>
            <w:r>
              <w:rPr>
                <w:rFonts w:hint="eastAsia" w:ascii="黑体" w:hAnsi="黑体" w:eastAsia="黑体" w:cs="宋体"/>
                <w:szCs w:val="21"/>
              </w:rPr>
              <w:t>业绩</w:t>
            </w:r>
          </w:p>
          <w:p w14:paraId="70D5D289">
            <w:pPr>
              <w:jc w:val="center"/>
              <w:rPr>
                <w:rFonts w:hint="eastAsia" w:ascii="黑体" w:hAnsi="黑体" w:eastAsia="黑体" w:cs="宋体"/>
                <w:szCs w:val="21"/>
              </w:rPr>
            </w:pPr>
            <w:r>
              <w:rPr>
                <w:rFonts w:hint="eastAsia" w:ascii="黑体" w:hAnsi="黑体" w:eastAsia="黑体" w:cs="宋体"/>
                <w:szCs w:val="21"/>
              </w:rPr>
              <w:t>（10分）</w:t>
            </w:r>
          </w:p>
        </w:tc>
        <w:tc>
          <w:tcPr>
            <w:tcW w:w="3697" w:type="pct"/>
            <w:vAlign w:val="center"/>
          </w:tcPr>
          <w:p w14:paraId="55FAD6D7">
            <w:pPr>
              <w:rPr>
                <w:rFonts w:hint="eastAsia" w:ascii="黑体" w:hAnsi="黑体" w:eastAsia="黑体" w:cs="宋体"/>
                <w:szCs w:val="21"/>
              </w:rPr>
            </w:pPr>
            <w:r>
              <w:rPr>
                <w:rFonts w:hint="eastAsia" w:ascii="黑体" w:hAnsi="黑体" w:eastAsia="黑体" w:cs="宋体"/>
                <w:color w:val="000000" w:themeColor="text1"/>
                <w:szCs w:val="21"/>
                <w14:textFill>
                  <w14:solidFill>
                    <w14:schemeClr w14:val="tx1"/>
                  </w14:solidFill>
                </w14:textFill>
              </w:rPr>
              <w:t>供应商自</w:t>
            </w:r>
            <w:r>
              <w:rPr>
                <w:rFonts w:hint="eastAsia" w:ascii="黑体" w:hAnsi="黑体" w:eastAsia="黑体" w:cs="宋体"/>
                <w:color w:val="000000" w:themeColor="text1"/>
                <w:szCs w:val="21"/>
                <w:lang w:eastAsia="zh-CN"/>
                <w14:textFill>
                  <w14:solidFill>
                    <w14:schemeClr w14:val="tx1"/>
                  </w14:solidFill>
                </w14:textFill>
              </w:rPr>
              <w:t>2023年1月1日</w:t>
            </w:r>
            <w:r>
              <w:rPr>
                <w:rFonts w:hint="eastAsia" w:ascii="黑体" w:hAnsi="黑体" w:eastAsia="黑体" w:cs="宋体"/>
                <w:color w:val="000000" w:themeColor="text1"/>
                <w:szCs w:val="21"/>
                <w14:textFill>
                  <w14:solidFill>
                    <w14:schemeClr w14:val="tx1"/>
                  </w14:solidFill>
                </w14:textFill>
              </w:rPr>
              <w:t>以来</w:t>
            </w:r>
            <w:r>
              <w:rPr>
                <w:rFonts w:hint="eastAsia" w:ascii="黑体" w:hAnsi="黑体" w:eastAsia="黑体" w:cs="宋体"/>
                <w:szCs w:val="21"/>
              </w:rPr>
              <w:t>具有眼保健筛查同类项目的成功案例，每提供一个完整的案例合同得2分，最高得6分。</w:t>
            </w:r>
          </w:p>
          <w:p w14:paraId="1310E6BA">
            <w:pPr>
              <w:rPr>
                <w:rFonts w:hint="eastAsia" w:ascii="黑体" w:hAnsi="黑体" w:eastAsia="黑体" w:cs="宋体"/>
                <w:szCs w:val="21"/>
              </w:rPr>
            </w:pPr>
            <w:r>
              <w:rPr>
                <w:rFonts w:hint="eastAsia" w:ascii="黑体" w:hAnsi="黑体" w:eastAsia="黑体" w:cs="宋体"/>
                <w:szCs w:val="21"/>
              </w:rPr>
              <w:t>上述案例能提供采购人出具的客户满意度证明，结论为“满意”或“优秀”的，每项得2分；结论为“较满意”或“良好”的，每项得1分；其他不得分；最高得4分。（提供合同及客户满意度证明复印件并加盖供应商单位公章，原件备查）</w:t>
            </w:r>
          </w:p>
        </w:tc>
        <w:tc>
          <w:tcPr>
            <w:tcW w:w="308" w:type="pct"/>
            <w:vAlign w:val="center"/>
          </w:tcPr>
          <w:p w14:paraId="0A702146">
            <w:pPr>
              <w:jc w:val="center"/>
              <w:rPr>
                <w:rFonts w:hint="eastAsia" w:ascii="黑体" w:hAnsi="黑体" w:eastAsia="黑体" w:cs="宋体"/>
                <w:szCs w:val="21"/>
              </w:rPr>
            </w:pPr>
            <w:r>
              <w:rPr>
                <w:rFonts w:hint="eastAsia" w:ascii="黑体" w:hAnsi="黑体" w:eastAsia="黑体" w:cs="宋体"/>
                <w:kern w:val="0"/>
                <w:szCs w:val="21"/>
              </w:rPr>
              <w:t>10</w:t>
            </w:r>
          </w:p>
        </w:tc>
      </w:tr>
      <w:tr w14:paraId="759C1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6" w:hRule="atLeast"/>
          <w:jc w:val="center"/>
        </w:trPr>
        <w:tc>
          <w:tcPr>
            <w:tcW w:w="308" w:type="pct"/>
            <w:vAlign w:val="center"/>
          </w:tcPr>
          <w:p w14:paraId="7F0B98F7">
            <w:pPr>
              <w:widowControl/>
              <w:jc w:val="center"/>
              <w:rPr>
                <w:rFonts w:hint="eastAsia" w:ascii="黑体" w:hAnsi="黑体" w:eastAsia="黑体" w:cs="宋体"/>
                <w:kern w:val="0"/>
                <w:szCs w:val="21"/>
              </w:rPr>
            </w:pPr>
            <w:r>
              <w:rPr>
                <w:rFonts w:ascii="黑体" w:hAnsi="黑体" w:eastAsia="黑体" w:cs="宋体"/>
                <w:kern w:val="0"/>
                <w:szCs w:val="21"/>
              </w:rPr>
              <w:t>3</w:t>
            </w:r>
          </w:p>
        </w:tc>
        <w:tc>
          <w:tcPr>
            <w:tcW w:w="688" w:type="pct"/>
            <w:vAlign w:val="center"/>
          </w:tcPr>
          <w:p w14:paraId="7AF83171">
            <w:pPr>
              <w:widowControl/>
              <w:jc w:val="center"/>
              <w:rPr>
                <w:rFonts w:hint="eastAsia" w:ascii="黑体" w:hAnsi="黑体" w:eastAsia="黑体" w:cs="宋体"/>
                <w:kern w:val="0"/>
                <w:szCs w:val="21"/>
              </w:rPr>
            </w:pPr>
            <w:r>
              <w:rPr>
                <w:rFonts w:ascii="黑体" w:hAnsi="黑体" w:eastAsia="黑体" w:cs="宋体"/>
                <w:kern w:val="0"/>
                <w:szCs w:val="21"/>
              </w:rPr>
              <w:t>人员配备</w:t>
            </w:r>
          </w:p>
          <w:p w14:paraId="1E8DA3AE">
            <w:pPr>
              <w:widowControl/>
              <w:jc w:val="center"/>
              <w:rPr>
                <w:rFonts w:hint="eastAsia" w:ascii="黑体" w:hAnsi="黑体" w:eastAsia="黑体" w:cs="宋体"/>
                <w:kern w:val="0"/>
                <w:szCs w:val="21"/>
              </w:rPr>
            </w:pPr>
            <w:r>
              <w:rPr>
                <w:rFonts w:hint="eastAsia" w:ascii="黑体" w:hAnsi="黑体" w:eastAsia="黑体" w:cs="宋体"/>
                <w:kern w:val="0"/>
                <w:szCs w:val="21"/>
              </w:rPr>
              <w:t>（8分）</w:t>
            </w:r>
          </w:p>
        </w:tc>
        <w:tc>
          <w:tcPr>
            <w:tcW w:w="3697" w:type="pct"/>
            <w:vAlign w:val="center"/>
          </w:tcPr>
          <w:p w14:paraId="23410D4D">
            <w:pPr>
              <w:pStyle w:val="120"/>
              <w:spacing w:before="38" w:line="224" w:lineRule="auto"/>
              <w:ind w:left="129"/>
              <w:rPr>
                <w:rFonts w:hint="eastAsia" w:ascii="黑体" w:hAnsi="黑体" w:eastAsia="黑体" w:cs="宋体"/>
                <w:snapToGrid/>
                <w:color w:val="auto"/>
                <w:kern w:val="2"/>
                <w:sz w:val="21"/>
                <w:szCs w:val="21"/>
                <w:lang w:eastAsia="zh-CN"/>
              </w:rPr>
            </w:pPr>
            <w:r>
              <w:rPr>
                <w:rFonts w:hint="eastAsia" w:ascii="黑体" w:hAnsi="黑体" w:eastAsia="黑体" w:cs="宋体"/>
                <w:snapToGrid/>
                <w:color w:val="auto"/>
                <w:kern w:val="2"/>
                <w:sz w:val="21"/>
                <w:szCs w:val="21"/>
                <w:lang w:eastAsia="zh-CN"/>
              </w:rPr>
              <w:t>（1）</w:t>
            </w:r>
            <w:r>
              <w:rPr>
                <w:rFonts w:ascii="黑体" w:hAnsi="黑体" w:eastAsia="黑体" w:cs="宋体"/>
                <w:snapToGrid/>
                <w:color w:val="auto"/>
                <w:kern w:val="2"/>
                <w:sz w:val="21"/>
                <w:szCs w:val="21"/>
                <w:lang w:eastAsia="zh-CN"/>
              </w:rPr>
              <w:t>项目负责人：</w:t>
            </w:r>
          </w:p>
          <w:p w14:paraId="219F0EBA">
            <w:pPr>
              <w:pStyle w:val="120"/>
              <w:spacing w:before="23" w:line="239" w:lineRule="auto"/>
              <w:ind w:left="118" w:right="60" w:firstLine="3"/>
              <w:jc w:val="both"/>
              <w:rPr>
                <w:rFonts w:hint="eastAsia" w:ascii="黑体" w:hAnsi="黑体" w:eastAsia="黑体" w:cs="宋体"/>
                <w:snapToGrid/>
                <w:color w:val="auto"/>
                <w:kern w:val="2"/>
                <w:sz w:val="21"/>
                <w:szCs w:val="21"/>
                <w:lang w:eastAsia="zh-CN"/>
              </w:rPr>
            </w:pPr>
            <w:r>
              <w:rPr>
                <w:rFonts w:ascii="黑体" w:hAnsi="黑体" w:eastAsia="黑体" w:cs="宋体"/>
                <w:snapToGrid/>
                <w:color w:val="auto"/>
                <w:kern w:val="2"/>
                <w:sz w:val="21"/>
                <w:szCs w:val="21"/>
                <w:lang w:eastAsia="zh-CN"/>
              </w:rPr>
              <w:t>具有眼视光技术证书（人力资源和社会保障部及国家 卫生健康委员会颁发）及眼镜验光员（人力资源和社会保障部颁发）一级技师，得 4 分；具有眼视光技术 证书（人力资源和社会保障部及国家卫生健康委员会 颁发）及眼镜验光员（人力资源和社会保障部颁发） 二级技师，得 2 分；具有眼视光技术证书（</w:t>
            </w:r>
            <w:r>
              <w:rPr>
                <w:rFonts w:hint="eastAsia" w:ascii="黑体" w:hAnsi="黑体" w:eastAsia="黑体" w:cs="宋体"/>
                <w:snapToGrid/>
                <w:color w:val="auto"/>
                <w:kern w:val="2"/>
                <w:sz w:val="21"/>
                <w:szCs w:val="21"/>
                <w:lang w:eastAsia="zh-CN"/>
              </w:rPr>
              <w:t>人力资源和社会保障部</w:t>
            </w:r>
            <w:r>
              <w:rPr>
                <w:rFonts w:ascii="黑体" w:hAnsi="黑体" w:eastAsia="黑体" w:cs="宋体"/>
                <w:snapToGrid/>
                <w:color w:val="auto"/>
                <w:kern w:val="2"/>
                <w:sz w:val="21"/>
                <w:szCs w:val="21"/>
                <w:lang w:eastAsia="zh-CN"/>
              </w:rPr>
              <w:t>及国家卫生健康委员会颁发）及眼镜验 光员（人力资源和社会保障部颁发）三级技师或医护 人员，得 1 分。</w:t>
            </w:r>
            <w:r>
              <w:rPr>
                <w:rFonts w:hint="eastAsia" w:ascii="黑体" w:hAnsi="黑体" w:eastAsia="黑体" w:cs="宋体"/>
                <w:snapToGrid/>
                <w:color w:val="auto"/>
                <w:kern w:val="2"/>
                <w:sz w:val="21"/>
                <w:szCs w:val="21"/>
                <w:lang w:eastAsia="zh-CN"/>
              </w:rPr>
              <w:t>本项</w:t>
            </w:r>
            <w:r>
              <w:rPr>
                <w:rFonts w:ascii="黑体" w:hAnsi="黑体" w:eastAsia="黑体" w:cs="宋体"/>
                <w:snapToGrid/>
                <w:color w:val="auto"/>
                <w:kern w:val="2"/>
                <w:sz w:val="21"/>
                <w:szCs w:val="21"/>
                <w:lang w:eastAsia="zh-CN"/>
              </w:rPr>
              <w:t xml:space="preserve">最高得 </w:t>
            </w:r>
            <w:r>
              <w:rPr>
                <w:rFonts w:hint="eastAsia" w:ascii="黑体" w:hAnsi="黑体" w:eastAsia="黑体" w:cs="宋体"/>
                <w:snapToGrid/>
                <w:color w:val="auto"/>
                <w:kern w:val="2"/>
                <w:sz w:val="21"/>
                <w:szCs w:val="21"/>
                <w:lang w:eastAsia="zh-CN"/>
              </w:rPr>
              <w:t>4</w:t>
            </w:r>
            <w:r>
              <w:rPr>
                <w:rFonts w:ascii="黑体" w:hAnsi="黑体" w:eastAsia="黑体" w:cs="宋体"/>
                <w:snapToGrid/>
                <w:color w:val="auto"/>
                <w:kern w:val="2"/>
                <w:sz w:val="21"/>
                <w:szCs w:val="21"/>
                <w:lang w:eastAsia="zh-CN"/>
              </w:rPr>
              <w:t xml:space="preserve"> 分。</w:t>
            </w:r>
          </w:p>
          <w:p w14:paraId="6F4CB821">
            <w:pPr>
              <w:pStyle w:val="120"/>
              <w:spacing w:before="2" w:line="239" w:lineRule="auto"/>
              <w:ind w:left="119" w:right="104" w:hanging="4"/>
              <w:rPr>
                <w:rFonts w:hint="eastAsia" w:ascii="黑体" w:hAnsi="黑体" w:eastAsia="黑体" w:cs="宋体"/>
                <w:snapToGrid/>
                <w:color w:val="auto"/>
                <w:kern w:val="2"/>
                <w:sz w:val="21"/>
                <w:szCs w:val="21"/>
                <w:lang w:eastAsia="zh-CN"/>
              </w:rPr>
            </w:pPr>
            <w:r>
              <w:rPr>
                <w:rFonts w:hint="eastAsia" w:ascii="黑体" w:hAnsi="黑体" w:eastAsia="黑体" w:cs="宋体"/>
                <w:snapToGrid/>
                <w:color w:val="auto"/>
                <w:kern w:val="2"/>
                <w:sz w:val="21"/>
                <w:szCs w:val="21"/>
                <w:lang w:eastAsia="zh-CN"/>
              </w:rPr>
              <w:t>（2）</w:t>
            </w:r>
            <w:r>
              <w:rPr>
                <w:rFonts w:ascii="黑体" w:hAnsi="黑体" w:eastAsia="黑体" w:cs="宋体"/>
                <w:snapToGrid/>
                <w:color w:val="auto"/>
                <w:kern w:val="2"/>
                <w:sz w:val="21"/>
                <w:szCs w:val="21"/>
                <w:lang w:eastAsia="zh-CN"/>
              </w:rPr>
              <w:t>项目其他人员中具有眼视光技术证书（</w:t>
            </w:r>
            <w:r>
              <w:rPr>
                <w:rFonts w:hint="eastAsia" w:ascii="黑体" w:hAnsi="黑体" w:eastAsia="黑体" w:cs="宋体"/>
                <w:snapToGrid/>
                <w:color w:val="auto"/>
                <w:kern w:val="2"/>
                <w:sz w:val="21"/>
                <w:szCs w:val="21"/>
                <w:lang w:eastAsia="zh-CN"/>
              </w:rPr>
              <w:t>人力资源和社会保障部</w:t>
            </w:r>
            <w:r>
              <w:rPr>
                <w:rFonts w:ascii="黑体" w:hAnsi="黑体" w:eastAsia="黑体" w:cs="宋体"/>
                <w:snapToGrid/>
                <w:color w:val="auto"/>
                <w:kern w:val="2"/>
                <w:sz w:val="21"/>
                <w:szCs w:val="21"/>
                <w:lang w:eastAsia="zh-CN"/>
              </w:rPr>
              <w:t xml:space="preserve">及国家卫生健康委员会颁发）或眼镜验 光员（人力资源和社会保障部颁发）三级技师及以上或医护人员，每一人得 </w:t>
            </w:r>
            <w:r>
              <w:rPr>
                <w:rFonts w:hint="eastAsia" w:ascii="黑体" w:hAnsi="黑体" w:eastAsia="黑体" w:cs="宋体"/>
                <w:snapToGrid/>
                <w:color w:val="auto"/>
                <w:kern w:val="2"/>
                <w:sz w:val="21"/>
                <w:szCs w:val="21"/>
                <w:lang w:eastAsia="zh-CN"/>
              </w:rPr>
              <w:t>1</w:t>
            </w:r>
            <w:r>
              <w:rPr>
                <w:rFonts w:ascii="黑体" w:hAnsi="黑体" w:eastAsia="黑体" w:cs="宋体"/>
                <w:snapToGrid/>
                <w:color w:val="auto"/>
                <w:kern w:val="2"/>
                <w:sz w:val="21"/>
                <w:szCs w:val="21"/>
                <w:lang w:eastAsia="zh-CN"/>
              </w:rPr>
              <w:t xml:space="preserve"> 分，</w:t>
            </w:r>
            <w:r>
              <w:rPr>
                <w:rFonts w:hint="eastAsia" w:ascii="黑体" w:hAnsi="黑体" w:eastAsia="黑体" w:cs="宋体"/>
                <w:snapToGrid/>
                <w:color w:val="auto"/>
                <w:kern w:val="2"/>
                <w:sz w:val="21"/>
                <w:szCs w:val="21"/>
                <w:lang w:eastAsia="zh-CN"/>
              </w:rPr>
              <w:t>本项</w:t>
            </w:r>
            <w:r>
              <w:rPr>
                <w:rFonts w:ascii="黑体" w:hAnsi="黑体" w:eastAsia="黑体" w:cs="宋体"/>
                <w:snapToGrid/>
                <w:color w:val="auto"/>
                <w:kern w:val="2"/>
                <w:sz w:val="21"/>
                <w:szCs w:val="21"/>
                <w:lang w:eastAsia="zh-CN"/>
              </w:rPr>
              <w:t xml:space="preserve">最高得 </w:t>
            </w:r>
            <w:r>
              <w:rPr>
                <w:rFonts w:hint="eastAsia" w:ascii="黑体" w:hAnsi="黑体" w:eastAsia="黑体" w:cs="宋体"/>
                <w:snapToGrid/>
                <w:color w:val="auto"/>
                <w:kern w:val="2"/>
                <w:sz w:val="21"/>
                <w:szCs w:val="21"/>
                <w:lang w:eastAsia="zh-CN"/>
              </w:rPr>
              <w:t>4</w:t>
            </w:r>
            <w:r>
              <w:rPr>
                <w:rFonts w:ascii="黑体" w:hAnsi="黑体" w:eastAsia="黑体" w:cs="宋体"/>
                <w:snapToGrid/>
                <w:color w:val="auto"/>
                <w:kern w:val="2"/>
                <w:sz w:val="21"/>
                <w:szCs w:val="21"/>
                <w:lang w:eastAsia="zh-CN"/>
              </w:rPr>
              <w:t xml:space="preserve"> 分。</w:t>
            </w:r>
          </w:p>
          <w:p w14:paraId="3909CACE">
            <w:pPr>
              <w:widowControl/>
              <w:rPr>
                <w:rFonts w:hint="eastAsia" w:ascii="黑体" w:hAnsi="黑体" w:eastAsia="黑体" w:cs="宋体"/>
                <w:szCs w:val="21"/>
              </w:rPr>
            </w:pPr>
            <w:r>
              <w:rPr>
                <w:rFonts w:hint="eastAsia" w:ascii="黑体" w:hAnsi="黑体" w:eastAsia="黑体" w:cs="宋体"/>
                <w:szCs w:val="21"/>
              </w:rPr>
              <w:t>（提供相关证书复印件加盖供应商单位公章，原件备查）</w:t>
            </w:r>
          </w:p>
        </w:tc>
        <w:tc>
          <w:tcPr>
            <w:tcW w:w="308" w:type="pct"/>
            <w:vAlign w:val="center"/>
          </w:tcPr>
          <w:p w14:paraId="5EA185EF">
            <w:pPr>
              <w:widowControl/>
              <w:jc w:val="center"/>
              <w:rPr>
                <w:rFonts w:hint="eastAsia" w:ascii="黑体" w:hAnsi="黑体" w:eastAsia="黑体" w:cs="宋体"/>
                <w:kern w:val="0"/>
                <w:szCs w:val="21"/>
              </w:rPr>
            </w:pPr>
            <w:r>
              <w:rPr>
                <w:rFonts w:hint="eastAsia" w:ascii="黑体" w:hAnsi="黑体" w:eastAsia="黑体" w:cs="宋体"/>
                <w:kern w:val="0"/>
                <w:szCs w:val="21"/>
              </w:rPr>
              <w:t>8</w:t>
            </w:r>
          </w:p>
        </w:tc>
      </w:tr>
      <w:tr w14:paraId="4BC00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308" w:type="pct"/>
            <w:vAlign w:val="center"/>
          </w:tcPr>
          <w:p w14:paraId="00344AD8">
            <w:pPr>
              <w:widowControl/>
              <w:jc w:val="center"/>
              <w:rPr>
                <w:rFonts w:hint="eastAsia" w:ascii="黑体" w:hAnsi="黑体" w:eastAsia="黑体" w:cs="宋体"/>
                <w:kern w:val="0"/>
                <w:szCs w:val="21"/>
              </w:rPr>
            </w:pPr>
            <w:r>
              <w:rPr>
                <w:rFonts w:hint="eastAsia" w:ascii="黑体" w:hAnsi="黑体" w:eastAsia="黑体" w:cs="宋体"/>
                <w:kern w:val="0"/>
                <w:szCs w:val="21"/>
              </w:rPr>
              <w:t>4</w:t>
            </w:r>
          </w:p>
        </w:tc>
        <w:tc>
          <w:tcPr>
            <w:tcW w:w="688" w:type="pct"/>
            <w:vAlign w:val="center"/>
          </w:tcPr>
          <w:p w14:paraId="7127DF43">
            <w:pPr>
              <w:widowControl/>
              <w:jc w:val="center"/>
              <w:rPr>
                <w:rFonts w:hint="eastAsia" w:ascii="黑体" w:hAnsi="黑体" w:eastAsia="黑体" w:cs="宋体"/>
                <w:kern w:val="0"/>
                <w:szCs w:val="21"/>
              </w:rPr>
            </w:pPr>
            <w:r>
              <w:rPr>
                <w:rFonts w:ascii="黑体" w:hAnsi="黑体" w:eastAsia="黑体" w:cs="宋体"/>
                <w:kern w:val="0"/>
                <w:szCs w:val="21"/>
              </w:rPr>
              <w:t>主要设备</w:t>
            </w:r>
          </w:p>
          <w:p w14:paraId="21AD0049">
            <w:pPr>
              <w:widowControl/>
              <w:jc w:val="center"/>
              <w:rPr>
                <w:rFonts w:hint="eastAsia" w:ascii="黑体" w:hAnsi="黑体" w:eastAsia="黑体" w:cs="宋体"/>
                <w:kern w:val="0"/>
                <w:szCs w:val="21"/>
              </w:rPr>
            </w:pPr>
            <w:r>
              <w:rPr>
                <w:rFonts w:hint="eastAsia" w:ascii="黑体" w:hAnsi="黑体" w:eastAsia="黑体" w:cs="宋体"/>
                <w:kern w:val="0"/>
                <w:szCs w:val="21"/>
              </w:rPr>
              <w:t>（2分）</w:t>
            </w:r>
          </w:p>
        </w:tc>
        <w:tc>
          <w:tcPr>
            <w:tcW w:w="3697" w:type="pct"/>
            <w:vAlign w:val="center"/>
          </w:tcPr>
          <w:p w14:paraId="04F0A473">
            <w:pPr>
              <w:widowControl/>
              <w:rPr>
                <w:rFonts w:hint="eastAsia" w:ascii="黑体" w:hAnsi="黑体" w:eastAsia="黑体" w:cs="宋体"/>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供应商具有2台及以上视功能检查设备的得2分。（提供发票复印件及设备照片并加盖供应商单位公章）</w:t>
            </w:r>
          </w:p>
        </w:tc>
        <w:tc>
          <w:tcPr>
            <w:tcW w:w="308" w:type="pct"/>
            <w:vAlign w:val="center"/>
          </w:tcPr>
          <w:p w14:paraId="1EE17E89">
            <w:pPr>
              <w:widowControl/>
              <w:jc w:val="center"/>
              <w:rPr>
                <w:rFonts w:hint="eastAsia" w:ascii="黑体" w:hAnsi="黑体" w:eastAsia="黑体" w:cs="宋体"/>
                <w:kern w:val="0"/>
                <w:szCs w:val="21"/>
              </w:rPr>
            </w:pPr>
            <w:r>
              <w:rPr>
                <w:rFonts w:hint="eastAsia" w:ascii="黑体" w:hAnsi="黑体" w:eastAsia="黑体" w:cs="宋体"/>
                <w:kern w:val="0"/>
                <w:szCs w:val="21"/>
              </w:rPr>
              <w:t>2</w:t>
            </w:r>
          </w:p>
        </w:tc>
      </w:tr>
      <w:tr w14:paraId="225F5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 w:type="pct"/>
            <w:vAlign w:val="center"/>
          </w:tcPr>
          <w:p w14:paraId="21F688CD">
            <w:pPr>
              <w:widowControl/>
              <w:jc w:val="center"/>
              <w:rPr>
                <w:rFonts w:hint="eastAsia" w:ascii="黑体" w:hAnsi="黑体" w:eastAsia="黑体" w:cs="宋体"/>
                <w:kern w:val="0"/>
                <w:szCs w:val="21"/>
              </w:rPr>
            </w:pPr>
            <w:r>
              <w:rPr>
                <w:rFonts w:hint="eastAsia" w:ascii="黑体" w:hAnsi="黑体" w:eastAsia="黑体" w:cs="宋体"/>
                <w:kern w:val="0"/>
                <w:szCs w:val="21"/>
              </w:rPr>
              <w:t>5</w:t>
            </w:r>
          </w:p>
        </w:tc>
        <w:tc>
          <w:tcPr>
            <w:tcW w:w="688" w:type="pct"/>
            <w:vAlign w:val="center"/>
          </w:tcPr>
          <w:p w14:paraId="09EAD719">
            <w:pPr>
              <w:widowControl/>
              <w:jc w:val="center"/>
              <w:rPr>
                <w:rFonts w:hint="eastAsia" w:ascii="黑体" w:hAnsi="黑体" w:eastAsia="黑体" w:cs="宋体"/>
                <w:kern w:val="0"/>
                <w:szCs w:val="21"/>
              </w:rPr>
            </w:pPr>
            <w:r>
              <w:rPr>
                <w:rFonts w:hint="eastAsia" w:ascii="黑体" w:hAnsi="黑体" w:eastAsia="黑体" w:cs="宋体"/>
                <w:kern w:val="0"/>
                <w:szCs w:val="21"/>
              </w:rPr>
              <w:t>被普查人员</w:t>
            </w:r>
          </w:p>
          <w:p w14:paraId="114A9D85">
            <w:pPr>
              <w:widowControl/>
              <w:jc w:val="center"/>
              <w:rPr>
                <w:rFonts w:hint="eastAsia" w:ascii="黑体" w:hAnsi="黑体" w:eastAsia="黑体" w:cs="宋体"/>
                <w:kern w:val="0"/>
                <w:szCs w:val="21"/>
              </w:rPr>
            </w:pPr>
            <w:r>
              <w:rPr>
                <w:rFonts w:ascii="黑体" w:hAnsi="黑体" w:eastAsia="黑体" w:cs="宋体"/>
                <w:kern w:val="0"/>
                <w:szCs w:val="21"/>
              </w:rPr>
              <w:t>分配计划</w:t>
            </w:r>
          </w:p>
          <w:p w14:paraId="7689BD12">
            <w:pPr>
              <w:widowControl/>
              <w:jc w:val="center"/>
              <w:rPr>
                <w:rFonts w:hint="eastAsia" w:ascii="黑体" w:hAnsi="黑体" w:eastAsia="黑体" w:cs="宋体"/>
                <w:kern w:val="0"/>
                <w:szCs w:val="21"/>
              </w:rPr>
            </w:pPr>
            <w:r>
              <w:rPr>
                <w:rFonts w:hint="eastAsia" w:ascii="黑体" w:hAnsi="黑体" w:eastAsia="黑体" w:cs="宋体"/>
                <w:kern w:val="0"/>
                <w:szCs w:val="21"/>
              </w:rPr>
              <w:t>（10分）</w:t>
            </w:r>
          </w:p>
        </w:tc>
        <w:tc>
          <w:tcPr>
            <w:tcW w:w="3697" w:type="pct"/>
            <w:vAlign w:val="center"/>
          </w:tcPr>
          <w:p w14:paraId="29ACB4EE">
            <w:pPr>
              <w:widowControl/>
              <w:rPr>
                <w:rFonts w:hint="eastAsia" w:ascii="黑体" w:hAnsi="黑体" w:eastAsia="黑体" w:cs="宋体"/>
                <w:szCs w:val="21"/>
              </w:rPr>
            </w:pPr>
            <w:r>
              <w:rPr>
                <w:rFonts w:hint="eastAsia" w:ascii="黑体" w:hAnsi="黑体" w:eastAsia="黑体" w:cs="宋体"/>
                <w:szCs w:val="21"/>
              </w:rPr>
              <w:t>评委根据供应商提供的被普查人员分配计划进行评分。</w:t>
            </w:r>
          </w:p>
          <w:p w14:paraId="2FD9FCAE">
            <w:pPr>
              <w:widowControl/>
              <w:rPr>
                <w:rFonts w:hint="eastAsia" w:ascii="黑体" w:hAnsi="黑体" w:eastAsia="黑体" w:cs="宋体"/>
                <w:szCs w:val="21"/>
              </w:rPr>
            </w:pPr>
            <w:r>
              <w:rPr>
                <w:rFonts w:hint="eastAsia" w:ascii="黑体" w:hAnsi="黑体" w:eastAsia="黑体" w:cs="宋体"/>
                <w:szCs w:val="21"/>
              </w:rPr>
              <w:t>供应商提供熟悉视力检测工作、具有相关经验的人员对接服务，人员分配计划合理、专业，分配情况完整清晰，得10分；</w:t>
            </w:r>
          </w:p>
          <w:p w14:paraId="40E7C3AF">
            <w:pPr>
              <w:widowControl/>
              <w:rPr>
                <w:rFonts w:hint="eastAsia" w:ascii="黑体" w:hAnsi="黑体" w:eastAsia="黑体" w:cs="宋体"/>
                <w:szCs w:val="21"/>
              </w:rPr>
            </w:pPr>
            <w:r>
              <w:rPr>
                <w:rFonts w:hint="eastAsia" w:ascii="黑体" w:hAnsi="黑体" w:eastAsia="黑体" w:cs="宋体"/>
                <w:szCs w:val="21"/>
              </w:rPr>
              <w:t>人员分配计划较合理，能满足项目基本需求，得8分；</w:t>
            </w:r>
          </w:p>
          <w:p w14:paraId="53B94E8C">
            <w:pPr>
              <w:widowControl/>
              <w:rPr>
                <w:rFonts w:hint="eastAsia" w:ascii="黑体" w:hAnsi="黑体" w:eastAsia="黑体" w:cs="宋体"/>
                <w:szCs w:val="21"/>
              </w:rPr>
            </w:pPr>
            <w:r>
              <w:rPr>
                <w:rFonts w:hint="eastAsia" w:ascii="黑体" w:hAnsi="黑体" w:eastAsia="黑体" w:cs="宋体"/>
                <w:szCs w:val="21"/>
              </w:rPr>
              <w:t>有基本的人员分配计划但和项目实际需求不完全符合，得6分；</w:t>
            </w:r>
          </w:p>
          <w:p w14:paraId="1D275FDD">
            <w:pPr>
              <w:widowControl/>
              <w:rPr>
                <w:rFonts w:hint="eastAsia" w:ascii="黑体" w:hAnsi="黑体" w:eastAsia="黑体" w:cs="宋体"/>
                <w:szCs w:val="21"/>
              </w:rPr>
            </w:pPr>
            <w:r>
              <w:rPr>
                <w:rFonts w:hint="eastAsia" w:ascii="黑体" w:hAnsi="黑体" w:eastAsia="黑体" w:cs="宋体"/>
                <w:szCs w:val="21"/>
              </w:rPr>
              <w:t>未提供人员分配计划不得分。</w:t>
            </w:r>
          </w:p>
        </w:tc>
        <w:tc>
          <w:tcPr>
            <w:tcW w:w="308" w:type="pct"/>
            <w:vAlign w:val="center"/>
          </w:tcPr>
          <w:p w14:paraId="0A9572BC">
            <w:pPr>
              <w:widowControl/>
              <w:jc w:val="center"/>
              <w:rPr>
                <w:rFonts w:hint="eastAsia" w:ascii="黑体" w:hAnsi="黑体" w:eastAsia="黑体" w:cs="宋体"/>
                <w:kern w:val="0"/>
                <w:szCs w:val="21"/>
              </w:rPr>
            </w:pPr>
            <w:r>
              <w:rPr>
                <w:rFonts w:hint="eastAsia" w:ascii="黑体" w:hAnsi="黑体" w:eastAsia="黑体" w:cs="宋体"/>
                <w:kern w:val="0"/>
                <w:szCs w:val="21"/>
              </w:rPr>
              <w:t>10</w:t>
            </w:r>
          </w:p>
        </w:tc>
      </w:tr>
      <w:tr w14:paraId="325C3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4" w:hRule="atLeast"/>
          <w:jc w:val="center"/>
        </w:trPr>
        <w:tc>
          <w:tcPr>
            <w:tcW w:w="308" w:type="pct"/>
            <w:vAlign w:val="center"/>
          </w:tcPr>
          <w:p w14:paraId="3F2A853F">
            <w:pPr>
              <w:widowControl/>
              <w:jc w:val="center"/>
              <w:rPr>
                <w:rFonts w:hint="eastAsia" w:ascii="黑体" w:hAnsi="黑体" w:eastAsia="黑体" w:cs="宋体"/>
                <w:kern w:val="0"/>
                <w:szCs w:val="21"/>
              </w:rPr>
            </w:pPr>
            <w:r>
              <w:rPr>
                <w:rFonts w:hint="eastAsia" w:ascii="黑体" w:hAnsi="黑体" w:eastAsia="黑体" w:cs="宋体"/>
                <w:kern w:val="0"/>
                <w:szCs w:val="21"/>
              </w:rPr>
              <w:t>6.1</w:t>
            </w:r>
          </w:p>
        </w:tc>
        <w:tc>
          <w:tcPr>
            <w:tcW w:w="688" w:type="pct"/>
            <w:vMerge w:val="restart"/>
            <w:vAlign w:val="center"/>
          </w:tcPr>
          <w:p w14:paraId="5D468C84">
            <w:pPr>
              <w:widowControl/>
              <w:jc w:val="center"/>
              <w:rPr>
                <w:rFonts w:hint="eastAsia" w:ascii="黑体" w:hAnsi="黑体" w:eastAsia="黑体" w:cs="宋体"/>
                <w:kern w:val="0"/>
                <w:szCs w:val="21"/>
              </w:rPr>
            </w:pPr>
            <w:r>
              <w:rPr>
                <w:rFonts w:hint="eastAsia" w:ascii="黑体" w:hAnsi="黑体" w:eastAsia="黑体" w:cs="宋体"/>
                <w:kern w:val="0"/>
                <w:szCs w:val="21"/>
              </w:rPr>
              <w:t>整体方案</w:t>
            </w:r>
          </w:p>
          <w:p w14:paraId="76897A7E">
            <w:pPr>
              <w:widowControl/>
              <w:jc w:val="center"/>
              <w:rPr>
                <w:rFonts w:hint="eastAsia" w:ascii="黑体" w:hAnsi="黑体" w:eastAsia="黑体" w:cs="宋体"/>
                <w:kern w:val="0"/>
                <w:szCs w:val="21"/>
              </w:rPr>
            </w:pPr>
            <w:r>
              <w:rPr>
                <w:rFonts w:hint="eastAsia" w:ascii="黑体" w:hAnsi="黑体" w:eastAsia="黑体" w:cs="宋体"/>
                <w:kern w:val="0"/>
                <w:szCs w:val="21"/>
              </w:rPr>
              <w:t>（40分）</w:t>
            </w:r>
          </w:p>
        </w:tc>
        <w:tc>
          <w:tcPr>
            <w:tcW w:w="3697" w:type="pct"/>
            <w:vAlign w:val="center"/>
          </w:tcPr>
          <w:p w14:paraId="3CBB1BA2">
            <w:pPr>
              <w:rPr>
                <w:rFonts w:hint="eastAsia" w:ascii="黑体" w:hAnsi="黑体" w:eastAsia="黑体" w:cs="宋体"/>
                <w:szCs w:val="21"/>
              </w:rPr>
            </w:pPr>
            <w:r>
              <w:rPr>
                <w:rFonts w:hint="eastAsia" w:ascii="黑体" w:hAnsi="黑体" w:eastAsia="黑体" w:cs="宋体"/>
                <w:szCs w:val="21"/>
              </w:rPr>
              <w:t>评委根据供应商提供的项目的认识、总体目标、整体设想、服务方案、工作计划、工作流程及重点难点分析和对应的解决方案进行评分。</w:t>
            </w:r>
          </w:p>
          <w:p w14:paraId="727A3C9D">
            <w:pPr>
              <w:rPr>
                <w:rFonts w:hint="eastAsia" w:ascii="黑体" w:hAnsi="黑体" w:eastAsia="黑体" w:cs="宋体"/>
                <w:szCs w:val="21"/>
              </w:rPr>
            </w:pPr>
            <w:r>
              <w:rPr>
                <w:rFonts w:hint="eastAsia" w:ascii="黑体" w:hAnsi="黑体" w:eastAsia="黑体" w:cs="宋体"/>
                <w:szCs w:val="21"/>
              </w:rPr>
              <w:t>对项目整体认识分析全面，服务方案新颖可行，满足项目要求，工作计划明确，对重难点把控合理精准，可操作性强的得10分；</w:t>
            </w:r>
          </w:p>
          <w:p w14:paraId="480BD882">
            <w:pPr>
              <w:rPr>
                <w:rFonts w:hint="eastAsia" w:ascii="黑体" w:hAnsi="黑体" w:eastAsia="黑体" w:cs="宋体"/>
                <w:szCs w:val="21"/>
              </w:rPr>
            </w:pPr>
            <w:r>
              <w:rPr>
                <w:rFonts w:hint="eastAsia" w:ascii="黑体" w:hAnsi="黑体" w:eastAsia="黑体" w:cs="宋体"/>
                <w:szCs w:val="21"/>
              </w:rPr>
              <w:t>对项目整体认识分析全面，服务方案可以满足项目要求，工作计划较明确，对重难点分析不全面的得8分；</w:t>
            </w:r>
          </w:p>
          <w:p w14:paraId="3D2A9494">
            <w:pPr>
              <w:rPr>
                <w:rFonts w:hint="eastAsia" w:ascii="黑体" w:hAnsi="黑体" w:eastAsia="黑体" w:cs="宋体"/>
                <w:szCs w:val="21"/>
              </w:rPr>
            </w:pPr>
            <w:r>
              <w:rPr>
                <w:rFonts w:hint="eastAsia" w:ascii="黑体" w:hAnsi="黑体" w:eastAsia="黑体" w:cs="宋体"/>
                <w:szCs w:val="21"/>
              </w:rPr>
              <w:t>对项目整体认识分析不全面，服务方案简单，工作计划基本合理，没有对重难点分析并提供解决方案的得6分；</w:t>
            </w:r>
          </w:p>
          <w:p w14:paraId="132D2C1D">
            <w:pPr>
              <w:rPr>
                <w:rFonts w:hint="eastAsia" w:ascii="黑体" w:hAnsi="黑体" w:eastAsia="黑体" w:cs="宋体"/>
                <w:szCs w:val="21"/>
              </w:rPr>
            </w:pPr>
            <w:r>
              <w:rPr>
                <w:rFonts w:hint="eastAsia" w:ascii="黑体" w:hAnsi="黑体" w:eastAsia="黑体" w:cs="宋体"/>
                <w:szCs w:val="21"/>
              </w:rPr>
              <w:t>不提供方案不得分。</w:t>
            </w:r>
          </w:p>
        </w:tc>
        <w:tc>
          <w:tcPr>
            <w:tcW w:w="308" w:type="pct"/>
            <w:vAlign w:val="center"/>
          </w:tcPr>
          <w:p w14:paraId="4701FD39">
            <w:pPr>
              <w:widowControl/>
              <w:jc w:val="center"/>
              <w:rPr>
                <w:rFonts w:hint="eastAsia" w:ascii="黑体" w:hAnsi="黑体" w:eastAsia="黑体" w:cs="宋体"/>
                <w:kern w:val="0"/>
                <w:szCs w:val="21"/>
              </w:rPr>
            </w:pPr>
            <w:r>
              <w:rPr>
                <w:rFonts w:hint="eastAsia" w:ascii="黑体" w:hAnsi="黑体" w:eastAsia="黑体" w:cs="宋体"/>
                <w:kern w:val="0"/>
                <w:szCs w:val="21"/>
              </w:rPr>
              <w:t>10</w:t>
            </w:r>
          </w:p>
        </w:tc>
      </w:tr>
      <w:tr w14:paraId="136B2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0" w:hRule="atLeast"/>
          <w:jc w:val="center"/>
        </w:trPr>
        <w:tc>
          <w:tcPr>
            <w:tcW w:w="308" w:type="pct"/>
            <w:vAlign w:val="center"/>
          </w:tcPr>
          <w:p w14:paraId="17F87DFA">
            <w:pPr>
              <w:widowControl/>
              <w:jc w:val="center"/>
              <w:rPr>
                <w:rFonts w:hint="eastAsia" w:ascii="黑体" w:hAnsi="黑体" w:eastAsia="黑体" w:cs="宋体"/>
                <w:kern w:val="0"/>
                <w:szCs w:val="21"/>
              </w:rPr>
            </w:pPr>
            <w:r>
              <w:rPr>
                <w:rFonts w:hint="eastAsia" w:ascii="黑体" w:hAnsi="黑体" w:eastAsia="黑体" w:cs="宋体"/>
                <w:kern w:val="0"/>
                <w:szCs w:val="21"/>
              </w:rPr>
              <w:t>6.2</w:t>
            </w:r>
          </w:p>
        </w:tc>
        <w:tc>
          <w:tcPr>
            <w:tcW w:w="688" w:type="pct"/>
            <w:vMerge w:val="continue"/>
            <w:vAlign w:val="center"/>
          </w:tcPr>
          <w:p w14:paraId="33059E76">
            <w:pPr>
              <w:widowControl/>
              <w:jc w:val="center"/>
              <w:rPr>
                <w:rFonts w:hint="eastAsia" w:ascii="黑体" w:hAnsi="黑体" w:eastAsia="黑体" w:cs="宋体"/>
                <w:kern w:val="0"/>
                <w:szCs w:val="21"/>
              </w:rPr>
            </w:pPr>
          </w:p>
        </w:tc>
        <w:tc>
          <w:tcPr>
            <w:tcW w:w="3697" w:type="pct"/>
            <w:vAlign w:val="center"/>
          </w:tcPr>
          <w:p w14:paraId="08D98AAB">
            <w:pPr>
              <w:rPr>
                <w:rFonts w:hint="eastAsia" w:ascii="黑体" w:hAnsi="黑体" w:eastAsia="黑体" w:cs="宋体"/>
                <w:szCs w:val="21"/>
              </w:rPr>
            </w:pPr>
            <w:r>
              <w:rPr>
                <w:rFonts w:hint="eastAsia" w:ascii="黑体" w:hAnsi="黑体" w:eastAsia="黑体" w:cs="宋体"/>
                <w:szCs w:val="21"/>
              </w:rPr>
              <w:t>评委根据供应商提供的内部管理架构、岗位职责、人员培训、考核制度等方案进行评分。</w:t>
            </w:r>
          </w:p>
          <w:p w14:paraId="2DD48BF3">
            <w:pPr>
              <w:rPr>
                <w:rFonts w:hint="eastAsia" w:ascii="黑体" w:hAnsi="黑体" w:eastAsia="黑体" w:cs="宋体"/>
                <w:szCs w:val="21"/>
              </w:rPr>
            </w:pPr>
            <w:r>
              <w:rPr>
                <w:rFonts w:hint="eastAsia" w:ascii="黑体" w:hAnsi="黑体" w:eastAsia="黑体" w:cs="宋体"/>
                <w:szCs w:val="21"/>
              </w:rPr>
              <w:t>制度详尽合理，培训方案清晰明确，操作性强且具有创新性和示范性，能完成预期目标和需求的得10分；</w:t>
            </w:r>
          </w:p>
          <w:p w14:paraId="799CE902">
            <w:pPr>
              <w:rPr>
                <w:rFonts w:hint="eastAsia" w:ascii="黑体" w:hAnsi="黑体" w:eastAsia="黑体" w:cs="宋体"/>
                <w:szCs w:val="21"/>
              </w:rPr>
            </w:pPr>
            <w:r>
              <w:rPr>
                <w:rFonts w:hint="eastAsia" w:ascii="黑体" w:hAnsi="黑体" w:eastAsia="黑体" w:cs="宋体"/>
                <w:szCs w:val="21"/>
              </w:rPr>
              <w:t>制度合理、培训方案清晰明确，能较好完成预期目标和需求得8分；制度不完善，培训方案简单，能基本完成预期目标和需求的得6分；不提供方案不得分。</w:t>
            </w:r>
          </w:p>
        </w:tc>
        <w:tc>
          <w:tcPr>
            <w:tcW w:w="308" w:type="pct"/>
            <w:vAlign w:val="center"/>
          </w:tcPr>
          <w:p w14:paraId="13A3F142">
            <w:pPr>
              <w:widowControl/>
              <w:jc w:val="center"/>
              <w:rPr>
                <w:rFonts w:hint="eastAsia" w:ascii="黑体" w:hAnsi="黑体" w:eastAsia="黑体" w:cs="宋体"/>
                <w:szCs w:val="21"/>
              </w:rPr>
            </w:pPr>
            <w:r>
              <w:rPr>
                <w:rFonts w:hint="eastAsia" w:ascii="黑体" w:hAnsi="黑体" w:eastAsia="黑体" w:cs="宋体"/>
                <w:szCs w:val="21"/>
              </w:rPr>
              <w:t>10</w:t>
            </w:r>
          </w:p>
        </w:tc>
      </w:tr>
      <w:tr w14:paraId="611EC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4" w:hRule="atLeast"/>
          <w:jc w:val="center"/>
        </w:trPr>
        <w:tc>
          <w:tcPr>
            <w:tcW w:w="308" w:type="pct"/>
            <w:vAlign w:val="center"/>
          </w:tcPr>
          <w:p w14:paraId="11483D78">
            <w:pPr>
              <w:widowControl/>
              <w:jc w:val="center"/>
              <w:rPr>
                <w:rFonts w:hint="eastAsia" w:ascii="黑体" w:hAnsi="黑体" w:eastAsia="黑体" w:cs="宋体"/>
                <w:kern w:val="0"/>
                <w:szCs w:val="21"/>
              </w:rPr>
            </w:pPr>
            <w:r>
              <w:rPr>
                <w:rFonts w:hint="eastAsia" w:ascii="黑体" w:hAnsi="黑体" w:eastAsia="黑体" w:cs="宋体"/>
                <w:kern w:val="0"/>
                <w:szCs w:val="21"/>
              </w:rPr>
              <w:t>6.3</w:t>
            </w:r>
          </w:p>
        </w:tc>
        <w:tc>
          <w:tcPr>
            <w:tcW w:w="688" w:type="pct"/>
            <w:vMerge w:val="continue"/>
            <w:vAlign w:val="center"/>
          </w:tcPr>
          <w:p w14:paraId="1B6AE735">
            <w:pPr>
              <w:widowControl/>
              <w:jc w:val="center"/>
              <w:rPr>
                <w:rFonts w:hint="eastAsia" w:ascii="黑体" w:hAnsi="黑体" w:eastAsia="黑体" w:cs="宋体"/>
                <w:kern w:val="0"/>
                <w:szCs w:val="21"/>
              </w:rPr>
            </w:pPr>
          </w:p>
        </w:tc>
        <w:tc>
          <w:tcPr>
            <w:tcW w:w="3697" w:type="pct"/>
            <w:vAlign w:val="center"/>
          </w:tcPr>
          <w:p w14:paraId="68443F6C">
            <w:pPr>
              <w:rPr>
                <w:rFonts w:hint="eastAsia" w:ascii="黑体" w:hAnsi="黑体" w:eastAsia="黑体" w:cs="宋体"/>
                <w:szCs w:val="21"/>
              </w:rPr>
            </w:pPr>
            <w:r>
              <w:rPr>
                <w:rFonts w:hint="eastAsia" w:ascii="黑体" w:hAnsi="黑体" w:eastAsia="黑体" w:cs="宋体"/>
                <w:szCs w:val="21"/>
              </w:rPr>
              <w:t>评委根据供应商提供的应急预案、意外事故解决方案、疫情期间防控工作方案、不良事件处理流程等具体内容和预防措施等方案进行评分。</w:t>
            </w:r>
          </w:p>
          <w:p w14:paraId="064F37F7">
            <w:pPr>
              <w:rPr>
                <w:rFonts w:hint="eastAsia" w:ascii="黑体" w:hAnsi="黑体" w:eastAsia="黑体" w:cs="宋体"/>
                <w:szCs w:val="21"/>
              </w:rPr>
            </w:pPr>
            <w:r>
              <w:rPr>
                <w:rFonts w:hint="eastAsia" w:ascii="黑体" w:hAnsi="黑体" w:eastAsia="黑体" w:cs="宋体"/>
                <w:szCs w:val="21"/>
              </w:rPr>
              <w:t>应急预案完备健全、处理响应及时、预防措施具有实际可操作性的得10分；</w:t>
            </w:r>
          </w:p>
          <w:p w14:paraId="553E16E2">
            <w:pPr>
              <w:rPr>
                <w:rFonts w:hint="eastAsia" w:ascii="黑体" w:hAnsi="黑体" w:eastAsia="黑体" w:cs="宋体"/>
                <w:szCs w:val="21"/>
              </w:rPr>
            </w:pPr>
            <w:r>
              <w:rPr>
                <w:rFonts w:hint="eastAsia" w:ascii="黑体" w:hAnsi="黑体" w:eastAsia="黑体" w:cs="宋体"/>
                <w:szCs w:val="21"/>
              </w:rPr>
              <w:t>应急预案比较完备，处理响应基本及时，预防措施实际可操作性一般的得8分；</w:t>
            </w:r>
          </w:p>
          <w:p w14:paraId="19CEFF06">
            <w:pPr>
              <w:rPr>
                <w:rFonts w:hint="eastAsia" w:ascii="黑体" w:hAnsi="黑体" w:eastAsia="黑体" w:cs="宋体"/>
                <w:szCs w:val="21"/>
              </w:rPr>
            </w:pPr>
            <w:r>
              <w:rPr>
                <w:rFonts w:hint="eastAsia" w:ascii="黑体" w:hAnsi="黑体" w:eastAsia="黑体" w:cs="宋体"/>
                <w:szCs w:val="21"/>
              </w:rPr>
              <w:t>应急预案不全面或预防措施可操作性较低的得6分；</w:t>
            </w:r>
          </w:p>
          <w:p w14:paraId="6F34A216">
            <w:pPr>
              <w:rPr>
                <w:rFonts w:hint="eastAsia" w:ascii="黑体" w:hAnsi="黑体" w:eastAsia="黑体" w:cs="宋体"/>
                <w:szCs w:val="21"/>
              </w:rPr>
            </w:pPr>
            <w:r>
              <w:rPr>
                <w:rFonts w:hint="eastAsia" w:ascii="黑体" w:hAnsi="黑体" w:eastAsia="黑体" w:cs="宋体"/>
                <w:szCs w:val="21"/>
              </w:rPr>
              <w:t>不提供方案不得分。</w:t>
            </w:r>
          </w:p>
        </w:tc>
        <w:tc>
          <w:tcPr>
            <w:tcW w:w="308" w:type="pct"/>
            <w:vAlign w:val="center"/>
          </w:tcPr>
          <w:p w14:paraId="513B0AEB">
            <w:pPr>
              <w:widowControl/>
              <w:jc w:val="center"/>
              <w:rPr>
                <w:rFonts w:hint="eastAsia" w:ascii="黑体" w:hAnsi="黑体" w:eastAsia="黑体" w:cs="宋体"/>
                <w:kern w:val="0"/>
                <w:szCs w:val="21"/>
              </w:rPr>
            </w:pPr>
            <w:r>
              <w:rPr>
                <w:rFonts w:hint="eastAsia" w:ascii="黑体" w:hAnsi="黑体" w:eastAsia="黑体" w:cs="宋体"/>
                <w:kern w:val="0"/>
                <w:szCs w:val="21"/>
              </w:rPr>
              <w:t>10</w:t>
            </w:r>
          </w:p>
        </w:tc>
      </w:tr>
      <w:tr w14:paraId="0EC7D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2" w:hRule="atLeast"/>
          <w:jc w:val="center"/>
        </w:trPr>
        <w:tc>
          <w:tcPr>
            <w:tcW w:w="308" w:type="pct"/>
            <w:vAlign w:val="center"/>
          </w:tcPr>
          <w:p w14:paraId="75AAC3CC">
            <w:pPr>
              <w:widowControl/>
              <w:jc w:val="center"/>
              <w:rPr>
                <w:rFonts w:hint="eastAsia" w:ascii="黑体" w:hAnsi="黑体" w:eastAsia="黑体" w:cs="宋体"/>
                <w:kern w:val="0"/>
                <w:szCs w:val="21"/>
              </w:rPr>
            </w:pPr>
            <w:r>
              <w:rPr>
                <w:rFonts w:hint="eastAsia" w:ascii="黑体" w:hAnsi="黑体" w:eastAsia="黑体" w:cs="宋体"/>
                <w:kern w:val="0"/>
                <w:szCs w:val="21"/>
              </w:rPr>
              <w:t>6.4</w:t>
            </w:r>
          </w:p>
        </w:tc>
        <w:tc>
          <w:tcPr>
            <w:tcW w:w="688" w:type="pct"/>
            <w:vMerge w:val="continue"/>
            <w:vAlign w:val="center"/>
          </w:tcPr>
          <w:p w14:paraId="33266AA9">
            <w:pPr>
              <w:widowControl/>
              <w:jc w:val="center"/>
              <w:rPr>
                <w:rFonts w:hint="eastAsia" w:ascii="黑体" w:hAnsi="黑体" w:eastAsia="黑体" w:cs="宋体"/>
                <w:kern w:val="0"/>
                <w:szCs w:val="21"/>
              </w:rPr>
            </w:pPr>
          </w:p>
        </w:tc>
        <w:tc>
          <w:tcPr>
            <w:tcW w:w="3697" w:type="pct"/>
            <w:vAlign w:val="center"/>
          </w:tcPr>
          <w:p w14:paraId="4E9DBC46">
            <w:pPr>
              <w:rPr>
                <w:rFonts w:hint="eastAsia" w:ascii="黑体" w:hAnsi="黑体" w:eastAsia="黑体" w:cs="宋体"/>
                <w:szCs w:val="21"/>
              </w:rPr>
            </w:pPr>
            <w:r>
              <w:rPr>
                <w:rFonts w:hint="eastAsia" w:ascii="黑体" w:hAnsi="黑体" w:eastAsia="黑体" w:cs="宋体"/>
                <w:szCs w:val="21"/>
              </w:rPr>
              <w:t>评委对供应商提供的安全管理方案，包含但不限于安全管理要求、安全保证体系、岗位职责安全、安全防范措施、操作规程及注意事项、检查制度等方案进行评分。</w:t>
            </w:r>
          </w:p>
          <w:p w14:paraId="5D9023AC">
            <w:pPr>
              <w:rPr>
                <w:rFonts w:hint="eastAsia" w:ascii="黑体" w:hAnsi="黑体" w:eastAsia="黑体" w:cs="宋体"/>
                <w:szCs w:val="21"/>
              </w:rPr>
            </w:pPr>
            <w:r>
              <w:rPr>
                <w:rFonts w:hint="eastAsia" w:ascii="黑体" w:hAnsi="黑体" w:eastAsia="黑体" w:cs="宋体"/>
                <w:szCs w:val="21"/>
              </w:rPr>
              <w:t>方案详细完整、明确清晰、具有针对性和可操作性强的得10分；</w:t>
            </w:r>
          </w:p>
          <w:p w14:paraId="34C94FF3">
            <w:pPr>
              <w:rPr>
                <w:rFonts w:hint="eastAsia" w:ascii="黑体" w:hAnsi="黑体" w:eastAsia="黑体" w:cs="宋体"/>
                <w:szCs w:val="21"/>
              </w:rPr>
            </w:pPr>
            <w:r>
              <w:rPr>
                <w:rFonts w:hint="eastAsia" w:ascii="黑体" w:hAnsi="黑体" w:eastAsia="黑体" w:cs="宋体"/>
                <w:szCs w:val="21"/>
              </w:rPr>
              <w:t>方案完整但不清晰，部分方案不具有针对性和可操作性的得8分；方案简单不全面，不具有针对性和可操作性的得6分；</w:t>
            </w:r>
          </w:p>
          <w:p w14:paraId="63D6B17B">
            <w:pPr>
              <w:rPr>
                <w:rFonts w:hint="eastAsia" w:ascii="黑体" w:hAnsi="黑体" w:eastAsia="黑体" w:cs="宋体"/>
                <w:szCs w:val="21"/>
              </w:rPr>
            </w:pPr>
            <w:r>
              <w:rPr>
                <w:rFonts w:hint="eastAsia" w:ascii="黑体" w:hAnsi="黑体" w:eastAsia="黑体" w:cs="宋体"/>
                <w:szCs w:val="21"/>
              </w:rPr>
              <w:t>不提供方案不得分。</w:t>
            </w:r>
          </w:p>
        </w:tc>
        <w:tc>
          <w:tcPr>
            <w:tcW w:w="308" w:type="pct"/>
            <w:vAlign w:val="center"/>
          </w:tcPr>
          <w:p w14:paraId="3E639E97">
            <w:pPr>
              <w:widowControl/>
              <w:jc w:val="center"/>
              <w:rPr>
                <w:rFonts w:hint="eastAsia" w:ascii="黑体" w:hAnsi="黑体" w:eastAsia="黑体" w:cs="宋体"/>
                <w:kern w:val="0"/>
                <w:szCs w:val="21"/>
              </w:rPr>
            </w:pPr>
            <w:r>
              <w:rPr>
                <w:rFonts w:hint="eastAsia" w:ascii="黑体" w:hAnsi="黑体" w:eastAsia="黑体" w:cs="宋体"/>
                <w:kern w:val="0"/>
                <w:szCs w:val="21"/>
              </w:rPr>
              <w:t>10</w:t>
            </w:r>
          </w:p>
        </w:tc>
      </w:tr>
      <w:tr w14:paraId="66A88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1" w:hRule="atLeast"/>
          <w:jc w:val="center"/>
        </w:trPr>
        <w:tc>
          <w:tcPr>
            <w:tcW w:w="308" w:type="pct"/>
            <w:vAlign w:val="center"/>
          </w:tcPr>
          <w:p w14:paraId="23AAEDDB">
            <w:pPr>
              <w:widowControl/>
              <w:jc w:val="center"/>
              <w:rPr>
                <w:rFonts w:hint="eastAsia" w:ascii="黑体" w:hAnsi="黑体" w:eastAsia="黑体" w:cs="宋体"/>
                <w:kern w:val="0"/>
                <w:szCs w:val="21"/>
              </w:rPr>
            </w:pPr>
            <w:r>
              <w:rPr>
                <w:rFonts w:hint="eastAsia" w:ascii="黑体" w:hAnsi="黑体" w:eastAsia="黑体" w:cs="宋体"/>
                <w:kern w:val="0"/>
                <w:szCs w:val="21"/>
              </w:rPr>
              <w:t>7</w:t>
            </w:r>
          </w:p>
        </w:tc>
        <w:tc>
          <w:tcPr>
            <w:tcW w:w="688" w:type="pct"/>
            <w:vAlign w:val="center"/>
          </w:tcPr>
          <w:p w14:paraId="6F73BFC0">
            <w:pPr>
              <w:jc w:val="center"/>
              <w:rPr>
                <w:rFonts w:hint="eastAsia" w:ascii="黑体" w:hAnsi="黑体" w:eastAsia="黑体" w:cs="宋体"/>
                <w:szCs w:val="21"/>
              </w:rPr>
            </w:pPr>
            <w:r>
              <w:rPr>
                <w:rFonts w:hint="eastAsia" w:ascii="黑体" w:hAnsi="黑体" w:eastAsia="黑体" w:cs="宋体"/>
                <w:szCs w:val="21"/>
              </w:rPr>
              <w:t>服务承诺</w:t>
            </w:r>
          </w:p>
          <w:p w14:paraId="469016BF">
            <w:pPr>
              <w:jc w:val="center"/>
              <w:rPr>
                <w:rFonts w:hint="eastAsia" w:ascii="黑体" w:hAnsi="黑体" w:eastAsia="黑体" w:cs="宋体"/>
                <w:szCs w:val="21"/>
              </w:rPr>
            </w:pPr>
            <w:r>
              <w:rPr>
                <w:rFonts w:hint="eastAsia" w:ascii="黑体" w:hAnsi="黑体" w:eastAsia="黑体" w:cs="宋体"/>
                <w:szCs w:val="21"/>
              </w:rPr>
              <w:t>（10分）</w:t>
            </w:r>
          </w:p>
        </w:tc>
        <w:tc>
          <w:tcPr>
            <w:tcW w:w="3697" w:type="pct"/>
            <w:vAlign w:val="center"/>
          </w:tcPr>
          <w:p w14:paraId="4CCD5E74">
            <w:pPr>
              <w:jc w:val="left"/>
              <w:rPr>
                <w:rFonts w:hint="eastAsia" w:ascii="黑体" w:hAnsi="黑体" w:eastAsia="黑体" w:cs="宋体"/>
                <w:szCs w:val="21"/>
              </w:rPr>
            </w:pPr>
            <w:r>
              <w:rPr>
                <w:rFonts w:hint="eastAsia" w:ascii="黑体" w:hAnsi="黑体" w:eastAsia="黑体" w:cs="宋体"/>
                <w:szCs w:val="21"/>
              </w:rPr>
              <w:t>评委根据供应商提供的服务承诺及质量保证措施进行评审，方案包括但不限于项目服务承诺、质量保证体系、质量管理方针、现场组织管理保障措施等。</w:t>
            </w:r>
          </w:p>
          <w:p w14:paraId="42E5EEF2">
            <w:pPr>
              <w:jc w:val="left"/>
              <w:rPr>
                <w:rFonts w:hint="eastAsia" w:ascii="黑体" w:hAnsi="黑体" w:eastAsia="黑体" w:cs="宋体"/>
                <w:szCs w:val="21"/>
              </w:rPr>
            </w:pPr>
            <w:r>
              <w:rPr>
                <w:rFonts w:hint="eastAsia" w:ascii="黑体" w:hAnsi="黑体" w:eastAsia="黑体" w:cs="宋体"/>
                <w:szCs w:val="21"/>
              </w:rPr>
              <w:t>方案全面，针对本项目具有较强操作性的得10分；</w:t>
            </w:r>
          </w:p>
          <w:p w14:paraId="20F194C0">
            <w:pPr>
              <w:jc w:val="left"/>
              <w:rPr>
                <w:rFonts w:hint="eastAsia" w:ascii="黑体" w:hAnsi="黑体" w:eastAsia="黑体" w:cs="宋体"/>
                <w:szCs w:val="21"/>
              </w:rPr>
            </w:pPr>
            <w:r>
              <w:rPr>
                <w:rFonts w:hint="eastAsia" w:ascii="黑体" w:hAnsi="黑体" w:eastAsia="黑体" w:cs="宋体"/>
                <w:szCs w:val="21"/>
              </w:rPr>
              <w:t>方案简单，但针对本项目具有操作性的得8分；</w:t>
            </w:r>
          </w:p>
          <w:p w14:paraId="48E4BF83">
            <w:pPr>
              <w:jc w:val="left"/>
              <w:rPr>
                <w:rFonts w:hint="eastAsia" w:ascii="黑体" w:hAnsi="黑体" w:eastAsia="黑体" w:cs="宋体"/>
                <w:szCs w:val="21"/>
              </w:rPr>
            </w:pPr>
            <w:r>
              <w:rPr>
                <w:rFonts w:hint="eastAsia" w:ascii="黑体" w:hAnsi="黑体" w:eastAsia="黑体" w:cs="宋体"/>
                <w:szCs w:val="21"/>
              </w:rPr>
              <w:t>方案简单，且针对性和可操作性不强的得6分。</w:t>
            </w:r>
          </w:p>
          <w:p w14:paraId="20C569BE">
            <w:pPr>
              <w:jc w:val="left"/>
              <w:rPr>
                <w:rFonts w:hint="eastAsia" w:ascii="黑体" w:hAnsi="黑体" w:eastAsia="黑体" w:cs="宋体"/>
                <w:szCs w:val="21"/>
              </w:rPr>
            </w:pPr>
            <w:r>
              <w:rPr>
                <w:rFonts w:hint="eastAsia" w:ascii="黑体" w:hAnsi="黑体" w:eastAsia="黑体" w:cs="宋体"/>
                <w:szCs w:val="21"/>
              </w:rPr>
              <w:t>不提供方案不得分。</w:t>
            </w:r>
          </w:p>
        </w:tc>
        <w:tc>
          <w:tcPr>
            <w:tcW w:w="308" w:type="pct"/>
            <w:vAlign w:val="center"/>
          </w:tcPr>
          <w:p w14:paraId="50765505">
            <w:pPr>
              <w:widowControl/>
              <w:jc w:val="center"/>
              <w:rPr>
                <w:rFonts w:hint="eastAsia" w:ascii="黑体" w:hAnsi="黑体" w:eastAsia="黑体" w:cs="宋体"/>
                <w:kern w:val="0"/>
                <w:szCs w:val="21"/>
              </w:rPr>
            </w:pPr>
            <w:r>
              <w:rPr>
                <w:rFonts w:hint="eastAsia" w:ascii="黑体" w:hAnsi="黑体" w:eastAsia="黑体" w:cs="宋体"/>
                <w:kern w:val="0"/>
                <w:szCs w:val="21"/>
              </w:rPr>
              <w:t>10</w:t>
            </w:r>
          </w:p>
        </w:tc>
      </w:tr>
      <w:tr w14:paraId="133EE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4692" w:type="pct"/>
            <w:gridSpan w:val="3"/>
            <w:vAlign w:val="center"/>
          </w:tcPr>
          <w:p w14:paraId="6A537B3C">
            <w:pPr>
              <w:widowControl/>
              <w:jc w:val="center"/>
              <w:rPr>
                <w:rFonts w:hint="eastAsia" w:ascii="黑体" w:hAnsi="黑体" w:eastAsia="黑体" w:cs="宋体"/>
                <w:kern w:val="0"/>
                <w:szCs w:val="21"/>
              </w:rPr>
            </w:pPr>
            <w:r>
              <w:rPr>
                <w:rFonts w:hint="eastAsia" w:ascii="黑体" w:hAnsi="黑体" w:eastAsia="黑体" w:cs="宋体"/>
                <w:kern w:val="0"/>
                <w:szCs w:val="21"/>
              </w:rPr>
              <w:t>合计</w:t>
            </w:r>
          </w:p>
        </w:tc>
        <w:tc>
          <w:tcPr>
            <w:tcW w:w="308" w:type="pct"/>
            <w:vAlign w:val="center"/>
          </w:tcPr>
          <w:p w14:paraId="1FAB8CA2">
            <w:pPr>
              <w:widowControl/>
              <w:jc w:val="center"/>
              <w:rPr>
                <w:rFonts w:hint="eastAsia" w:ascii="黑体" w:hAnsi="黑体" w:eastAsia="黑体" w:cs="宋体"/>
                <w:kern w:val="0"/>
                <w:szCs w:val="21"/>
              </w:rPr>
            </w:pPr>
            <w:r>
              <w:rPr>
                <w:rFonts w:hint="eastAsia" w:ascii="黑体" w:hAnsi="黑体" w:eastAsia="黑体" w:cs="宋体"/>
                <w:kern w:val="0"/>
                <w:szCs w:val="21"/>
              </w:rPr>
              <w:t>100</w:t>
            </w:r>
          </w:p>
        </w:tc>
      </w:tr>
    </w:tbl>
    <w:p w14:paraId="7F2EA780">
      <w:pPr>
        <w:widowControl/>
        <w:ind w:left="850" w:hanging="850" w:hangingChars="405"/>
        <w:textAlignment w:val="baseline"/>
        <w:rPr>
          <w:rFonts w:hint="eastAsia" w:ascii="黑体" w:hAnsi="黑体" w:eastAsia="黑体"/>
          <w:kern w:val="0"/>
          <w:szCs w:val="21"/>
        </w:rPr>
      </w:pPr>
      <w:r>
        <w:rPr>
          <w:rFonts w:hint="eastAsia" w:ascii="黑体" w:hAnsi="黑体" w:eastAsia="黑体"/>
          <w:kern w:val="0"/>
          <w:szCs w:val="21"/>
        </w:rPr>
        <w:t>说明：1、各供应商提供的资料（含相关证书）必须是真实、有效的，如发现有弄虚作假行为，取消响应资格，如其骗取中标，将取消其中标资格。</w:t>
      </w:r>
    </w:p>
    <w:p w14:paraId="3BDCE2D8">
      <w:pPr>
        <w:widowControl/>
        <w:ind w:left="840" w:leftChars="300" w:hanging="210" w:hangingChars="100"/>
        <w:textAlignment w:val="baseline"/>
        <w:rPr>
          <w:rFonts w:hint="eastAsia" w:ascii="黑体" w:hAnsi="黑体" w:eastAsia="黑体"/>
          <w:kern w:val="0"/>
          <w:szCs w:val="21"/>
        </w:rPr>
      </w:pPr>
      <w:r>
        <w:rPr>
          <w:rFonts w:hint="eastAsia" w:ascii="黑体" w:hAnsi="黑体" w:eastAsia="黑体"/>
          <w:kern w:val="0"/>
          <w:szCs w:val="21"/>
        </w:rPr>
        <w:t>2、</w:t>
      </w:r>
      <w:r>
        <w:rPr>
          <w:rFonts w:hint="eastAsia" w:ascii="黑体" w:hAnsi="黑体" w:eastAsia="黑体" w:cs="黑体"/>
          <w:snapToGrid w:val="0"/>
          <w:kern w:val="0"/>
          <w:szCs w:val="21"/>
        </w:rPr>
        <w:t>小微企业、监狱企业、残疾人福利性单位、节能环保产品</w:t>
      </w:r>
      <w:r>
        <w:rPr>
          <w:rFonts w:hint="eastAsia" w:ascii="黑体" w:hAnsi="黑体" w:eastAsia="黑体"/>
          <w:kern w:val="0"/>
          <w:szCs w:val="21"/>
        </w:rPr>
        <w:t>报价给予10%（工程项目为</w:t>
      </w:r>
      <w:r>
        <w:rPr>
          <w:rFonts w:ascii="黑体" w:hAnsi="黑体" w:eastAsia="黑体"/>
          <w:kern w:val="0"/>
          <w:szCs w:val="21"/>
        </w:rPr>
        <w:t>5</w:t>
      </w:r>
      <w:r>
        <w:rPr>
          <w:rFonts w:hint="eastAsia" w:ascii="黑体" w:hAnsi="黑体" w:eastAsia="黑体"/>
          <w:kern w:val="0"/>
          <w:szCs w:val="21"/>
        </w:rPr>
        <w:t>%）的扣除，用扣除后的价格参加评审。</w:t>
      </w:r>
    </w:p>
    <w:p w14:paraId="23F7505D">
      <w:pPr>
        <w:widowControl/>
        <w:ind w:firstLine="630" w:firstLineChars="300"/>
        <w:textAlignment w:val="baseline"/>
        <w:rPr>
          <w:rFonts w:hint="eastAsia" w:ascii="黑体" w:hAnsi="黑体" w:eastAsia="黑体" w:cs="黑体"/>
          <w:snapToGrid w:val="0"/>
          <w:kern w:val="0"/>
          <w:szCs w:val="21"/>
          <w:lang w:val="zh-CN"/>
        </w:rPr>
      </w:pPr>
      <w:r>
        <w:rPr>
          <w:rFonts w:hint="eastAsia" w:ascii="黑体" w:hAnsi="黑体" w:eastAsia="黑体"/>
          <w:kern w:val="0"/>
          <w:szCs w:val="21"/>
        </w:rPr>
        <w:t>3、以上证明材料原件备查。</w:t>
      </w:r>
    </w:p>
    <w:p w14:paraId="701A2063"/>
    <w:p w14:paraId="33839DB0">
      <w:pPr>
        <w:pStyle w:val="2"/>
        <w:sectPr>
          <w:footerReference r:id="rId7" w:type="default"/>
          <w:pgSz w:w="11906" w:h="16839"/>
          <w:pgMar w:top="1404" w:right="1418" w:bottom="1050" w:left="1435" w:header="0" w:footer="888" w:gutter="0"/>
          <w:pgNumType w:start="1"/>
          <w:cols w:space="720" w:num="1"/>
        </w:sectPr>
      </w:pPr>
    </w:p>
    <w:p w14:paraId="0D9C43AF">
      <w:pPr>
        <w:rPr>
          <w:b/>
          <w:bCs/>
          <w:kern w:val="0"/>
          <w:sz w:val="32"/>
          <w:szCs w:val="32"/>
        </w:rPr>
      </w:pPr>
    </w:p>
    <w:bookmarkEnd w:id="263"/>
    <w:p w14:paraId="3EDD4C98">
      <w:pPr>
        <w:pStyle w:val="3"/>
        <w:rPr>
          <w:rFonts w:hint="eastAsia"/>
        </w:rPr>
      </w:pPr>
      <w:bookmarkStart w:id="264" w:name="_Toc2910"/>
      <w:bookmarkStart w:id="265" w:name="_Toc4585"/>
      <w:r>
        <w:rPr>
          <w:rFonts w:hint="eastAsia"/>
        </w:rPr>
        <w:t>五、采购需求</w:t>
      </w:r>
      <w:bookmarkEnd w:id="264"/>
      <w:bookmarkEnd w:id="265"/>
      <w:bookmarkStart w:id="266" w:name="_Toc481057147"/>
      <w:bookmarkEnd w:id="266"/>
    </w:p>
    <w:p w14:paraId="5006B257">
      <w:pPr>
        <w:pStyle w:val="4"/>
        <w:spacing w:line="240" w:lineRule="auto"/>
        <w:ind w:firstLine="420" w:firstLineChars="200"/>
        <w:rPr>
          <w:rFonts w:hint="eastAsia" w:hAnsi="黑体"/>
          <w:sz w:val="21"/>
          <w:szCs w:val="21"/>
        </w:rPr>
      </w:pPr>
      <w:r>
        <w:rPr>
          <w:rFonts w:hAnsi="黑体"/>
          <w:sz w:val="21"/>
          <w:szCs w:val="21"/>
        </w:rPr>
        <w:t>一、项目概况</w:t>
      </w:r>
    </w:p>
    <w:p w14:paraId="2BF49DDB">
      <w:pPr>
        <w:pStyle w:val="61"/>
        <w:ind w:firstLine="420"/>
        <w:rPr>
          <w:rFonts w:hint="eastAsia" w:ascii="黑体" w:hAnsi="黑体" w:eastAsia="黑体"/>
          <w:b w:val="0"/>
          <w:bCs w:val="0"/>
          <w:sz w:val="21"/>
          <w:szCs w:val="21"/>
        </w:rPr>
      </w:pPr>
      <w:r>
        <w:rPr>
          <w:rFonts w:hint="eastAsia" w:ascii="黑体" w:hAnsi="黑体" w:eastAsia="黑体"/>
          <w:b w:val="0"/>
          <w:bCs w:val="0"/>
          <w:sz w:val="21"/>
          <w:szCs w:val="21"/>
        </w:rPr>
        <w:t>本项目为辖区托幼机构儿童视力筛查及门诊眼保健检测服务。包括辖区人群的视功能普查及筛查工作，进行眼病高危因素、屈光度、视力的筛查，对视光异常者进行验光、矫治、转介、随访，电子健康档案的建立、更新、维护、统计工作；进行眼保健和用眼卫生习惯相关知识宣传、普及工作。</w:t>
      </w:r>
    </w:p>
    <w:p w14:paraId="6258A3C3">
      <w:pPr>
        <w:pStyle w:val="4"/>
        <w:spacing w:line="240" w:lineRule="auto"/>
        <w:ind w:firstLine="420" w:firstLineChars="200"/>
        <w:rPr>
          <w:rFonts w:hint="eastAsia" w:hAnsi="黑体"/>
          <w:sz w:val="21"/>
          <w:szCs w:val="21"/>
        </w:rPr>
      </w:pPr>
      <w:r>
        <w:rPr>
          <w:rFonts w:hint="eastAsia" w:hAnsi="黑体"/>
          <w:sz w:val="21"/>
          <w:szCs w:val="21"/>
        </w:rPr>
        <w:t>二、项目内容</w:t>
      </w:r>
    </w:p>
    <w:p w14:paraId="7D8F5B6F">
      <w:pPr>
        <w:pStyle w:val="61"/>
        <w:ind w:firstLine="420"/>
        <w:rPr>
          <w:rFonts w:hint="eastAsia" w:ascii="黑体" w:hAnsi="黑体" w:eastAsia="黑体"/>
          <w:b w:val="0"/>
          <w:bCs w:val="0"/>
          <w:sz w:val="21"/>
          <w:szCs w:val="21"/>
        </w:rPr>
      </w:pPr>
      <w:r>
        <w:rPr>
          <w:rFonts w:hint="eastAsia" w:ascii="黑体" w:hAnsi="黑体" w:eastAsia="黑体"/>
          <w:b w:val="0"/>
          <w:bCs w:val="0"/>
          <w:sz w:val="21"/>
          <w:szCs w:val="21"/>
        </w:rPr>
        <w:t>1.0～6岁各年龄段幼儿眼病高危因素的筛查、屈光度筛查、视力筛查。</w:t>
      </w:r>
    </w:p>
    <w:p w14:paraId="7FB3AB3B">
      <w:pPr>
        <w:pStyle w:val="61"/>
        <w:ind w:firstLine="420"/>
        <w:rPr>
          <w:rFonts w:hint="eastAsia" w:ascii="黑体" w:hAnsi="黑体" w:eastAsia="黑体"/>
          <w:b w:val="0"/>
          <w:bCs w:val="0"/>
          <w:sz w:val="21"/>
          <w:szCs w:val="21"/>
        </w:rPr>
      </w:pPr>
      <w:r>
        <w:rPr>
          <w:rFonts w:hint="eastAsia" w:ascii="黑体" w:hAnsi="黑体" w:eastAsia="黑体"/>
          <w:b w:val="0"/>
          <w:bCs w:val="0"/>
          <w:sz w:val="21"/>
          <w:szCs w:val="21"/>
        </w:rPr>
        <w:t>2.对视光异常者进行验光、矫治、转介、随访、登记统计及信息系统的录入工作。</w:t>
      </w:r>
    </w:p>
    <w:p w14:paraId="2ABCE4A8">
      <w:pPr>
        <w:pStyle w:val="61"/>
        <w:ind w:firstLine="420"/>
        <w:rPr>
          <w:rFonts w:hint="eastAsia" w:ascii="黑体" w:hAnsi="黑体" w:eastAsia="黑体"/>
          <w:b w:val="0"/>
          <w:bCs w:val="0"/>
          <w:sz w:val="21"/>
          <w:szCs w:val="21"/>
        </w:rPr>
      </w:pPr>
      <w:r>
        <w:rPr>
          <w:rFonts w:hint="eastAsia" w:ascii="黑体" w:hAnsi="黑体" w:eastAsia="黑体"/>
          <w:b w:val="0"/>
          <w:bCs w:val="0"/>
          <w:sz w:val="21"/>
          <w:szCs w:val="21"/>
        </w:rPr>
        <w:t>3.儿童眼保健和良好用眼卫生习惯相关知识宣传、普及工作。</w:t>
      </w:r>
    </w:p>
    <w:p w14:paraId="50A081DC">
      <w:pPr>
        <w:pStyle w:val="61"/>
        <w:ind w:firstLine="420"/>
        <w:rPr>
          <w:rFonts w:hint="eastAsia" w:ascii="黑体" w:hAnsi="黑体" w:eastAsia="黑体"/>
          <w:sz w:val="21"/>
          <w:szCs w:val="21"/>
        </w:rPr>
      </w:pPr>
      <w:r>
        <w:rPr>
          <w:rFonts w:hint="eastAsia" w:ascii="黑体" w:hAnsi="黑体" w:eastAsia="黑体"/>
          <w:b w:val="0"/>
          <w:bCs w:val="0"/>
          <w:sz w:val="21"/>
          <w:szCs w:val="21"/>
        </w:rPr>
        <w:t>4.负责辖区内人群眼视光视功能检查、眼底照相检查、视听筛查等工作。</w:t>
      </w:r>
    </w:p>
    <w:p w14:paraId="52487555">
      <w:pPr>
        <w:pStyle w:val="2"/>
        <w:rPr>
          <w:rFonts w:hint="eastAsia" w:ascii="黑体" w:hAnsi="黑体" w:eastAsia="黑体"/>
          <w:szCs w:val="21"/>
        </w:rPr>
      </w:pPr>
    </w:p>
    <w:p w14:paraId="259D8CC4">
      <w:pPr>
        <w:pStyle w:val="4"/>
        <w:spacing w:line="240" w:lineRule="auto"/>
        <w:ind w:firstLine="420" w:firstLineChars="200"/>
        <w:rPr>
          <w:rFonts w:hint="eastAsia" w:hAnsi="黑体"/>
          <w:sz w:val="21"/>
          <w:szCs w:val="21"/>
        </w:rPr>
      </w:pPr>
      <w:r>
        <w:rPr>
          <w:rFonts w:hint="eastAsia" w:hAnsi="黑体"/>
          <w:sz w:val="21"/>
          <w:szCs w:val="21"/>
        </w:rPr>
        <w:t>三、筛查服务清单</w:t>
      </w:r>
    </w:p>
    <w:p w14:paraId="06613D5F"/>
    <w:p w14:paraId="67EE08DA">
      <w:r>
        <w:rPr>
          <w:rFonts w:hint="eastAsia" w:ascii="黑体" w:hAnsi="黑体" w:eastAsia="黑体"/>
          <w:szCs w:val="21"/>
        </w:rPr>
        <w:t>（一）门诊眼保健基础筛查服务</w:t>
      </w:r>
      <w:r>
        <w:rPr>
          <w:rFonts w:hint="eastAsia" w:hAnsi="黑体"/>
          <w:szCs w:val="21"/>
        </w:rPr>
        <w:t>清单</w:t>
      </w:r>
    </w:p>
    <w:tbl>
      <w:tblPr>
        <w:tblStyle w:val="24"/>
        <w:tblpPr w:leftFromText="180" w:rightFromText="180" w:vertAnchor="text" w:horzAnchor="page" w:tblpXSpec="center" w:tblpY="84"/>
        <w:tblOverlap w:val="neve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66"/>
        <w:gridCol w:w="5468"/>
      </w:tblGrid>
      <w:tr w14:paraId="12E3F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05" w:type="pct"/>
            <w:vAlign w:val="center"/>
          </w:tcPr>
          <w:p w14:paraId="711FFA87">
            <w:pPr>
              <w:widowControl/>
              <w:jc w:val="center"/>
              <w:rPr>
                <w:rFonts w:hint="eastAsia" w:ascii="黑体" w:hAnsi="黑体" w:eastAsia="黑体"/>
                <w:color w:val="000000"/>
                <w:kern w:val="0"/>
                <w:sz w:val="24"/>
              </w:rPr>
            </w:pPr>
            <w:bookmarkStart w:id="267" w:name="_Hlk6521137"/>
            <w:r>
              <w:rPr>
                <w:rFonts w:hint="eastAsia" w:ascii="黑体" w:hAnsi="黑体" w:eastAsia="黑体"/>
                <w:color w:val="000000"/>
                <w:kern w:val="0"/>
                <w:sz w:val="24"/>
              </w:rPr>
              <w:t>序号</w:t>
            </w:r>
          </w:p>
        </w:tc>
        <w:tc>
          <w:tcPr>
            <w:tcW w:w="3095" w:type="pct"/>
            <w:vAlign w:val="center"/>
          </w:tcPr>
          <w:p w14:paraId="4001904C">
            <w:pPr>
              <w:widowControl/>
              <w:jc w:val="center"/>
              <w:rPr>
                <w:rFonts w:hint="eastAsia" w:ascii="黑体" w:hAnsi="黑体" w:eastAsia="黑体"/>
                <w:color w:val="000000"/>
                <w:kern w:val="0"/>
                <w:sz w:val="24"/>
              </w:rPr>
            </w:pPr>
            <w:r>
              <w:rPr>
                <w:rFonts w:ascii="黑体" w:hAnsi="黑体" w:eastAsia="黑体"/>
                <w:color w:val="000000"/>
                <w:kern w:val="0"/>
                <w:sz w:val="24"/>
              </w:rPr>
              <w:t xml:space="preserve">项目名称    </w:t>
            </w:r>
          </w:p>
        </w:tc>
      </w:tr>
      <w:bookmarkEnd w:id="267"/>
      <w:tr w14:paraId="6A314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05" w:type="pct"/>
            <w:vAlign w:val="center"/>
          </w:tcPr>
          <w:p w14:paraId="2BE0959F">
            <w:pPr>
              <w:widowControl/>
              <w:jc w:val="center"/>
              <w:rPr>
                <w:rFonts w:hint="eastAsia" w:ascii="黑体" w:hAnsi="黑体" w:eastAsia="黑体"/>
                <w:color w:val="000000"/>
                <w:kern w:val="0"/>
                <w:sz w:val="24"/>
              </w:rPr>
            </w:pPr>
            <w:r>
              <w:rPr>
                <w:rFonts w:hint="eastAsia" w:ascii="黑体" w:hAnsi="黑体" w:eastAsia="黑体"/>
                <w:color w:val="000000"/>
                <w:kern w:val="0"/>
                <w:sz w:val="24"/>
              </w:rPr>
              <w:t>1</w:t>
            </w:r>
          </w:p>
        </w:tc>
        <w:tc>
          <w:tcPr>
            <w:tcW w:w="3095" w:type="pct"/>
            <w:vAlign w:val="center"/>
          </w:tcPr>
          <w:p w14:paraId="434D2DBC">
            <w:pPr>
              <w:widowControl/>
              <w:jc w:val="left"/>
              <w:rPr>
                <w:rFonts w:hint="eastAsia" w:ascii="黑体" w:hAnsi="黑体" w:eastAsia="黑体"/>
                <w:color w:val="000000"/>
                <w:kern w:val="0"/>
                <w:sz w:val="24"/>
              </w:rPr>
            </w:pPr>
            <w:r>
              <w:rPr>
                <w:rFonts w:ascii="黑体" w:hAnsi="黑体" w:eastAsia="黑体"/>
                <w:color w:val="000000"/>
                <w:kern w:val="0"/>
                <w:sz w:val="24"/>
              </w:rPr>
              <w:t>上睑下垂</w:t>
            </w:r>
          </w:p>
        </w:tc>
      </w:tr>
      <w:tr w14:paraId="019D6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05" w:type="pct"/>
            <w:vAlign w:val="center"/>
          </w:tcPr>
          <w:p w14:paraId="387F9D6A">
            <w:pPr>
              <w:widowControl/>
              <w:jc w:val="center"/>
              <w:rPr>
                <w:rFonts w:hint="eastAsia" w:ascii="黑体" w:hAnsi="黑体" w:eastAsia="黑体"/>
                <w:color w:val="000000"/>
                <w:kern w:val="0"/>
                <w:sz w:val="24"/>
              </w:rPr>
            </w:pPr>
            <w:r>
              <w:rPr>
                <w:rFonts w:hint="eastAsia" w:ascii="黑体" w:hAnsi="黑体" w:eastAsia="黑体"/>
                <w:color w:val="000000"/>
                <w:kern w:val="0"/>
                <w:sz w:val="24"/>
              </w:rPr>
              <w:t>2</w:t>
            </w:r>
          </w:p>
        </w:tc>
        <w:tc>
          <w:tcPr>
            <w:tcW w:w="3095" w:type="pct"/>
            <w:vAlign w:val="center"/>
          </w:tcPr>
          <w:p w14:paraId="02BC3C04">
            <w:pPr>
              <w:widowControl/>
              <w:jc w:val="left"/>
              <w:rPr>
                <w:rFonts w:hint="eastAsia" w:ascii="黑体" w:hAnsi="黑体" w:eastAsia="黑体"/>
                <w:color w:val="000000"/>
                <w:kern w:val="0"/>
                <w:sz w:val="24"/>
              </w:rPr>
            </w:pPr>
            <w:r>
              <w:rPr>
                <w:rFonts w:ascii="黑体" w:hAnsi="黑体" w:eastAsia="黑体"/>
                <w:color w:val="000000"/>
                <w:kern w:val="0"/>
                <w:sz w:val="24"/>
              </w:rPr>
              <w:t>角膜知觉检查</w:t>
            </w:r>
          </w:p>
        </w:tc>
      </w:tr>
      <w:tr w14:paraId="04BF9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05" w:type="pct"/>
            <w:vAlign w:val="center"/>
          </w:tcPr>
          <w:p w14:paraId="11EA69A2">
            <w:pPr>
              <w:widowControl/>
              <w:jc w:val="center"/>
              <w:rPr>
                <w:rFonts w:hint="eastAsia" w:ascii="黑体" w:hAnsi="黑体" w:eastAsia="黑体"/>
                <w:color w:val="000000"/>
                <w:kern w:val="0"/>
                <w:sz w:val="24"/>
              </w:rPr>
            </w:pPr>
            <w:r>
              <w:rPr>
                <w:rFonts w:hint="eastAsia" w:ascii="黑体" w:hAnsi="黑体" w:eastAsia="黑体"/>
                <w:color w:val="000000"/>
                <w:kern w:val="0"/>
                <w:sz w:val="24"/>
              </w:rPr>
              <w:t>3</w:t>
            </w:r>
          </w:p>
        </w:tc>
        <w:tc>
          <w:tcPr>
            <w:tcW w:w="3095" w:type="pct"/>
            <w:vAlign w:val="center"/>
          </w:tcPr>
          <w:p w14:paraId="6C039203">
            <w:pPr>
              <w:widowControl/>
              <w:jc w:val="left"/>
              <w:rPr>
                <w:rFonts w:hint="eastAsia" w:ascii="黑体" w:hAnsi="黑体" w:eastAsia="黑体"/>
                <w:color w:val="000000"/>
                <w:kern w:val="0"/>
                <w:sz w:val="24"/>
              </w:rPr>
            </w:pPr>
            <w:r>
              <w:rPr>
                <w:rFonts w:ascii="黑体" w:hAnsi="黑体" w:eastAsia="黑体"/>
                <w:color w:val="000000"/>
                <w:kern w:val="0"/>
                <w:sz w:val="24"/>
              </w:rPr>
              <w:t>眼底检查</w:t>
            </w:r>
          </w:p>
        </w:tc>
      </w:tr>
      <w:tr w14:paraId="06D72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05" w:type="pct"/>
            <w:vAlign w:val="center"/>
          </w:tcPr>
          <w:p w14:paraId="14965867">
            <w:pPr>
              <w:widowControl/>
              <w:jc w:val="center"/>
              <w:rPr>
                <w:rFonts w:hint="eastAsia" w:ascii="黑体" w:hAnsi="黑体" w:eastAsia="黑体"/>
                <w:color w:val="000000"/>
                <w:kern w:val="0"/>
                <w:sz w:val="24"/>
              </w:rPr>
            </w:pPr>
            <w:r>
              <w:rPr>
                <w:rFonts w:hint="eastAsia" w:ascii="黑体" w:hAnsi="黑体" w:eastAsia="黑体"/>
                <w:color w:val="000000"/>
                <w:kern w:val="0"/>
                <w:sz w:val="24"/>
              </w:rPr>
              <w:t>4</w:t>
            </w:r>
          </w:p>
        </w:tc>
        <w:tc>
          <w:tcPr>
            <w:tcW w:w="3095" w:type="pct"/>
            <w:vAlign w:val="center"/>
          </w:tcPr>
          <w:p w14:paraId="79A0A7D9">
            <w:pPr>
              <w:widowControl/>
              <w:jc w:val="left"/>
              <w:rPr>
                <w:rFonts w:hint="eastAsia" w:ascii="黑体" w:hAnsi="黑体" w:eastAsia="黑体"/>
                <w:color w:val="000000"/>
                <w:kern w:val="0"/>
                <w:sz w:val="24"/>
              </w:rPr>
            </w:pPr>
            <w:r>
              <w:rPr>
                <w:rFonts w:ascii="黑体" w:hAnsi="黑体" w:eastAsia="黑体"/>
                <w:color w:val="000000"/>
                <w:kern w:val="0"/>
                <w:sz w:val="24"/>
              </w:rPr>
              <w:t>选择性观看</w:t>
            </w:r>
          </w:p>
        </w:tc>
      </w:tr>
      <w:tr w14:paraId="57F84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05" w:type="pct"/>
            <w:vAlign w:val="center"/>
          </w:tcPr>
          <w:p w14:paraId="753B7D57">
            <w:pPr>
              <w:widowControl/>
              <w:jc w:val="center"/>
              <w:rPr>
                <w:rFonts w:hint="eastAsia" w:ascii="黑体" w:hAnsi="黑体" w:eastAsia="黑体"/>
                <w:color w:val="000000"/>
                <w:kern w:val="0"/>
                <w:sz w:val="24"/>
              </w:rPr>
            </w:pPr>
            <w:r>
              <w:rPr>
                <w:rFonts w:hint="eastAsia" w:ascii="黑体" w:hAnsi="黑体" w:eastAsia="黑体"/>
                <w:color w:val="000000"/>
                <w:kern w:val="0"/>
                <w:sz w:val="24"/>
              </w:rPr>
              <w:t>5</w:t>
            </w:r>
          </w:p>
        </w:tc>
        <w:tc>
          <w:tcPr>
            <w:tcW w:w="3095" w:type="pct"/>
            <w:vAlign w:val="center"/>
          </w:tcPr>
          <w:p w14:paraId="089A6976">
            <w:pPr>
              <w:widowControl/>
              <w:jc w:val="left"/>
              <w:rPr>
                <w:rFonts w:hint="eastAsia" w:ascii="黑体" w:hAnsi="黑体" w:eastAsia="黑体"/>
                <w:color w:val="000000"/>
                <w:kern w:val="0"/>
                <w:sz w:val="24"/>
              </w:rPr>
            </w:pPr>
            <w:r>
              <w:rPr>
                <w:rFonts w:ascii="黑体" w:hAnsi="黑体" w:eastAsia="黑体"/>
                <w:color w:val="000000"/>
                <w:kern w:val="0"/>
                <w:sz w:val="24"/>
              </w:rPr>
              <w:t>眼外肌功能检查</w:t>
            </w:r>
          </w:p>
        </w:tc>
      </w:tr>
      <w:tr w14:paraId="29387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05" w:type="pct"/>
            <w:vAlign w:val="center"/>
          </w:tcPr>
          <w:p w14:paraId="4817E317">
            <w:pPr>
              <w:widowControl/>
              <w:jc w:val="center"/>
              <w:rPr>
                <w:rFonts w:hint="eastAsia" w:ascii="黑体" w:hAnsi="黑体" w:eastAsia="黑体"/>
                <w:color w:val="000000"/>
                <w:kern w:val="0"/>
                <w:sz w:val="24"/>
              </w:rPr>
            </w:pPr>
            <w:r>
              <w:rPr>
                <w:rFonts w:hint="eastAsia" w:ascii="黑体" w:hAnsi="黑体" w:eastAsia="黑体"/>
                <w:color w:val="000000"/>
                <w:kern w:val="0"/>
                <w:sz w:val="24"/>
              </w:rPr>
              <w:t>6</w:t>
            </w:r>
          </w:p>
        </w:tc>
        <w:tc>
          <w:tcPr>
            <w:tcW w:w="3095" w:type="pct"/>
            <w:vAlign w:val="center"/>
          </w:tcPr>
          <w:p w14:paraId="0A0988C4">
            <w:pPr>
              <w:widowControl/>
              <w:jc w:val="left"/>
              <w:rPr>
                <w:rFonts w:hint="eastAsia" w:ascii="黑体" w:hAnsi="黑体" w:eastAsia="黑体"/>
                <w:color w:val="000000"/>
                <w:kern w:val="0"/>
                <w:sz w:val="24"/>
              </w:rPr>
            </w:pPr>
            <w:r>
              <w:rPr>
                <w:rFonts w:ascii="黑体" w:hAnsi="黑体" w:eastAsia="黑体"/>
                <w:color w:val="000000"/>
                <w:kern w:val="0"/>
                <w:sz w:val="24"/>
              </w:rPr>
              <w:t>视网膜视力检查</w:t>
            </w:r>
          </w:p>
        </w:tc>
      </w:tr>
      <w:tr w14:paraId="11080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05" w:type="pct"/>
            <w:vAlign w:val="center"/>
          </w:tcPr>
          <w:p w14:paraId="67544355">
            <w:pPr>
              <w:widowControl/>
              <w:jc w:val="center"/>
              <w:rPr>
                <w:rFonts w:hint="eastAsia" w:ascii="黑体" w:hAnsi="黑体" w:eastAsia="黑体"/>
                <w:color w:val="000000"/>
                <w:kern w:val="0"/>
                <w:sz w:val="24"/>
              </w:rPr>
            </w:pPr>
            <w:r>
              <w:rPr>
                <w:rFonts w:hint="eastAsia" w:ascii="黑体" w:hAnsi="黑体" w:eastAsia="黑体"/>
                <w:color w:val="000000"/>
                <w:kern w:val="0"/>
                <w:sz w:val="24"/>
              </w:rPr>
              <w:t>7</w:t>
            </w:r>
          </w:p>
        </w:tc>
        <w:tc>
          <w:tcPr>
            <w:tcW w:w="3095" w:type="pct"/>
            <w:vAlign w:val="center"/>
          </w:tcPr>
          <w:p w14:paraId="03D103C8">
            <w:pPr>
              <w:widowControl/>
              <w:jc w:val="left"/>
              <w:rPr>
                <w:rFonts w:hint="eastAsia" w:ascii="黑体" w:hAnsi="黑体" w:eastAsia="黑体"/>
                <w:color w:val="000000"/>
                <w:kern w:val="0"/>
                <w:sz w:val="24"/>
              </w:rPr>
            </w:pPr>
            <w:r>
              <w:rPr>
                <w:rFonts w:hint="eastAsia" w:ascii="黑体" w:hAnsi="黑体" w:eastAsia="黑体"/>
                <w:color w:val="000000"/>
                <w:kern w:val="0"/>
                <w:sz w:val="24"/>
              </w:rPr>
              <w:t>裂隙灯下</w:t>
            </w:r>
            <w:r>
              <w:rPr>
                <w:rFonts w:ascii="黑体" w:hAnsi="黑体" w:eastAsia="黑体"/>
                <w:color w:val="000000"/>
                <w:kern w:val="0"/>
                <w:sz w:val="24"/>
              </w:rPr>
              <w:t>眼底检查</w:t>
            </w:r>
          </w:p>
        </w:tc>
      </w:tr>
      <w:tr w14:paraId="3D2E5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05" w:type="pct"/>
            <w:vAlign w:val="center"/>
          </w:tcPr>
          <w:p w14:paraId="2E7FE08D">
            <w:pPr>
              <w:widowControl/>
              <w:jc w:val="center"/>
              <w:rPr>
                <w:rFonts w:hint="eastAsia" w:ascii="黑体" w:hAnsi="黑体" w:eastAsia="黑体"/>
                <w:color w:val="000000"/>
                <w:kern w:val="0"/>
                <w:sz w:val="24"/>
              </w:rPr>
            </w:pPr>
            <w:r>
              <w:rPr>
                <w:rFonts w:hint="eastAsia" w:ascii="黑体" w:hAnsi="黑体" w:eastAsia="黑体"/>
                <w:color w:val="000000"/>
                <w:kern w:val="0"/>
                <w:sz w:val="24"/>
              </w:rPr>
              <w:t>8</w:t>
            </w:r>
          </w:p>
        </w:tc>
        <w:tc>
          <w:tcPr>
            <w:tcW w:w="3095" w:type="pct"/>
            <w:vAlign w:val="center"/>
          </w:tcPr>
          <w:p w14:paraId="238F6DB1">
            <w:pPr>
              <w:widowControl/>
              <w:jc w:val="left"/>
              <w:rPr>
                <w:rFonts w:hint="eastAsia" w:ascii="黑体" w:hAnsi="黑体" w:eastAsia="黑体"/>
                <w:color w:val="000000"/>
                <w:kern w:val="0"/>
                <w:sz w:val="24"/>
              </w:rPr>
            </w:pPr>
            <w:r>
              <w:rPr>
                <w:rFonts w:ascii="黑体" w:hAnsi="黑体" w:eastAsia="黑体"/>
                <w:color w:val="000000"/>
                <w:kern w:val="0"/>
                <w:sz w:val="24"/>
              </w:rPr>
              <w:t>斜视度测定</w:t>
            </w:r>
          </w:p>
        </w:tc>
      </w:tr>
    </w:tbl>
    <w:p w14:paraId="390A72CC">
      <w:pPr>
        <w:pStyle w:val="2"/>
        <w:rPr>
          <w:rFonts w:hint="eastAsia" w:ascii="黑体" w:hAnsi="黑体" w:eastAsia="黑体"/>
          <w:szCs w:val="21"/>
        </w:rPr>
      </w:pPr>
    </w:p>
    <w:p w14:paraId="64268605">
      <w:pPr>
        <w:rPr>
          <w:rFonts w:hint="eastAsia" w:ascii="黑体" w:hAnsi="黑体" w:eastAsia="黑体"/>
          <w:szCs w:val="21"/>
        </w:rPr>
      </w:pPr>
    </w:p>
    <w:p w14:paraId="4E44D398">
      <w:pPr>
        <w:rPr>
          <w:rFonts w:hint="eastAsia" w:ascii="黑体" w:hAnsi="黑体" w:eastAsia="黑体"/>
          <w:szCs w:val="21"/>
        </w:rPr>
      </w:pPr>
    </w:p>
    <w:p w14:paraId="5F5D190F">
      <w:pPr>
        <w:rPr>
          <w:rFonts w:hint="eastAsia" w:ascii="黑体" w:hAnsi="黑体" w:eastAsia="黑体"/>
          <w:szCs w:val="21"/>
        </w:rPr>
      </w:pPr>
      <w:r>
        <w:rPr>
          <w:rFonts w:hint="eastAsia" w:ascii="黑体" w:hAnsi="黑体" w:eastAsia="黑体"/>
          <w:szCs w:val="21"/>
        </w:rPr>
        <w:t>（二）其他视功能辅助服务清单</w:t>
      </w:r>
    </w:p>
    <w:p w14:paraId="64F28B29">
      <w:pPr>
        <w:pStyle w:val="2"/>
      </w:pPr>
    </w:p>
    <w:tbl>
      <w:tblPr>
        <w:tblStyle w:val="24"/>
        <w:tblW w:w="5000" w:type="pct"/>
        <w:jc w:val="center"/>
        <w:tblLayout w:type="autofit"/>
        <w:tblCellMar>
          <w:top w:w="0" w:type="dxa"/>
          <w:left w:w="108" w:type="dxa"/>
          <w:bottom w:w="0" w:type="dxa"/>
          <w:right w:w="108" w:type="dxa"/>
        </w:tblCellMar>
      </w:tblPr>
      <w:tblGrid>
        <w:gridCol w:w="3340"/>
        <w:gridCol w:w="5494"/>
      </w:tblGrid>
      <w:tr w14:paraId="7CB8B7EE">
        <w:tblPrEx>
          <w:tblCellMar>
            <w:top w:w="0" w:type="dxa"/>
            <w:left w:w="108" w:type="dxa"/>
            <w:bottom w:w="0" w:type="dxa"/>
            <w:right w:w="108" w:type="dxa"/>
          </w:tblCellMar>
        </w:tblPrEx>
        <w:trPr>
          <w:trHeight w:val="582" w:hRule="atLeast"/>
          <w:jc w:val="center"/>
        </w:trPr>
        <w:tc>
          <w:tcPr>
            <w:tcW w:w="1890" w:type="pct"/>
            <w:tcBorders>
              <w:top w:val="single" w:color="000000" w:sz="8" w:space="0"/>
              <w:left w:val="single" w:color="000000" w:sz="8" w:space="0"/>
              <w:bottom w:val="single" w:color="000000" w:sz="8" w:space="0"/>
              <w:right w:val="single" w:color="000000" w:sz="8" w:space="0"/>
            </w:tcBorders>
            <w:vAlign w:val="center"/>
          </w:tcPr>
          <w:p w14:paraId="43AABE8E">
            <w:pPr>
              <w:widowControl/>
              <w:jc w:val="center"/>
              <w:textAlignment w:val="center"/>
              <w:rPr>
                <w:rFonts w:hint="eastAsia" w:ascii="黑体" w:hAnsi="黑体" w:eastAsia="黑体" w:cs="楷体"/>
                <w:color w:val="000000"/>
                <w:szCs w:val="21"/>
              </w:rPr>
            </w:pPr>
            <w:r>
              <w:rPr>
                <w:rFonts w:hint="eastAsia" w:ascii="黑体" w:hAnsi="黑体" w:eastAsia="黑体" w:cs="楷体"/>
                <w:color w:val="000000"/>
                <w:kern w:val="0"/>
                <w:szCs w:val="21"/>
                <w:lang w:bidi="ar"/>
              </w:rPr>
              <w:t>序号</w:t>
            </w:r>
          </w:p>
        </w:tc>
        <w:tc>
          <w:tcPr>
            <w:tcW w:w="3109" w:type="pct"/>
            <w:tcBorders>
              <w:top w:val="single" w:color="000000" w:sz="8" w:space="0"/>
              <w:left w:val="nil"/>
              <w:bottom w:val="single" w:color="000000" w:sz="8" w:space="0"/>
              <w:right w:val="single" w:color="000000" w:sz="8" w:space="0"/>
            </w:tcBorders>
            <w:vAlign w:val="center"/>
          </w:tcPr>
          <w:p w14:paraId="085D2F39">
            <w:pPr>
              <w:widowControl/>
              <w:jc w:val="left"/>
              <w:textAlignment w:val="center"/>
              <w:rPr>
                <w:rFonts w:hint="eastAsia" w:ascii="黑体" w:hAnsi="黑体" w:eastAsia="黑体" w:cs="楷体"/>
                <w:color w:val="000000"/>
                <w:szCs w:val="21"/>
              </w:rPr>
            </w:pPr>
            <w:r>
              <w:rPr>
                <w:rFonts w:hint="eastAsia" w:ascii="黑体" w:hAnsi="黑体" w:eastAsia="黑体" w:cs="楷体"/>
                <w:color w:val="000000"/>
                <w:kern w:val="0"/>
                <w:szCs w:val="21"/>
                <w:lang w:bidi="ar"/>
              </w:rPr>
              <w:t>项目名称</w:t>
            </w:r>
          </w:p>
        </w:tc>
      </w:tr>
      <w:tr w14:paraId="498C7A58">
        <w:tblPrEx>
          <w:tblCellMar>
            <w:top w:w="0" w:type="dxa"/>
            <w:left w:w="108" w:type="dxa"/>
            <w:bottom w:w="0" w:type="dxa"/>
            <w:right w:w="108" w:type="dxa"/>
          </w:tblCellMar>
        </w:tblPrEx>
        <w:trPr>
          <w:trHeight w:val="300" w:hRule="atLeast"/>
          <w:jc w:val="center"/>
        </w:trPr>
        <w:tc>
          <w:tcPr>
            <w:tcW w:w="1890" w:type="pct"/>
            <w:tcBorders>
              <w:top w:val="nil"/>
              <w:left w:val="single" w:color="000000" w:sz="8" w:space="0"/>
              <w:bottom w:val="single" w:color="000000" w:sz="8" w:space="0"/>
              <w:right w:val="single" w:color="000000" w:sz="8" w:space="0"/>
            </w:tcBorders>
            <w:vAlign w:val="center"/>
          </w:tcPr>
          <w:p w14:paraId="55751913">
            <w:pPr>
              <w:widowControl/>
              <w:jc w:val="center"/>
              <w:textAlignment w:val="center"/>
              <w:rPr>
                <w:rFonts w:hint="eastAsia" w:ascii="黑体" w:hAnsi="黑体" w:eastAsia="黑体" w:cs="楷体"/>
                <w:color w:val="000000"/>
                <w:szCs w:val="21"/>
              </w:rPr>
            </w:pPr>
            <w:r>
              <w:rPr>
                <w:rFonts w:hint="eastAsia" w:ascii="黑体" w:hAnsi="黑体" w:eastAsia="黑体" w:cs="楷体"/>
                <w:color w:val="000000"/>
                <w:kern w:val="0"/>
                <w:szCs w:val="21"/>
                <w:lang w:bidi="ar"/>
              </w:rPr>
              <w:t>1</w:t>
            </w:r>
          </w:p>
        </w:tc>
        <w:tc>
          <w:tcPr>
            <w:tcW w:w="3109" w:type="pct"/>
            <w:tcBorders>
              <w:top w:val="nil"/>
              <w:left w:val="nil"/>
              <w:bottom w:val="single" w:color="000000" w:sz="8" w:space="0"/>
              <w:right w:val="single" w:color="000000" w:sz="8" w:space="0"/>
            </w:tcBorders>
            <w:vAlign w:val="center"/>
          </w:tcPr>
          <w:p w14:paraId="084FD23C">
            <w:pPr>
              <w:widowControl/>
              <w:jc w:val="left"/>
              <w:textAlignment w:val="center"/>
              <w:rPr>
                <w:rFonts w:hint="eastAsia" w:ascii="黑体" w:hAnsi="黑体" w:eastAsia="黑体" w:cs="楷体"/>
                <w:color w:val="000000"/>
                <w:szCs w:val="21"/>
              </w:rPr>
            </w:pPr>
            <w:r>
              <w:rPr>
                <w:rFonts w:hint="eastAsia" w:ascii="黑体" w:hAnsi="黑体" w:eastAsia="黑体" w:cs="楷体"/>
                <w:color w:val="000000"/>
                <w:kern w:val="0"/>
                <w:szCs w:val="21"/>
                <w:lang w:bidi="ar"/>
              </w:rPr>
              <w:t>普通视力检查</w:t>
            </w:r>
          </w:p>
        </w:tc>
      </w:tr>
      <w:tr w14:paraId="25E9EB8D">
        <w:tblPrEx>
          <w:tblCellMar>
            <w:top w:w="0" w:type="dxa"/>
            <w:left w:w="108" w:type="dxa"/>
            <w:bottom w:w="0" w:type="dxa"/>
            <w:right w:w="108" w:type="dxa"/>
          </w:tblCellMar>
        </w:tblPrEx>
        <w:trPr>
          <w:trHeight w:val="300" w:hRule="atLeast"/>
          <w:jc w:val="center"/>
        </w:trPr>
        <w:tc>
          <w:tcPr>
            <w:tcW w:w="1890" w:type="pct"/>
            <w:tcBorders>
              <w:top w:val="nil"/>
              <w:left w:val="single" w:color="000000" w:sz="8" w:space="0"/>
              <w:bottom w:val="single" w:color="000000" w:sz="8" w:space="0"/>
              <w:right w:val="single" w:color="000000" w:sz="8" w:space="0"/>
            </w:tcBorders>
            <w:vAlign w:val="center"/>
          </w:tcPr>
          <w:p w14:paraId="2D3E68B2">
            <w:pPr>
              <w:widowControl/>
              <w:jc w:val="center"/>
              <w:textAlignment w:val="center"/>
              <w:rPr>
                <w:rFonts w:hint="eastAsia" w:ascii="黑体" w:hAnsi="黑体" w:eastAsia="黑体" w:cs="楷体"/>
                <w:color w:val="000000"/>
                <w:szCs w:val="21"/>
              </w:rPr>
            </w:pPr>
            <w:r>
              <w:rPr>
                <w:rFonts w:hint="eastAsia" w:ascii="黑体" w:hAnsi="黑体" w:eastAsia="黑体" w:cs="楷体"/>
                <w:color w:val="000000"/>
                <w:kern w:val="0"/>
                <w:szCs w:val="21"/>
                <w:lang w:bidi="ar"/>
              </w:rPr>
              <w:t>2</w:t>
            </w:r>
          </w:p>
        </w:tc>
        <w:tc>
          <w:tcPr>
            <w:tcW w:w="3109" w:type="pct"/>
            <w:tcBorders>
              <w:top w:val="nil"/>
              <w:left w:val="nil"/>
              <w:bottom w:val="single" w:color="000000" w:sz="8" w:space="0"/>
              <w:right w:val="single" w:color="000000" w:sz="8" w:space="0"/>
            </w:tcBorders>
            <w:vAlign w:val="center"/>
          </w:tcPr>
          <w:p w14:paraId="4E434FA0">
            <w:pPr>
              <w:widowControl/>
              <w:jc w:val="left"/>
              <w:textAlignment w:val="center"/>
              <w:rPr>
                <w:rFonts w:hint="eastAsia" w:ascii="黑体" w:hAnsi="黑体" w:eastAsia="黑体" w:cs="楷体"/>
                <w:color w:val="000000"/>
                <w:szCs w:val="21"/>
              </w:rPr>
            </w:pPr>
            <w:r>
              <w:rPr>
                <w:rFonts w:hint="eastAsia" w:ascii="黑体" w:hAnsi="黑体" w:eastAsia="黑体" w:cs="楷体"/>
                <w:color w:val="000000"/>
                <w:kern w:val="0"/>
                <w:szCs w:val="21"/>
                <w:lang w:bidi="ar"/>
              </w:rPr>
              <w:t>特殊视力检查</w:t>
            </w:r>
          </w:p>
        </w:tc>
      </w:tr>
      <w:tr w14:paraId="5EC57E0E">
        <w:tblPrEx>
          <w:tblCellMar>
            <w:top w:w="0" w:type="dxa"/>
            <w:left w:w="108" w:type="dxa"/>
            <w:bottom w:w="0" w:type="dxa"/>
            <w:right w:w="108" w:type="dxa"/>
          </w:tblCellMar>
        </w:tblPrEx>
        <w:trPr>
          <w:trHeight w:val="90" w:hRule="atLeast"/>
          <w:jc w:val="center"/>
        </w:trPr>
        <w:tc>
          <w:tcPr>
            <w:tcW w:w="1890" w:type="pct"/>
            <w:tcBorders>
              <w:top w:val="nil"/>
              <w:left w:val="single" w:color="000000" w:sz="8" w:space="0"/>
              <w:bottom w:val="single" w:color="auto" w:sz="4" w:space="0"/>
              <w:right w:val="single" w:color="000000" w:sz="8" w:space="0"/>
            </w:tcBorders>
            <w:vAlign w:val="center"/>
          </w:tcPr>
          <w:p w14:paraId="3595C9C8">
            <w:pPr>
              <w:widowControl/>
              <w:jc w:val="center"/>
              <w:textAlignment w:val="center"/>
              <w:rPr>
                <w:rFonts w:hint="eastAsia" w:ascii="黑体" w:hAnsi="黑体" w:eastAsia="黑体" w:cs="楷体"/>
                <w:color w:val="000000"/>
                <w:szCs w:val="21"/>
              </w:rPr>
            </w:pPr>
            <w:r>
              <w:rPr>
                <w:rFonts w:hint="eastAsia" w:ascii="黑体" w:hAnsi="黑体" w:eastAsia="黑体" w:cs="楷体"/>
                <w:color w:val="000000"/>
                <w:kern w:val="0"/>
                <w:szCs w:val="21"/>
                <w:lang w:bidi="ar"/>
              </w:rPr>
              <w:t>3</w:t>
            </w:r>
          </w:p>
        </w:tc>
        <w:tc>
          <w:tcPr>
            <w:tcW w:w="3109" w:type="pct"/>
            <w:tcBorders>
              <w:top w:val="nil"/>
              <w:left w:val="nil"/>
              <w:bottom w:val="single" w:color="auto" w:sz="4" w:space="0"/>
              <w:right w:val="single" w:color="000000" w:sz="8" w:space="0"/>
            </w:tcBorders>
            <w:vAlign w:val="center"/>
          </w:tcPr>
          <w:p w14:paraId="4E6ABDDF">
            <w:pPr>
              <w:widowControl/>
              <w:jc w:val="left"/>
              <w:textAlignment w:val="center"/>
              <w:rPr>
                <w:rFonts w:hint="eastAsia" w:ascii="黑体" w:hAnsi="黑体" w:eastAsia="黑体" w:cs="楷体"/>
                <w:color w:val="000000"/>
                <w:szCs w:val="21"/>
              </w:rPr>
            </w:pPr>
            <w:r>
              <w:rPr>
                <w:rFonts w:hint="eastAsia" w:ascii="黑体" w:hAnsi="黑体" w:eastAsia="黑体" w:cs="楷体"/>
                <w:color w:val="000000"/>
                <w:kern w:val="0"/>
                <w:szCs w:val="21"/>
                <w:lang w:bidi="ar"/>
              </w:rPr>
              <w:t>视野检查</w:t>
            </w:r>
          </w:p>
        </w:tc>
      </w:tr>
      <w:tr w14:paraId="12838699">
        <w:tblPrEx>
          <w:tblCellMar>
            <w:top w:w="0" w:type="dxa"/>
            <w:left w:w="108" w:type="dxa"/>
            <w:bottom w:w="0" w:type="dxa"/>
            <w:right w:w="108" w:type="dxa"/>
          </w:tblCellMar>
        </w:tblPrEx>
        <w:trPr>
          <w:trHeight w:val="300" w:hRule="atLeast"/>
          <w:jc w:val="center"/>
        </w:trPr>
        <w:tc>
          <w:tcPr>
            <w:tcW w:w="1890" w:type="pct"/>
            <w:tcBorders>
              <w:top w:val="single" w:color="auto" w:sz="4" w:space="0"/>
              <w:left w:val="single" w:color="000000" w:sz="8" w:space="0"/>
              <w:bottom w:val="single" w:color="auto" w:sz="4" w:space="0"/>
              <w:right w:val="single" w:color="000000" w:sz="8" w:space="0"/>
            </w:tcBorders>
            <w:vAlign w:val="center"/>
          </w:tcPr>
          <w:p w14:paraId="5981C178">
            <w:pPr>
              <w:widowControl/>
              <w:jc w:val="center"/>
              <w:textAlignment w:val="center"/>
              <w:rPr>
                <w:rFonts w:hint="eastAsia" w:ascii="黑体" w:hAnsi="黑体" w:eastAsia="黑体" w:cs="楷体"/>
                <w:color w:val="000000"/>
                <w:szCs w:val="21"/>
              </w:rPr>
            </w:pPr>
            <w:r>
              <w:rPr>
                <w:rFonts w:hint="eastAsia" w:ascii="黑体" w:hAnsi="黑体" w:eastAsia="黑体" w:cs="楷体"/>
                <w:color w:val="000000"/>
                <w:kern w:val="0"/>
                <w:szCs w:val="21"/>
                <w:lang w:bidi="ar"/>
              </w:rPr>
              <w:t>4</w:t>
            </w:r>
          </w:p>
        </w:tc>
        <w:tc>
          <w:tcPr>
            <w:tcW w:w="3109" w:type="pct"/>
            <w:tcBorders>
              <w:top w:val="single" w:color="auto" w:sz="4" w:space="0"/>
              <w:left w:val="nil"/>
              <w:bottom w:val="single" w:color="auto" w:sz="4" w:space="0"/>
              <w:right w:val="single" w:color="000000" w:sz="8" w:space="0"/>
            </w:tcBorders>
            <w:vAlign w:val="center"/>
          </w:tcPr>
          <w:p w14:paraId="61E7ED69">
            <w:pPr>
              <w:widowControl/>
              <w:jc w:val="left"/>
              <w:textAlignment w:val="center"/>
              <w:rPr>
                <w:rFonts w:hint="eastAsia" w:ascii="黑体" w:hAnsi="黑体" w:eastAsia="黑体" w:cs="楷体"/>
                <w:color w:val="000000"/>
                <w:szCs w:val="21"/>
              </w:rPr>
            </w:pPr>
            <w:r>
              <w:rPr>
                <w:rFonts w:hint="eastAsia" w:ascii="黑体" w:hAnsi="黑体" w:eastAsia="黑体" w:cs="楷体"/>
                <w:color w:val="000000"/>
                <w:kern w:val="0"/>
                <w:szCs w:val="21"/>
                <w:lang w:bidi="ar"/>
              </w:rPr>
              <w:t>验光</w:t>
            </w:r>
          </w:p>
        </w:tc>
      </w:tr>
      <w:tr w14:paraId="385CCBF4">
        <w:tblPrEx>
          <w:tblCellMar>
            <w:top w:w="0" w:type="dxa"/>
            <w:left w:w="108" w:type="dxa"/>
            <w:bottom w:w="0" w:type="dxa"/>
            <w:right w:w="108" w:type="dxa"/>
          </w:tblCellMar>
        </w:tblPrEx>
        <w:trPr>
          <w:trHeight w:val="300" w:hRule="atLeast"/>
          <w:jc w:val="center"/>
        </w:trPr>
        <w:tc>
          <w:tcPr>
            <w:tcW w:w="1890" w:type="pct"/>
            <w:tcBorders>
              <w:top w:val="single" w:color="auto" w:sz="4" w:space="0"/>
              <w:left w:val="single" w:color="000000" w:sz="8" w:space="0"/>
              <w:bottom w:val="single" w:color="auto" w:sz="4" w:space="0"/>
              <w:right w:val="single" w:color="000000" w:sz="8" w:space="0"/>
            </w:tcBorders>
            <w:vAlign w:val="center"/>
          </w:tcPr>
          <w:p w14:paraId="5ACF6709">
            <w:pPr>
              <w:widowControl/>
              <w:jc w:val="center"/>
              <w:textAlignment w:val="center"/>
              <w:rPr>
                <w:rFonts w:hint="eastAsia" w:ascii="黑体" w:hAnsi="黑体" w:eastAsia="黑体" w:cs="楷体"/>
                <w:color w:val="000000"/>
                <w:szCs w:val="21"/>
              </w:rPr>
            </w:pPr>
            <w:r>
              <w:rPr>
                <w:rFonts w:hint="eastAsia" w:ascii="黑体" w:hAnsi="黑体" w:eastAsia="黑体" w:cs="楷体"/>
                <w:color w:val="000000"/>
                <w:kern w:val="0"/>
                <w:szCs w:val="21"/>
                <w:lang w:bidi="ar"/>
              </w:rPr>
              <w:t>5</w:t>
            </w:r>
          </w:p>
        </w:tc>
        <w:tc>
          <w:tcPr>
            <w:tcW w:w="3109" w:type="pct"/>
            <w:tcBorders>
              <w:top w:val="single" w:color="auto" w:sz="4" w:space="0"/>
              <w:left w:val="nil"/>
              <w:bottom w:val="single" w:color="auto" w:sz="4" w:space="0"/>
              <w:right w:val="single" w:color="000000" w:sz="8" w:space="0"/>
            </w:tcBorders>
            <w:vAlign w:val="center"/>
          </w:tcPr>
          <w:p w14:paraId="61B09ABC">
            <w:pPr>
              <w:widowControl/>
              <w:jc w:val="left"/>
              <w:textAlignment w:val="center"/>
              <w:rPr>
                <w:rFonts w:hint="eastAsia" w:ascii="黑体" w:hAnsi="黑体" w:eastAsia="黑体" w:cs="楷体"/>
                <w:color w:val="000000"/>
                <w:szCs w:val="21"/>
              </w:rPr>
            </w:pPr>
            <w:r>
              <w:rPr>
                <w:rFonts w:hint="eastAsia" w:ascii="黑体" w:hAnsi="黑体" w:eastAsia="黑体" w:cs="楷体"/>
                <w:color w:val="000000"/>
                <w:kern w:val="0"/>
                <w:szCs w:val="21"/>
                <w:lang w:bidi="ar"/>
              </w:rPr>
              <w:t>主导眼检查</w:t>
            </w:r>
          </w:p>
        </w:tc>
      </w:tr>
      <w:tr w14:paraId="14C2131F">
        <w:tblPrEx>
          <w:tblCellMar>
            <w:top w:w="0" w:type="dxa"/>
            <w:left w:w="108" w:type="dxa"/>
            <w:bottom w:w="0" w:type="dxa"/>
            <w:right w:w="108" w:type="dxa"/>
          </w:tblCellMar>
        </w:tblPrEx>
        <w:trPr>
          <w:trHeight w:val="300" w:hRule="atLeast"/>
          <w:jc w:val="center"/>
        </w:trPr>
        <w:tc>
          <w:tcPr>
            <w:tcW w:w="1890" w:type="pct"/>
            <w:tcBorders>
              <w:top w:val="single" w:color="auto" w:sz="4" w:space="0"/>
              <w:left w:val="single" w:color="000000" w:sz="8" w:space="0"/>
              <w:bottom w:val="single" w:color="000000" w:sz="8" w:space="0"/>
              <w:right w:val="single" w:color="000000" w:sz="8" w:space="0"/>
            </w:tcBorders>
            <w:vAlign w:val="center"/>
          </w:tcPr>
          <w:p w14:paraId="5B092223">
            <w:pPr>
              <w:widowControl/>
              <w:jc w:val="center"/>
              <w:textAlignment w:val="center"/>
              <w:rPr>
                <w:rFonts w:hint="eastAsia" w:ascii="黑体" w:hAnsi="黑体" w:eastAsia="黑体" w:cs="楷体"/>
                <w:color w:val="000000"/>
                <w:szCs w:val="21"/>
              </w:rPr>
            </w:pPr>
            <w:r>
              <w:rPr>
                <w:rFonts w:hint="eastAsia" w:ascii="黑体" w:hAnsi="黑体" w:eastAsia="黑体" w:cs="楷体"/>
                <w:color w:val="000000"/>
                <w:kern w:val="0"/>
                <w:szCs w:val="21"/>
                <w:lang w:bidi="ar"/>
              </w:rPr>
              <w:t>6</w:t>
            </w:r>
          </w:p>
        </w:tc>
        <w:tc>
          <w:tcPr>
            <w:tcW w:w="3109" w:type="pct"/>
            <w:tcBorders>
              <w:top w:val="single" w:color="auto" w:sz="4" w:space="0"/>
              <w:left w:val="nil"/>
              <w:bottom w:val="single" w:color="000000" w:sz="8" w:space="0"/>
              <w:right w:val="single" w:color="000000" w:sz="8" w:space="0"/>
            </w:tcBorders>
            <w:vAlign w:val="center"/>
          </w:tcPr>
          <w:p w14:paraId="086F7208">
            <w:pPr>
              <w:widowControl/>
              <w:jc w:val="left"/>
              <w:textAlignment w:val="center"/>
              <w:rPr>
                <w:rFonts w:hint="eastAsia" w:ascii="黑体" w:hAnsi="黑体" w:eastAsia="黑体" w:cs="楷体"/>
                <w:color w:val="000000"/>
                <w:szCs w:val="21"/>
              </w:rPr>
            </w:pPr>
            <w:r>
              <w:rPr>
                <w:rFonts w:hint="eastAsia" w:ascii="黑体" w:hAnsi="黑体" w:eastAsia="黑体" w:cs="楷体"/>
                <w:color w:val="000000"/>
                <w:kern w:val="0"/>
                <w:szCs w:val="21"/>
                <w:lang w:bidi="ar"/>
              </w:rPr>
              <w:t>代偿头位测定</w:t>
            </w:r>
          </w:p>
        </w:tc>
      </w:tr>
      <w:tr w14:paraId="0E5FB265">
        <w:tblPrEx>
          <w:tblCellMar>
            <w:top w:w="0" w:type="dxa"/>
            <w:left w:w="108" w:type="dxa"/>
            <w:bottom w:w="0" w:type="dxa"/>
            <w:right w:w="108" w:type="dxa"/>
          </w:tblCellMar>
        </w:tblPrEx>
        <w:trPr>
          <w:trHeight w:val="300" w:hRule="atLeast"/>
          <w:jc w:val="center"/>
        </w:trPr>
        <w:tc>
          <w:tcPr>
            <w:tcW w:w="1890" w:type="pct"/>
            <w:tcBorders>
              <w:top w:val="nil"/>
              <w:left w:val="single" w:color="000000" w:sz="8" w:space="0"/>
              <w:bottom w:val="single" w:color="000000" w:sz="8" w:space="0"/>
              <w:right w:val="single" w:color="000000" w:sz="8" w:space="0"/>
            </w:tcBorders>
            <w:vAlign w:val="center"/>
          </w:tcPr>
          <w:p w14:paraId="746455FD">
            <w:pPr>
              <w:widowControl/>
              <w:jc w:val="center"/>
              <w:textAlignment w:val="center"/>
              <w:rPr>
                <w:rFonts w:hint="eastAsia" w:ascii="黑体" w:hAnsi="黑体" w:eastAsia="黑体" w:cs="楷体"/>
                <w:color w:val="000000"/>
                <w:szCs w:val="21"/>
              </w:rPr>
            </w:pPr>
            <w:r>
              <w:rPr>
                <w:rFonts w:hint="eastAsia" w:ascii="黑体" w:hAnsi="黑体" w:eastAsia="黑体" w:cs="楷体"/>
                <w:color w:val="000000"/>
                <w:kern w:val="0"/>
                <w:szCs w:val="21"/>
                <w:lang w:bidi="ar"/>
              </w:rPr>
              <w:t>7</w:t>
            </w:r>
          </w:p>
        </w:tc>
        <w:tc>
          <w:tcPr>
            <w:tcW w:w="3109" w:type="pct"/>
            <w:tcBorders>
              <w:top w:val="nil"/>
              <w:left w:val="nil"/>
              <w:bottom w:val="single" w:color="000000" w:sz="8" w:space="0"/>
              <w:right w:val="single" w:color="000000" w:sz="8" w:space="0"/>
            </w:tcBorders>
            <w:vAlign w:val="center"/>
          </w:tcPr>
          <w:p w14:paraId="4843C0EC">
            <w:pPr>
              <w:widowControl/>
              <w:jc w:val="left"/>
              <w:textAlignment w:val="center"/>
              <w:rPr>
                <w:rFonts w:hint="eastAsia" w:ascii="黑体" w:hAnsi="黑体" w:eastAsia="黑体" w:cs="楷体"/>
                <w:color w:val="000000"/>
                <w:szCs w:val="21"/>
              </w:rPr>
            </w:pPr>
            <w:r>
              <w:rPr>
                <w:rFonts w:hint="eastAsia" w:ascii="黑体" w:hAnsi="黑体" w:eastAsia="黑体" w:cs="楷体"/>
                <w:color w:val="000000"/>
                <w:kern w:val="0"/>
                <w:szCs w:val="21"/>
                <w:lang w:bidi="ar"/>
              </w:rPr>
              <w:t>复视检查</w:t>
            </w:r>
          </w:p>
        </w:tc>
      </w:tr>
      <w:tr w14:paraId="44A58145">
        <w:tblPrEx>
          <w:tblCellMar>
            <w:top w:w="0" w:type="dxa"/>
            <w:left w:w="108" w:type="dxa"/>
            <w:bottom w:w="0" w:type="dxa"/>
            <w:right w:w="108" w:type="dxa"/>
          </w:tblCellMar>
        </w:tblPrEx>
        <w:trPr>
          <w:trHeight w:val="300" w:hRule="atLeast"/>
          <w:jc w:val="center"/>
        </w:trPr>
        <w:tc>
          <w:tcPr>
            <w:tcW w:w="1890" w:type="pct"/>
            <w:tcBorders>
              <w:top w:val="nil"/>
              <w:left w:val="single" w:color="000000" w:sz="8" w:space="0"/>
              <w:bottom w:val="single" w:color="000000" w:sz="8" w:space="0"/>
              <w:right w:val="single" w:color="000000" w:sz="8" w:space="0"/>
            </w:tcBorders>
            <w:vAlign w:val="center"/>
          </w:tcPr>
          <w:p w14:paraId="5809E782">
            <w:pPr>
              <w:widowControl/>
              <w:jc w:val="center"/>
              <w:textAlignment w:val="center"/>
              <w:rPr>
                <w:rFonts w:hint="eastAsia" w:ascii="黑体" w:hAnsi="黑体" w:eastAsia="黑体" w:cs="楷体"/>
                <w:color w:val="000000"/>
                <w:szCs w:val="21"/>
              </w:rPr>
            </w:pPr>
            <w:r>
              <w:rPr>
                <w:rFonts w:hint="eastAsia" w:ascii="黑体" w:hAnsi="黑体" w:eastAsia="黑体" w:cs="楷体"/>
                <w:color w:val="000000"/>
                <w:kern w:val="0"/>
                <w:szCs w:val="21"/>
                <w:lang w:bidi="ar"/>
              </w:rPr>
              <w:t>8</w:t>
            </w:r>
          </w:p>
        </w:tc>
        <w:tc>
          <w:tcPr>
            <w:tcW w:w="3109" w:type="pct"/>
            <w:tcBorders>
              <w:top w:val="nil"/>
              <w:left w:val="nil"/>
              <w:bottom w:val="single" w:color="000000" w:sz="8" w:space="0"/>
              <w:right w:val="single" w:color="000000" w:sz="8" w:space="0"/>
            </w:tcBorders>
            <w:vAlign w:val="center"/>
          </w:tcPr>
          <w:p w14:paraId="0F035CD7">
            <w:pPr>
              <w:widowControl/>
              <w:jc w:val="left"/>
              <w:textAlignment w:val="center"/>
              <w:rPr>
                <w:rFonts w:hint="eastAsia" w:ascii="黑体" w:hAnsi="黑体" w:eastAsia="黑体" w:cs="楷体"/>
                <w:color w:val="000000"/>
                <w:szCs w:val="21"/>
              </w:rPr>
            </w:pPr>
            <w:r>
              <w:rPr>
                <w:rFonts w:hint="eastAsia" w:ascii="黑体" w:hAnsi="黑体" w:eastAsia="黑体" w:cs="楷体"/>
                <w:color w:val="000000"/>
                <w:kern w:val="0"/>
                <w:szCs w:val="21"/>
                <w:lang w:bidi="ar"/>
              </w:rPr>
              <w:t>三棱镜检查</w:t>
            </w:r>
          </w:p>
        </w:tc>
      </w:tr>
      <w:tr w14:paraId="18E9171E">
        <w:tblPrEx>
          <w:tblCellMar>
            <w:top w:w="0" w:type="dxa"/>
            <w:left w:w="108" w:type="dxa"/>
            <w:bottom w:w="0" w:type="dxa"/>
            <w:right w:w="108" w:type="dxa"/>
          </w:tblCellMar>
        </w:tblPrEx>
        <w:trPr>
          <w:trHeight w:val="300" w:hRule="atLeast"/>
          <w:jc w:val="center"/>
        </w:trPr>
        <w:tc>
          <w:tcPr>
            <w:tcW w:w="1890" w:type="pct"/>
            <w:tcBorders>
              <w:top w:val="nil"/>
              <w:left w:val="single" w:color="000000" w:sz="8" w:space="0"/>
              <w:bottom w:val="single" w:color="000000" w:sz="8" w:space="0"/>
              <w:right w:val="single" w:color="000000" w:sz="8" w:space="0"/>
            </w:tcBorders>
            <w:vAlign w:val="center"/>
          </w:tcPr>
          <w:p w14:paraId="1C5D1CD2">
            <w:pPr>
              <w:widowControl/>
              <w:jc w:val="center"/>
              <w:textAlignment w:val="center"/>
              <w:rPr>
                <w:rFonts w:hint="eastAsia" w:ascii="黑体" w:hAnsi="黑体" w:eastAsia="黑体" w:cs="楷体"/>
                <w:color w:val="000000"/>
                <w:szCs w:val="21"/>
              </w:rPr>
            </w:pPr>
            <w:r>
              <w:rPr>
                <w:rFonts w:hint="eastAsia" w:ascii="黑体" w:hAnsi="黑体" w:eastAsia="黑体" w:cs="楷体"/>
                <w:color w:val="000000"/>
                <w:kern w:val="0"/>
                <w:szCs w:val="21"/>
                <w:lang w:bidi="ar"/>
              </w:rPr>
              <w:t>9</w:t>
            </w:r>
          </w:p>
        </w:tc>
        <w:tc>
          <w:tcPr>
            <w:tcW w:w="3109" w:type="pct"/>
            <w:tcBorders>
              <w:top w:val="nil"/>
              <w:left w:val="nil"/>
              <w:bottom w:val="single" w:color="000000" w:sz="8" w:space="0"/>
              <w:right w:val="single" w:color="000000" w:sz="8" w:space="0"/>
            </w:tcBorders>
            <w:vAlign w:val="center"/>
          </w:tcPr>
          <w:p w14:paraId="3B275538">
            <w:pPr>
              <w:widowControl/>
              <w:jc w:val="left"/>
              <w:textAlignment w:val="center"/>
              <w:rPr>
                <w:rFonts w:hint="eastAsia" w:ascii="黑体" w:hAnsi="黑体" w:eastAsia="黑体" w:cs="楷体"/>
                <w:color w:val="000000"/>
                <w:szCs w:val="21"/>
              </w:rPr>
            </w:pPr>
            <w:r>
              <w:rPr>
                <w:rFonts w:hint="eastAsia" w:ascii="黑体" w:hAnsi="黑体" w:eastAsia="黑体" w:cs="楷体"/>
                <w:color w:val="000000"/>
                <w:kern w:val="0"/>
                <w:szCs w:val="21"/>
                <w:lang w:bidi="ar"/>
              </w:rPr>
              <w:t>线状镜检查</w:t>
            </w:r>
          </w:p>
        </w:tc>
      </w:tr>
      <w:tr w14:paraId="41C7F119">
        <w:tblPrEx>
          <w:tblCellMar>
            <w:top w:w="0" w:type="dxa"/>
            <w:left w:w="108" w:type="dxa"/>
            <w:bottom w:w="0" w:type="dxa"/>
            <w:right w:w="108" w:type="dxa"/>
          </w:tblCellMar>
        </w:tblPrEx>
        <w:trPr>
          <w:trHeight w:val="300" w:hRule="atLeast"/>
          <w:jc w:val="center"/>
        </w:trPr>
        <w:tc>
          <w:tcPr>
            <w:tcW w:w="1890" w:type="pct"/>
            <w:tcBorders>
              <w:top w:val="nil"/>
              <w:left w:val="single" w:color="000000" w:sz="8" w:space="0"/>
              <w:bottom w:val="single" w:color="000000" w:sz="8" w:space="0"/>
              <w:right w:val="single" w:color="000000" w:sz="8" w:space="0"/>
            </w:tcBorders>
            <w:vAlign w:val="center"/>
          </w:tcPr>
          <w:p w14:paraId="41288C66">
            <w:pPr>
              <w:widowControl/>
              <w:jc w:val="center"/>
              <w:textAlignment w:val="center"/>
              <w:rPr>
                <w:rFonts w:hint="eastAsia" w:ascii="黑体" w:hAnsi="黑体" w:eastAsia="黑体" w:cs="楷体"/>
                <w:color w:val="000000"/>
                <w:szCs w:val="21"/>
              </w:rPr>
            </w:pPr>
            <w:r>
              <w:rPr>
                <w:rFonts w:hint="eastAsia" w:ascii="黑体" w:hAnsi="黑体" w:eastAsia="黑体" w:cs="楷体"/>
                <w:color w:val="000000"/>
                <w:kern w:val="0"/>
                <w:szCs w:val="21"/>
                <w:lang w:bidi="ar"/>
              </w:rPr>
              <w:t>10</w:t>
            </w:r>
          </w:p>
        </w:tc>
        <w:tc>
          <w:tcPr>
            <w:tcW w:w="3109" w:type="pct"/>
            <w:tcBorders>
              <w:top w:val="nil"/>
              <w:left w:val="nil"/>
              <w:bottom w:val="single" w:color="000000" w:sz="8" w:space="0"/>
              <w:right w:val="single" w:color="000000" w:sz="8" w:space="0"/>
            </w:tcBorders>
            <w:vAlign w:val="center"/>
          </w:tcPr>
          <w:p w14:paraId="4B9F0F3A">
            <w:pPr>
              <w:widowControl/>
              <w:jc w:val="left"/>
              <w:textAlignment w:val="center"/>
              <w:rPr>
                <w:rFonts w:hint="eastAsia" w:ascii="黑体" w:hAnsi="黑体" w:eastAsia="黑体" w:cs="楷体"/>
                <w:color w:val="000000"/>
                <w:szCs w:val="21"/>
              </w:rPr>
            </w:pPr>
            <w:r>
              <w:rPr>
                <w:rFonts w:hint="eastAsia" w:ascii="黑体" w:hAnsi="黑体" w:eastAsia="黑体" w:cs="楷体"/>
                <w:color w:val="000000"/>
                <w:kern w:val="0"/>
                <w:szCs w:val="21"/>
                <w:lang w:bidi="ar"/>
              </w:rPr>
              <w:t>调节/集合测定</w:t>
            </w:r>
          </w:p>
        </w:tc>
      </w:tr>
      <w:tr w14:paraId="160BD4E3">
        <w:tblPrEx>
          <w:tblCellMar>
            <w:top w:w="0" w:type="dxa"/>
            <w:left w:w="108" w:type="dxa"/>
            <w:bottom w:w="0" w:type="dxa"/>
            <w:right w:w="108" w:type="dxa"/>
          </w:tblCellMar>
        </w:tblPrEx>
        <w:trPr>
          <w:trHeight w:val="300" w:hRule="atLeast"/>
          <w:jc w:val="center"/>
        </w:trPr>
        <w:tc>
          <w:tcPr>
            <w:tcW w:w="1890" w:type="pct"/>
            <w:tcBorders>
              <w:top w:val="nil"/>
              <w:left w:val="single" w:color="000000" w:sz="8" w:space="0"/>
              <w:bottom w:val="single" w:color="000000" w:sz="8" w:space="0"/>
              <w:right w:val="single" w:color="000000" w:sz="8" w:space="0"/>
            </w:tcBorders>
            <w:vAlign w:val="center"/>
          </w:tcPr>
          <w:p w14:paraId="2E79149D">
            <w:pPr>
              <w:widowControl/>
              <w:jc w:val="center"/>
              <w:textAlignment w:val="center"/>
              <w:rPr>
                <w:rFonts w:hint="eastAsia" w:ascii="黑体" w:hAnsi="黑体" w:eastAsia="黑体" w:cs="楷体"/>
                <w:color w:val="000000"/>
                <w:szCs w:val="21"/>
              </w:rPr>
            </w:pPr>
            <w:r>
              <w:rPr>
                <w:rFonts w:hint="eastAsia" w:ascii="黑体" w:hAnsi="黑体" w:eastAsia="黑体" w:cs="楷体"/>
                <w:color w:val="000000"/>
                <w:kern w:val="0"/>
                <w:szCs w:val="21"/>
                <w:lang w:bidi="ar"/>
              </w:rPr>
              <w:t>11</w:t>
            </w:r>
          </w:p>
        </w:tc>
        <w:tc>
          <w:tcPr>
            <w:tcW w:w="3109" w:type="pct"/>
            <w:tcBorders>
              <w:top w:val="nil"/>
              <w:left w:val="nil"/>
              <w:bottom w:val="single" w:color="000000" w:sz="8" w:space="0"/>
              <w:right w:val="single" w:color="000000" w:sz="8" w:space="0"/>
            </w:tcBorders>
            <w:vAlign w:val="center"/>
          </w:tcPr>
          <w:p w14:paraId="76189E47">
            <w:pPr>
              <w:widowControl/>
              <w:jc w:val="left"/>
              <w:textAlignment w:val="center"/>
              <w:rPr>
                <w:rFonts w:hint="eastAsia" w:ascii="黑体" w:hAnsi="黑体" w:eastAsia="黑体" w:cs="楷体"/>
                <w:color w:val="000000"/>
                <w:szCs w:val="21"/>
              </w:rPr>
            </w:pPr>
            <w:r>
              <w:rPr>
                <w:rFonts w:hint="eastAsia" w:ascii="黑体" w:hAnsi="黑体" w:eastAsia="黑体" w:cs="楷体"/>
                <w:color w:val="000000"/>
                <w:kern w:val="0"/>
                <w:szCs w:val="21"/>
                <w:lang w:bidi="ar"/>
              </w:rPr>
              <w:t>牵拉试验</w:t>
            </w:r>
          </w:p>
        </w:tc>
      </w:tr>
      <w:tr w14:paraId="6D52BDC4">
        <w:tblPrEx>
          <w:tblCellMar>
            <w:top w:w="0" w:type="dxa"/>
            <w:left w:w="108" w:type="dxa"/>
            <w:bottom w:w="0" w:type="dxa"/>
            <w:right w:w="108" w:type="dxa"/>
          </w:tblCellMar>
        </w:tblPrEx>
        <w:trPr>
          <w:trHeight w:val="300" w:hRule="atLeast"/>
          <w:jc w:val="center"/>
        </w:trPr>
        <w:tc>
          <w:tcPr>
            <w:tcW w:w="1890" w:type="pct"/>
            <w:tcBorders>
              <w:top w:val="nil"/>
              <w:left w:val="single" w:color="000000" w:sz="8" w:space="0"/>
              <w:bottom w:val="single" w:color="000000" w:sz="8" w:space="0"/>
              <w:right w:val="single" w:color="000000" w:sz="8" w:space="0"/>
            </w:tcBorders>
            <w:vAlign w:val="center"/>
          </w:tcPr>
          <w:p w14:paraId="5EF2B904">
            <w:pPr>
              <w:widowControl/>
              <w:jc w:val="center"/>
              <w:textAlignment w:val="center"/>
              <w:rPr>
                <w:rFonts w:hint="eastAsia" w:ascii="黑体" w:hAnsi="黑体" w:eastAsia="黑体" w:cs="楷体"/>
                <w:color w:val="000000"/>
                <w:szCs w:val="21"/>
              </w:rPr>
            </w:pPr>
            <w:r>
              <w:rPr>
                <w:rFonts w:hint="eastAsia" w:ascii="黑体" w:hAnsi="黑体" w:eastAsia="黑体" w:cs="楷体"/>
                <w:color w:val="000000"/>
                <w:kern w:val="0"/>
                <w:szCs w:val="21"/>
                <w:lang w:bidi="ar"/>
              </w:rPr>
              <w:t>12</w:t>
            </w:r>
          </w:p>
        </w:tc>
        <w:tc>
          <w:tcPr>
            <w:tcW w:w="3109" w:type="pct"/>
            <w:tcBorders>
              <w:top w:val="nil"/>
              <w:left w:val="nil"/>
              <w:bottom w:val="single" w:color="000000" w:sz="8" w:space="0"/>
              <w:right w:val="single" w:color="000000" w:sz="8" w:space="0"/>
            </w:tcBorders>
            <w:vAlign w:val="center"/>
          </w:tcPr>
          <w:p w14:paraId="20B0C345">
            <w:pPr>
              <w:widowControl/>
              <w:jc w:val="left"/>
              <w:textAlignment w:val="center"/>
              <w:rPr>
                <w:rFonts w:hint="eastAsia" w:ascii="黑体" w:hAnsi="黑体" w:eastAsia="黑体" w:cs="楷体"/>
                <w:color w:val="000000"/>
                <w:szCs w:val="21"/>
              </w:rPr>
            </w:pPr>
            <w:r>
              <w:rPr>
                <w:rFonts w:hint="eastAsia" w:ascii="黑体" w:hAnsi="黑体" w:eastAsia="黑体" w:cs="楷体"/>
                <w:color w:val="000000"/>
                <w:kern w:val="0"/>
                <w:szCs w:val="21"/>
                <w:lang w:bidi="ar"/>
              </w:rPr>
              <w:t>双眼视觉检查</w:t>
            </w:r>
          </w:p>
        </w:tc>
      </w:tr>
      <w:tr w14:paraId="2BD65B8C">
        <w:tblPrEx>
          <w:tblCellMar>
            <w:top w:w="0" w:type="dxa"/>
            <w:left w:w="108" w:type="dxa"/>
            <w:bottom w:w="0" w:type="dxa"/>
            <w:right w:w="108" w:type="dxa"/>
          </w:tblCellMar>
        </w:tblPrEx>
        <w:trPr>
          <w:trHeight w:val="300" w:hRule="atLeast"/>
          <w:jc w:val="center"/>
        </w:trPr>
        <w:tc>
          <w:tcPr>
            <w:tcW w:w="1890" w:type="pct"/>
            <w:tcBorders>
              <w:top w:val="nil"/>
              <w:left w:val="single" w:color="000000" w:sz="8" w:space="0"/>
              <w:bottom w:val="single" w:color="000000" w:sz="8" w:space="0"/>
              <w:right w:val="single" w:color="000000" w:sz="8" w:space="0"/>
            </w:tcBorders>
            <w:vAlign w:val="center"/>
          </w:tcPr>
          <w:p w14:paraId="1A46ECC2">
            <w:pPr>
              <w:widowControl/>
              <w:jc w:val="center"/>
              <w:textAlignment w:val="center"/>
              <w:rPr>
                <w:rFonts w:hint="eastAsia" w:ascii="黑体" w:hAnsi="黑体" w:eastAsia="黑体" w:cs="楷体"/>
                <w:color w:val="000000"/>
                <w:szCs w:val="21"/>
              </w:rPr>
            </w:pPr>
            <w:r>
              <w:rPr>
                <w:rFonts w:hint="eastAsia" w:ascii="黑体" w:hAnsi="黑体" w:eastAsia="黑体" w:cs="楷体"/>
                <w:color w:val="000000"/>
                <w:kern w:val="0"/>
                <w:szCs w:val="21"/>
                <w:lang w:bidi="ar"/>
              </w:rPr>
              <w:t>13</w:t>
            </w:r>
          </w:p>
        </w:tc>
        <w:tc>
          <w:tcPr>
            <w:tcW w:w="3109" w:type="pct"/>
            <w:tcBorders>
              <w:top w:val="nil"/>
              <w:left w:val="nil"/>
              <w:bottom w:val="single" w:color="000000" w:sz="8" w:space="0"/>
              <w:right w:val="single" w:color="000000" w:sz="8" w:space="0"/>
            </w:tcBorders>
            <w:vAlign w:val="center"/>
          </w:tcPr>
          <w:p w14:paraId="2DF59F53">
            <w:pPr>
              <w:widowControl/>
              <w:jc w:val="left"/>
              <w:textAlignment w:val="center"/>
              <w:rPr>
                <w:rFonts w:hint="eastAsia" w:ascii="黑体" w:hAnsi="黑体" w:eastAsia="黑体" w:cs="楷体"/>
                <w:color w:val="000000"/>
                <w:szCs w:val="21"/>
              </w:rPr>
            </w:pPr>
            <w:r>
              <w:rPr>
                <w:rFonts w:hint="eastAsia" w:ascii="黑体" w:hAnsi="黑体" w:eastAsia="黑体" w:cs="楷体"/>
                <w:color w:val="000000"/>
                <w:kern w:val="0"/>
                <w:szCs w:val="21"/>
                <w:lang w:bidi="ar"/>
              </w:rPr>
              <w:t>色觉检查</w:t>
            </w:r>
          </w:p>
        </w:tc>
      </w:tr>
      <w:tr w14:paraId="5C307E53">
        <w:tblPrEx>
          <w:tblCellMar>
            <w:top w:w="0" w:type="dxa"/>
            <w:left w:w="108" w:type="dxa"/>
            <w:bottom w:w="0" w:type="dxa"/>
            <w:right w:w="108" w:type="dxa"/>
          </w:tblCellMar>
        </w:tblPrEx>
        <w:trPr>
          <w:trHeight w:val="300" w:hRule="atLeast"/>
          <w:jc w:val="center"/>
        </w:trPr>
        <w:tc>
          <w:tcPr>
            <w:tcW w:w="1890" w:type="pct"/>
            <w:tcBorders>
              <w:top w:val="nil"/>
              <w:left w:val="single" w:color="000000" w:sz="8" w:space="0"/>
              <w:bottom w:val="single" w:color="000000" w:sz="8" w:space="0"/>
              <w:right w:val="single" w:color="000000" w:sz="8" w:space="0"/>
            </w:tcBorders>
            <w:vAlign w:val="center"/>
          </w:tcPr>
          <w:p w14:paraId="5982E738">
            <w:pPr>
              <w:widowControl/>
              <w:jc w:val="center"/>
              <w:textAlignment w:val="center"/>
              <w:rPr>
                <w:rFonts w:hint="eastAsia" w:ascii="黑体" w:hAnsi="黑体" w:eastAsia="黑体" w:cs="楷体"/>
                <w:color w:val="000000"/>
                <w:szCs w:val="21"/>
              </w:rPr>
            </w:pPr>
            <w:r>
              <w:rPr>
                <w:rFonts w:hint="eastAsia" w:ascii="黑体" w:hAnsi="黑体" w:eastAsia="黑体" w:cs="楷体"/>
                <w:color w:val="000000"/>
                <w:kern w:val="0"/>
                <w:szCs w:val="21"/>
                <w:lang w:bidi="ar"/>
              </w:rPr>
              <w:t>14</w:t>
            </w:r>
          </w:p>
        </w:tc>
        <w:tc>
          <w:tcPr>
            <w:tcW w:w="3109" w:type="pct"/>
            <w:tcBorders>
              <w:top w:val="nil"/>
              <w:left w:val="nil"/>
              <w:bottom w:val="single" w:color="000000" w:sz="8" w:space="0"/>
              <w:right w:val="single" w:color="000000" w:sz="8" w:space="0"/>
            </w:tcBorders>
            <w:vAlign w:val="center"/>
          </w:tcPr>
          <w:p w14:paraId="0DED35A0">
            <w:pPr>
              <w:widowControl/>
              <w:jc w:val="left"/>
              <w:textAlignment w:val="center"/>
              <w:rPr>
                <w:rFonts w:hint="eastAsia" w:ascii="黑体" w:hAnsi="黑体" w:eastAsia="黑体" w:cs="楷体"/>
                <w:color w:val="000000"/>
                <w:szCs w:val="21"/>
              </w:rPr>
            </w:pPr>
            <w:r>
              <w:rPr>
                <w:rFonts w:hint="eastAsia" w:ascii="黑体" w:hAnsi="黑体" w:eastAsia="黑体" w:cs="楷体"/>
                <w:color w:val="000000"/>
                <w:kern w:val="0"/>
                <w:szCs w:val="21"/>
                <w:lang w:bidi="ar"/>
              </w:rPr>
              <w:t>对比敏感度检查</w:t>
            </w:r>
          </w:p>
        </w:tc>
      </w:tr>
      <w:tr w14:paraId="7BD6BF68">
        <w:tblPrEx>
          <w:tblCellMar>
            <w:top w:w="0" w:type="dxa"/>
            <w:left w:w="108" w:type="dxa"/>
            <w:bottom w:w="0" w:type="dxa"/>
            <w:right w:w="108" w:type="dxa"/>
          </w:tblCellMar>
        </w:tblPrEx>
        <w:trPr>
          <w:trHeight w:val="300" w:hRule="atLeast"/>
          <w:jc w:val="center"/>
        </w:trPr>
        <w:tc>
          <w:tcPr>
            <w:tcW w:w="1890" w:type="pct"/>
            <w:tcBorders>
              <w:top w:val="nil"/>
              <w:left w:val="single" w:color="000000" w:sz="8" w:space="0"/>
              <w:bottom w:val="single" w:color="000000" w:sz="8" w:space="0"/>
              <w:right w:val="single" w:color="000000" w:sz="8" w:space="0"/>
            </w:tcBorders>
            <w:vAlign w:val="center"/>
          </w:tcPr>
          <w:p w14:paraId="4B6B12FD">
            <w:pPr>
              <w:widowControl/>
              <w:jc w:val="center"/>
              <w:textAlignment w:val="center"/>
              <w:rPr>
                <w:rFonts w:hint="eastAsia" w:ascii="黑体" w:hAnsi="黑体" w:eastAsia="黑体" w:cs="楷体"/>
                <w:color w:val="000000"/>
                <w:szCs w:val="21"/>
              </w:rPr>
            </w:pPr>
            <w:r>
              <w:rPr>
                <w:rFonts w:hint="eastAsia" w:ascii="黑体" w:hAnsi="黑体" w:eastAsia="黑体" w:cs="楷体"/>
                <w:color w:val="000000"/>
                <w:kern w:val="0"/>
                <w:szCs w:val="21"/>
                <w:lang w:bidi="ar"/>
              </w:rPr>
              <w:t>15</w:t>
            </w:r>
          </w:p>
        </w:tc>
        <w:tc>
          <w:tcPr>
            <w:tcW w:w="3109" w:type="pct"/>
            <w:tcBorders>
              <w:top w:val="nil"/>
              <w:left w:val="nil"/>
              <w:bottom w:val="single" w:color="000000" w:sz="8" w:space="0"/>
              <w:right w:val="single" w:color="000000" w:sz="8" w:space="0"/>
            </w:tcBorders>
            <w:vAlign w:val="center"/>
          </w:tcPr>
          <w:p w14:paraId="65C44FC5">
            <w:pPr>
              <w:widowControl/>
              <w:jc w:val="left"/>
              <w:textAlignment w:val="center"/>
              <w:rPr>
                <w:rFonts w:hint="eastAsia" w:ascii="黑体" w:hAnsi="黑体" w:eastAsia="黑体" w:cs="楷体"/>
                <w:color w:val="000000"/>
                <w:szCs w:val="21"/>
              </w:rPr>
            </w:pPr>
            <w:r>
              <w:rPr>
                <w:rFonts w:hint="eastAsia" w:ascii="黑体" w:hAnsi="黑体" w:eastAsia="黑体" w:cs="楷体"/>
                <w:color w:val="000000"/>
                <w:kern w:val="0"/>
                <w:szCs w:val="21"/>
                <w:lang w:bidi="ar"/>
              </w:rPr>
              <w:t>正切尺检查</w:t>
            </w:r>
          </w:p>
        </w:tc>
      </w:tr>
      <w:tr w14:paraId="74926336">
        <w:tblPrEx>
          <w:tblCellMar>
            <w:top w:w="0" w:type="dxa"/>
            <w:left w:w="108" w:type="dxa"/>
            <w:bottom w:w="0" w:type="dxa"/>
            <w:right w:w="108" w:type="dxa"/>
          </w:tblCellMar>
        </w:tblPrEx>
        <w:trPr>
          <w:trHeight w:val="300" w:hRule="atLeast"/>
          <w:jc w:val="center"/>
        </w:trPr>
        <w:tc>
          <w:tcPr>
            <w:tcW w:w="1890" w:type="pct"/>
            <w:tcBorders>
              <w:top w:val="nil"/>
              <w:left w:val="single" w:color="000000" w:sz="8" w:space="0"/>
              <w:bottom w:val="single" w:color="000000" w:sz="8" w:space="0"/>
              <w:right w:val="single" w:color="000000" w:sz="8" w:space="0"/>
            </w:tcBorders>
            <w:vAlign w:val="center"/>
          </w:tcPr>
          <w:p w14:paraId="7879FE3A">
            <w:pPr>
              <w:widowControl/>
              <w:jc w:val="center"/>
              <w:textAlignment w:val="center"/>
              <w:rPr>
                <w:rFonts w:hint="eastAsia" w:ascii="黑体" w:hAnsi="黑体" w:eastAsia="黑体" w:cs="楷体"/>
                <w:color w:val="000000"/>
                <w:szCs w:val="21"/>
              </w:rPr>
            </w:pPr>
            <w:r>
              <w:rPr>
                <w:rFonts w:hint="eastAsia" w:ascii="黑体" w:hAnsi="黑体" w:eastAsia="黑体" w:cs="楷体"/>
                <w:color w:val="000000"/>
                <w:szCs w:val="21"/>
              </w:rPr>
              <w:t>16</w:t>
            </w:r>
          </w:p>
        </w:tc>
        <w:tc>
          <w:tcPr>
            <w:tcW w:w="3109" w:type="pct"/>
            <w:tcBorders>
              <w:top w:val="nil"/>
              <w:left w:val="nil"/>
              <w:bottom w:val="single" w:color="000000" w:sz="8" w:space="0"/>
              <w:right w:val="single" w:color="000000" w:sz="8" w:space="0"/>
            </w:tcBorders>
            <w:vAlign w:val="center"/>
          </w:tcPr>
          <w:p w14:paraId="7B1AE43D">
            <w:pPr>
              <w:widowControl/>
              <w:jc w:val="left"/>
              <w:textAlignment w:val="center"/>
              <w:rPr>
                <w:rFonts w:hint="eastAsia" w:ascii="黑体" w:hAnsi="黑体" w:eastAsia="黑体" w:cs="楷体"/>
                <w:color w:val="000000"/>
                <w:szCs w:val="21"/>
              </w:rPr>
            </w:pPr>
            <w:r>
              <w:rPr>
                <w:rFonts w:hint="eastAsia" w:ascii="黑体" w:hAnsi="黑体" w:eastAsia="黑体" w:cs="楷体"/>
                <w:color w:val="000000"/>
                <w:kern w:val="0"/>
                <w:szCs w:val="21"/>
                <w:lang w:bidi="ar"/>
              </w:rPr>
              <w:t>注视性质检查</w:t>
            </w:r>
          </w:p>
        </w:tc>
      </w:tr>
      <w:tr w14:paraId="33823A01">
        <w:tblPrEx>
          <w:tblCellMar>
            <w:top w:w="0" w:type="dxa"/>
            <w:left w:w="108" w:type="dxa"/>
            <w:bottom w:w="0" w:type="dxa"/>
            <w:right w:w="108" w:type="dxa"/>
          </w:tblCellMar>
        </w:tblPrEx>
        <w:trPr>
          <w:trHeight w:val="300" w:hRule="atLeast"/>
          <w:jc w:val="center"/>
        </w:trPr>
        <w:tc>
          <w:tcPr>
            <w:tcW w:w="1890" w:type="pct"/>
            <w:tcBorders>
              <w:top w:val="nil"/>
              <w:left w:val="single" w:color="000000" w:sz="8" w:space="0"/>
              <w:bottom w:val="single" w:color="000000" w:sz="8" w:space="0"/>
              <w:right w:val="single" w:color="000000" w:sz="8" w:space="0"/>
            </w:tcBorders>
            <w:vAlign w:val="center"/>
          </w:tcPr>
          <w:p w14:paraId="2EF50E26">
            <w:pPr>
              <w:widowControl/>
              <w:jc w:val="center"/>
              <w:textAlignment w:val="center"/>
              <w:rPr>
                <w:rFonts w:hint="eastAsia" w:ascii="黑体" w:hAnsi="黑体" w:eastAsia="黑体" w:cs="楷体"/>
                <w:color w:val="000000"/>
                <w:szCs w:val="21"/>
              </w:rPr>
            </w:pPr>
            <w:r>
              <w:rPr>
                <w:rFonts w:hint="eastAsia" w:ascii="黑体" w:hAnsi="黑体" w:eastAsia="黑体" w:cs="楷体"/>
                <w:color w:val="000000"/>
                <w:kern w:val="0"/>
                <w:szCs w:val="21"/>
                <w:lang w:bidi="ar"/>
              </w:rPr>
              <w:t>17</w:t>
            </w:r>
          </w:p>
        </w:tc>
        <w:tc>
          <w:tcPr>
            <w:tcW w:w="3109" w:type="pct"/>
            <w:tcBorders>
              <w:top w:val="nil"/>
              <w:left w:val="nil"/>
              <w:bottom w:val="single" w:color="000000" w:sz="8" w:space="0"/>
              <w:right w:val="single" w:color="000000" w:sz="8" w:space="0"/>
            </w:tcBorders>
            <w:vAlign w:val="center"/>
          </w:tcPr>
          <w:p w14:paraId="0A2C8147">
            <w:pPr>
              <w:widowControl/>
              <w:jc w:val="left"/>
              <w:textAlignment w:val="center"/>
              <w:rPr>
                <w:rFonts w:hint="eastAsia" w:ascii="黑体" w:hAnsi="黑体" w:eastAsia="黑体" w:cs="楷体"/>
                <w:color w:val="000000"/>
                <w:szCs w:val="21"/>
              </w:rPr>
            </w:pPr>
            <w:r>
              <w:rPr>
                <w:rFonts w:hint="eastAsia" w:ascii="黑体" w:hAnsi="黑体" w:eastAsia="黑体" w:cs="楷体"/>
                <w:color w:val="000000"/>
                <w:kern w:val="0"/>
                <w:szCs w:val="21"/>
                <w:lang w:bidi="ar"/>
              </w:rPr>
              <w:t>眼压检查</w:t>
            </w:r>
          </w:p>
        </w:tc>
      </w:tr>
      <w:tr w14:paraId="12C107C1">
        <w:tblPrEx>
          <w:tblCellMar>
            <w:top w:w="0" w:type="dxa"/>
            <w:left w:w="108" w:type="dxa"/>
            <w:bottom w:w="0" w:type="dxa"/>
            <w:right w:w="108" w:type="dxa"/>
          </w:tblCellMar>
        </w:tblPrEx>
        <w:trPr>
          <w:trHeight w:val="300" w:hRule="atLeast"/>
          <w:jc w:val="center"/>
        </w:trPr>
        <w:tc>
          <w:tcPr>
            <w:tcW w:w="1890" w:type="pct"/>
            <w:tcBorders>
              <w:top w:val="nil"/>
              <w:left w:val="single" w:color="000000" w:sz="8" w:space="0"/>
              <w:bottom w:val="single" w:color="000000" w:sz="8" w:space="0"/>
              <w:right w:val="single" w:color="000000" w:sz="8" w:space="0"/>
            </w:tcBorders>
            <w:vAlign w:val="center"/>
          </w:tcPr>
          <w:p w14:paraId="048A610F">
            <w:pPr>
              <w:widowControl/>
              <w:jc w:val="center"/>
              <w:textAlignment w:val="center"/>
              <w:rPr>
                <w:rFonts w:hint="eastAsia" w:ascii="黑体" w:hAnsi="黑体" w:eastAsia="黑体" w:cs="楷体"/>
                <w:color w:val="000000"/>
                <w:szCs w:val="21"/>
              </w:rPr>
            </w:pPr>
            <w:r>
              <w:rPr>
                <w:rFonts w:hint="eastAsia" w:ascii="黑体" w:hAnsi="黑体" w:eastAsia="黑体" w:cs="楷体"/>
                <w:color w:val="000000"/>
                <w:kern w:val="0"/>
                <w:szCs w:val="21"/>
                <w:lang w:bidi="ar"/>
              </w:rPr>
              <w:t>18</w:t>
            </w:r>
          </w:p>
        </w:tc>
        <w:tc>
          <w:tcPr>
            <w:tcW w:w="3109" w:type="pct"/>
            <w:tcBorders>
              <w:top w:val="nil"/>
              <w:left w:val="nil"/>
              <w:bottom w:val="single" w:color="000000" w:sz="8" w:space="0"/>
              <w:right w:val="single" w:color="000000" w:sz="8" w:space="0"/>
            </w:tcBorders>
            <w:vAlign w:val="center"/>
          </w:tcPr>
          <w:p w14:paraId="4BBA3B9D">
            <w:pPr>
              <w:widowControl/>
              <w:jc w:val="left"/>
              <w:textAlignment w:val="center"/>
              <w:rPr>
                <w:rFonts w:hint="eastAsia" w:ascii="黑体" w:hAnsi="黑体" w:eastAsia="黑体" w:cs="楷体"/>
                <w:color w:val="000000"/>
                <w:szCs w:val="21"/>
              </w:rPr>
            </w:pPr>
            <w:r>
              <w:rPr>
                <w:rFonts w:hint="eastAsia" w:ascii="黑体" w:hAnsi="黑体" w:eastAsia="黑体" w:cs="楷体"/>
                <w:color w:val="000000"/>
                <w:kern w:val="0"/>
                <w:szCs w:val="21"/>
                <w:lang w:bidi="ar"/>
              </w:rPr>
              <w:t>角膜曲率测量</w:t>
            </w:r>
          </w:p>
        </w:tc>
      </w:tr>
      <w:tr w14:paraId="6A812700">
        <w:tblPrEx>
          <w:tblCellMar>
            <w:top w:w="0" w:type="dxa"/>
            <w:left w:w="108" w:type="dxa"/>
            <w:bottom w:w="0" w:type="dxa"/>
            <w:right w:w="108" w:type="dxa"/>
          </w:tblCellMar>
        </w:tblPrEx>
        <w:trPr>
          <w:trHeight w:val="300" w:hRule="atLeast"/>
          <w:jc w:val="center"/>
        </w:trPr>
        <w:tc>
          <w:tcPr>
            <w:tcW w:w="1890" w:type="pct"/>
            <w:tcBorders>
              <w:top w:val="nil"/>
              <w:left w:val="single" w:color="000000" w:sz="8" w:space="0"/>
              <w:bottom w:val="single" w:color="000000" w:sz="8" w:space="0"/>
              <w:right w:val="single" w:color="000000" w:sz="8" w:space="0"/>
            </w:tcBorders>
            <w:vAlign w:val="center"/>
          </w:tcPr>
          <w:p w14:paraId="125324D3">
            <w:pPr>
              <w:widowControl/>
              <w:jc w:val="center"/>
              <w:textAlignment w:val="center"/>
              <w:rPr>
                <w:rFonts w:hint="eastAsia" w:ascii="黑体" w:hAnsi="黑体" w:eastAsia="黑体" w:cs="楷体"/>
                <w:color w:val="000000"/>
                <w:szCs w:val="21"/>
              </w:rPr>
            </w:pPr>
            <w:r>
              <w:rPr>
                <w:rFonts w:hint="eastAsia" w:ascii="黑体" w:hAnsi="黑体" w:eastAsia="黑体" w:cs="楷体"/>
                <w:color w:val="000000"/>
                <w:kern w:val="0"/>
                <w:szCs w:val="21"/>
                <w:lang w:bidi="ar"/>
              </w:rPr>
              <w:t>19</w:t>
            </w:r>
          </w:p>
        </w:tc>
        <w:tc>
          <w:tcPr>
            <w:tcW w:w="3109" w:type="pct"/>
            <w:tcBorders>
              <w:top w:val="nil"/>
              <w:left w:val="nil"/>
              <w:bottom w:val="single" w:color="000000" w:sz="8" w:space="0"/>
              <w:right w:val="single" w:color="000000" w:sz="8" w:space="0"/>
            </w:tcBorders>
            <w:vAlign w:val="center"/>
          </w:tcPr>
          <w:p w14:paraId="1AB85E7D">
            <w:pPr>
              <w:widowControl/>
              <w:jc w:val="left"/>
              <w:textAlignment w:val="center"/>
              <w:rPr>
                <w:rFonts w:hint="eastAsia" w:ascii="黑体" w:hAnsi="黑体" w:eastAsia="黑体" w:cs="楷体"/>
                <w:color w:val="000000"/>
                <w:szCs w:val="21"/>
              </w:rPr>
            </w:pPr>
            <w:r>
              <w:rPr>
                <w:rFonts w:hint="eastAsia" w:ascii="黑体" w:hAnsi="黑体" w:eastAsia="黑体" w:cs="楷体"/>
                <w:color w:val="000000"/>
                <w:kern w:val="0"/>
                <w:szCs w:val="21"/>
                <w:lang w:bidi="ar"/>
              </w:rPr>
              <w:t>角膜地形图检查</w:t>
            </w:r>
          </w:p>
        </w:tc>
      </w:tr>
      <w:tr w14:paraId="2007685D">
        <w:tblPrEx>
          <w:tblCellMar>
            <w:top w:w="0" w:type="dxa"/>
            <w:left w:w="108" w:type="dxa"/>
            <w:bottom w:w="0" w:type="dxa"/>
            <w:right w:w="108" w:type="dxa"/>
          </w:tblCellMar>
        </w:tblPrEx>
        <w:trPr>
          <w:trHeight w:val="300" w:hRule="atLeast"/>
          <w:jc w:val="center"/>
        </w:trPr>
        <w:tc>
          <w:tcPr>
            <w:tcW w:w="1890" w:type="pct"/>
            <w:tcBorders>
              <w:top w:val="nil"/>
              <w:left w:val="single" w:color="000000" w:sz="8" w:space="0"/>
              <w:bottom w:val="single" w:color="000000" w:sz="8" w:space="0"/>
              <w:right w:val="single" w:color="000000" w:sz="8" w:space="0"/>
            </w:tcBorders>
            <w:vAlign w:val="center"/>
          </w:tcPr>
          <w:p w14:paraId="733E5DDF">
            <w:pPr>
              <w:widowControl/>
              <w:jc w:val="center"/>
              <w:textAlignment w:val="center"/>
              <w:rPr>
                <w:rFonts w:hint="eastAsia" w:ascii="黑体" w:hAnsi="黑体" w:eastAsia="黑体" w:cs="楷体"/>
                <w:color w:val="000000"/>
                <w:szCs w:val="21"/>
              </w:rPr>
            </w:pPr>
            <w:r>
              <w:rPr>
                <w:rFonts w:hint="eastAsia" w:ascii="黑体" w:hAnsi="黑体" w:eastAsia="黑体" w:cs="楷体"/>
                <w:color w:val="000000"/>
                <w:kern w:val="0"/>
                <w:szCs w:val="21"/>
                <w:lang w:bidi="ar"/>
              </w:rPr>
              <w:t>20</w:t>
            </w:r>
          </w:p>
        </w:tc>
        <w:tc>
          <w:tcPr>
            <w:tcW w:w="3109" w:type="pct"/>
            <w:tcBorders>
              <w:top w:val="nil"/>
              <w:left w:val="nil"/>
              <w:bottom w:val="single" w:color="000000" w:sz="8" w:space="0"/>
              <w:right w:val="single" w:color="000000" w:sz="8" w:space="0"/>
            </w:tcBorders>
            <w:vAlign w:val="center"/>
          </w:tcPr>
          <w:p w14:paraId="3AA427ED">
            <w:pPr>
              <w:widowControl/>
              <w:jc w:val="left"/>
              <w:textAlignment w:val="center"/>
              <w:rPr>
                <w:rFonts w:hint="eastAsia" w:ascii="黑体" w:hAnsi="黑体" w:eastAsia="黑体" w:cs="楷体"/>
                <w:color w:val="000000"/>
                <w:szCs w:val="21"/>
              </w:rPr>
            </w:pPr>
            <w:r>
              <w:rPr>
                <w:rFonts w:hint="eastAsia" w:ascii="黑体" w:hAnsi="黑体" w:eastAsia="黑体" w:cs="楷体"/>
                <w:color w:val="000000"/>
                <w:kern w:val="0"/>
                <w:szCs w:val="21"/>
                <w:lang w:bidi="ar"/>
              </w:rPr>
              <w:t>马氏（Maddox）杆试验</w:t>
            </w:r>
          </w:p>
        </w:tc>
      </w:tr>
      <w:tr w14:paraId="1B407205">
        <w:tblPrEx>
          <w:tblCellMar>
            <w:top w:w="0" w:type="dxa"/>
            <w:left w:w="108" w:type="dxa"/>
            <w:bottom w:w="0" w:type="dxa"/>
            <w:right w:w="108" w:type="dxa"/>
          </w:tblCellMar>
        </w:tblPrEx>
        <w:trPr>
          <w:trHeight w:val="300" w:hRule="atLeast"/>
          <w:jc w:val="center"/>
        </w:trPr>
        <w:tc>
          <w:tcPr>
            <w:tcW w:w="1890" w:type="pct"/>
            <w:tcBorders>
              <w:top w:val="nil"/>
              <w:left w:val="single" w:color="000000" w:sz="8" w:space="0"/>
              <w:bottom w:val="single" w:color="000000" w:sz="8" w:space="0"/>
              <w:right w:val="single" w:color="000000" w:sz="8" w:space="0"/>
            </w:tcBorders>
            <w:vAlign w:val="center"/>
          </w:tcPr>
          <w:p w14:paraId="573B8A81">
            <w:pPr>
              <w:widowControl/>
              <w:jc w:val="center"/>
              <w:textAlignment w:val="center"/>
              <w:rPr>
                <w:rFonts w:hint="eastAsia" w:ascii="黑体" w:hAnsi="黑体" w:eastAsia="黑体" w:cs="楷体"/>
                <w:color w:val="000000"/>
                <w:szCs w:val="21"/>
              </w:rPr>
            </w:pPr>
            <w:r>
              <w:rPr>
                <w:rFonts w:hint="eastAsia" w:ascii="黑体" w:hAnsi="黑体" w:eastAsia="黑体" w:cs="楷体"/>
                <w:color w:val="000000"/>
                <w:kern w:val="0"/>
                <w:szCs w:val="21"/>
                <w:lang w:bidi="ar"/>
              </w:rPr>
              <w:t>21</w:t>
            </w:r>
          </w:p>
        </w:tc>
        <w:tc>
          <w:tcPr>
            <w:tcW w:w="3109" w:type="pct"/>
            <w:tcBorders>
              <w:top w:val="nil"/>
              <w:left w:val="nil"/>
              <w:bottom w:val="single" w:color="000000" w:sz="8" w:space="0"/>
              <w:right w:val="single" w:color="000000" w:sz="8" w:space="0"/>
            </w:tcBorders>
            <w:vAlign w:val="center"/>
          </w:tcPr>
          <w:p w14:paraId="223D6516">
            <w:pPr>
              <w:widowControl/>
              <w:jc w:val="left"/>
              <w:textAlignment w:val="center"/>
              <w:rPr>
                <w:rFonts w:hint="eastAsia" w:ascii="黑体" w:hAnsi="黑体" w:eastAsia="黑体" w:cs="楷体"/>
                <w:color w:val="000000"/>
                <w:szCs w:val="21"/>
              </w:rPr>
            </w:pPr>
            <w:r>
              <w:rPr>
                <w:rFonts w:hint="eastAsia" w:ascii="黑体" w:hAnsi="黑体" w:eastAsia="黑体" w:cs="楷体"/>
                <w:color w:val="000000"/>
                <w:kern w:val="0"/>
                <w:szCs w:val="21"/>
                <w:lang w:bidi="ar"/>
              </w:rPr>
              <w:t>协调器治疗</w:t>
            </w:r>
          </w:p>
        </w:tc>
      </w:tr>
      <w:tr w14:paraId="58D2D27C">
        <w:tblPrEx>
          <w:tblCellMar>
            <w:top w:w="0" w:type="dxa"/>
            <w:left w:w="108" w:type="dxa"/>
            <w:bottom w:w="0" w:type="dxa"/>
            <w:right w:w="108" w:type="dxa"/>
          </w:tblCellMar>
        </w:tblPrEx>
        <w:trPr>
          <w:trHeight w:val="300" w:hRule="atLeast"/>
          <w:jc w:val="center"/>
        </w:trPr>
        <w:tc>
          <w:tcPr>
            <w:tcW w:w="1890" w:type="pct"/>
            <w:tcBorders>
              <w:top w:val="nil"/>
              <w:left w:val="single" w:color="000000" w:sz="8" w:space="0"/>
              <w:bottom w:val="single" w:color="000000" w:sz="8" w:space="0"/>
              <w:right w:val="single" w:color="000000" w:sz="8" w:space="0"/>
            </w:tcBorders>
            <w:vAlign w:val="center"/>
          </w:tcPr>
          <w:p w14:paraId="1262F233">
            <w:pPr>
              <w:widowControl/>
              <w:jc w:val="center"/>
              <w:textAlignment w:val="center"/>
              <w:rPr>
                <w:rFonts w:hint="eastAsia" w:ascii="黑体" w:hAnsi="黑体" w:eastAsia="黑体" w:cs="楷体"/>
                <w:color w:val="000000"/>
                <w:szCs w:val="21"/>
              </w:rPr>
            </w:pPr>
            <w:r>
              <w:rPr>
                <w:rFonts w:hint="eastAsia" w:ascii="黑体" w:hAnsi="黑体" w:eastAsia="黑体" w:cs="楷体"/>
                <w:color w:val="000000"/>
                <w:kern w:val="0"/>
                <w:szCs w:val="21"/>
                <w:lang w:bidi="ar"/>
              </w:rPr>
              <w:t>22</w:t>
            </w:r>
          </w:p>
        </w:tc>
        <w:tc>
          <w:tcPr>
            <w:tcW w:w="3109" w:type="pct"/>
            <w:tcBorders>
              <w:top w:val="nil"/>
              <w:left w:val="nil"/>
              <w:bottom w:val="single" w:color="000000" w:sz="8" w:space="0"/>
              <w:right w:val="single" w:color="000000" w:sz="8" w:space="0"/>
            </w:tcBorders>
            <w:vAlign w:val="center"/>
          </w:tcPr>
          <w:p w14:paraId="78F253D5">
            <w:pPr>
              <w:widowControl/>
              <w:jc w:val="left"/>
              <w:textAlignment w:val="center"/>
              <w:rPr>
                <w:rFonts w:hint="eastAsia" w:ascii="黑体" w:hAnsi="黑体" w:eastAsia="黑体" w:cs="楷体"/>
                <w:color w:val="000000"/>
                <w:szCs w:val="21"/>
              </w:rPr>
            </w:pPr>
            <w:r>
              <w:rPr>
                <w:rFonts w:hint="eastAsia" w:ascii="黑体" w:hAnsi="黑体" w:eastAsia="黑体" w:cs="楷体"/>
                <w:color w:val="000000"/>
                <w:kern w:val="0"/>
                <w:szCs w:val="21"/>
                <w:lang w:bidi="ar"/>
              </w:rPr>
              <w:t>后像治疗</w:t>
            </w:r>
          </w:p>
        </w:tc>
      </w:tr>
      <w:tr w14:paraId="048BD2ED">
        <w:tblPrEx>
          <w:tblCellMar>
            <w:top w:w="0" w:type="dxa"/>
            <w:left w:w="108" w:type="dxa"/>
            <w:bottom w:w="0" w:type="dxa"/>
            <w:right w:w="108" w:type="dxa"/>
          </w:tblCellMar>
        </w:tblPrEx>
        <w:trPr>
          <w:trHeight w:val="300" w:hRule="atLeast"/>
          <w:jc w:val="center"/>
        </w:trPr>
        <w:tc>
          <w:tcPr>
            <w:tcW w:w="1890" w:type="pct"/>
            <w:tcBorders>
              <w:top w:val="nil"/>
              <w:left w:val="single" w:color="000000" w:sz="8" w:space="0"/>
              <w:bottom w:val="single" w:color="000000" w:sz="8" w:space="0"/>
              <w:right w:val="single" w:color="000000" w:sz="8" w:space="0"/>
            </w:tcBorders>
            <w:vAlign w:val="center"/>
          </w:tcPr>
          <w:p w14:paraId="2AE1BF7B">
            <w:pPr>
              <w:widowControl/>
              <w:jc w:val="center"/>
              <w:textAlignment w:val="center"/>
              <w:rPr>
                <w:rFonts w:hint="eastAsia" w:ascii="黑体" w:hAnsi="黑体" w:eastAsia="黑体" w:cs="楷体"/>
                <w:color w:val="000000"/>
                <w:szCs w:val="21"/>
              </w:rPr>
            </w:pPr>
            <w:r>
              <w:rPr>
                <w:rFonts w:hint="eastAsia" w:ascii="黑体" w:hAnsi="黑体" w:eastAsia="黑体" w:cs="楷体"/>
                <w:color w:val="000000"/>
                <w:kern w:val="0"/>
                <w:szCs w:val="21"/>
                <w:lang w:bidi="ar"/>
              </w:rPr>
              <w:t>23</w:t>
            </w:r>
          </w:p>
        </w:tc>
        <w:tc>
          <w:tcPr>
            <w:tcW w:w="3109" w:type="pct"/>
            <w:tcBorders>
              <w:top w:val="nil"/>
              <w:left w:val="nil"/>
              <w:bottom w:val="single" w:color="000000" w:sz="8" w:space="0"/>
              <w:right w:val="single" w:color="000000" w:sz="8" w:space="0"/>
            </w:tcBorders>
            <w:vAlign w:val="center"/>
          </w:tcPr>
          <w:p w14:paraId="317BA2C2">
            <w:pPr>
              <w:widowControl/>
              <w:jc w:val="left"/>
              <w:textAlignment w:val="center"/>
              <w:rPr>
                <w:rFonts w:hint="eastAsia" w:ascii="黑体" w:hAnsi="黑体" w:eastAsia="黑体" w:cs="楷体"/>
                <w:color w:val="000000"/>
                <w:szCs w:val="21"/>
              </w:rPr>
            </w:pPr>
            <w:r>
              <w:rPr>
                <w:rFonts w:hint="eastAsia" w:ascii="黑体" w:hAnsi="黑体" w:eastAsia="黑体" w:cs="楷体"/>
                <w:color w:val="000000"/>
                <w:kern w:val="0"/>
                <w:szCs w:val="21"/>
                <w:lang w:bidi="ar"/>
              </w:rPr>
              <w:t>双眼单视功能训练</w:t>
            </w:r>
          </w:p>
        </w:tc>
      </w:tr>
      <w:tr w14:paraId="01B90563">
        <w:tblPrEx>
          <w:tblCellMar>
            <w:top w:w="0" w:type="dxa"/>
            <w:left w:w="108" w:type="dxa"/>
            <w:bottom w:w="0" w:type="dxa"/>
            <w:right w:w="108" w:type="dxa"/>
          </w:tblCellMar>
        </w:tblPrEx>
        <w:trPr>
          <w:trHeight w:val="319" w:hRule="atLeast"/>
          <w:jc w:val="center"/>
        </w:trPr>
        <w:tc>
          <w:tcPr>
            <w:tcW w:w="1890" w:type="pct"/>
            <w:tcBorders>
              <w:top w:val="nil"/>
              <w:left w:val="single" w:color="000000" w:sz="8" w:space="0"/>
              <w:bottom w:val="single" w:color="000000" w:sz="8" w:space="0"/>
              <w:right w:val="single" w:color="000000" w:sz="8" w:space="0"/>
            </w:tcBorders>
            <w:vAlign w:val="center"/>
          </w:tcPr>
          <w:p w14:paraId="03279403">
            <w:pPr>
              <w:widowControl/>
              <w:jc w:val="center"/>
              <w:textAlignment w:val="center"/>
              <w:rPr>
                <w:rFonts w:hint="eastAsia" w:ascii="黑体" w:hAnsi="黑体" w:eastAsia="黑体" w:cs="楷体"/>
                <w:color w:val="000000"/>
                <w:szCs w:val="21"/>
              </w:rPr>
            </w:pPr>
            <w:r>
              <w:rPr>
                <w:rFonts w:hint="eastAsia" w:ascii="黑体" w:hAnsi="黑体" w:eastAsia="黑体" w:cs="楷体"/>
                <w:color w:val="000000"/>
                <w:kern w:val="0"/>
                <w:szCs w:val="21"/>
                <w:lang w:bidi="ar"/>
              </w:rPr>
              <w:t>24</w:t>
            </w:r>
          </w:p>
        </w:tc>
        <w:tc>
          <w:tcPr>
            <w:tcW w:w="3109" w:type="pct"/>
            <w:tcBorders>
              <w:top w:val="nil"/>
              <w:left w:val="nil"/>
              <w:bottom w:val="single" w:color="000000" w:sz="8" w:space="0"/>
              <w:right w:val="single" w:color="000000" w:sz="8" w:space="0"/>
            </w:tcBorders>
            <w:vAlign w:val="center"/>
          </w:tcPr>
          <w:p w14:paraId="2065D643">
            <w:pPr>
              <w:widowControl/>
              <w:jc w:val="left"/>
              <w:textAlignment w:val="center"/>
              <w:rPr>
                <w:rFonts w:hint="eastAsia" w:ascii="黑体" w:hAnsi="黑体" w:eastAsia="黑体" w:cs="楷体"/>
                <w:color w:val="000000"/>
                <w:szCs w:val="21"/>
              </w:rPr>
            </w:pPr>
            <w:r>
              <w:rPr>
                <w:rFonts w:hint="eastAsia" w:ascii="黑体" w:hAnsi="黑体" w:eastAsia="黑体" w:cs="楷体"/>
                <w:color w:val="000000"/>
                <w:kern w:val="0"/>
                <w:szCs w:val="21"/>
                <w:lang w:bidi="ar"/>
              </w:rPr>
              <w:t>弱视训练</w:t>
            </w:r>
          </w:p>
        </w:tc>
      </w:tr>
    </w:tbl>
    <w:p w14:paraId="457DA744">
      <w:pPr>
        <w:rPr>
          <w:rFonts w:hint="eastAsia" w:ascii="黑体" w:hAnsi="黑体" w:eastAsia="黑体"/>
          <w:szCs w:val="21"/>
        </w:rPr>
      </w:pPr>
    </w:p>
    <w:p w14:paraId="6C5BF216">
      <w:pPr>
        <w:rPr>
          <w:rFonts w:hint="eastAsia" w:ascii="黑体" w:hAnsi="黑体" w:eastAsia="黑体"/>
          <w:szCs w:val="21"/>
        </w:rPr>
      </w:pPr>
      <w:r>
        <w:rPr>
          <w:rFonts w:hint="eastAsia" w:ascii="黑体" w:hAnsi="黑体" w:eastAsia="黑体"/>
          <w:szCs w:val="21"/>
        </w:rPr>
        <w:t>（三）拓展检查项目服务清单</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41"/>
        <w:gridCol w:w="5493"/>
      </w:tblGrid>
      <w:tr w14:paraId="746D1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891" w:type="pct"/>
            <w:vAlign w:val="center"/>
          </w:tcPr>
          <w:p w14:paraId="0FB4ED6F">
            <w:pPr>
              <w:widowControl/>
              <w:jc w:val="center"/>
              <w:textAlignment w:val="center"/>
              <w:rPr>
                <w:rFonts w:hint="eastAsia" w:ascii="黑体" w:hAnsi="黑体" w:eastAsia="黑体" w:cs="楷体"/>
                <w:color w:val="000000"/>
                <w:kern w:val="0"/>
                <w:sz w:val="22"/>
                <w:lang w:bidi="ar"/>
              </w:rPr>
            </w:pPr>
            <w:r>
              <w:rPr>
                <w:rFonts w:hint="eastAsia" w:ascii="黑体" w:hAnsi="黑体" w:eastAsia="黑体" w:cs="楷体"/>
                <w:color w:val="000000"/>
                <w:kern w:val="0"/>
                <w:sz w:val="22"/>
                <w:lang w:bidi="ar"/>
              </w:rPr>
              <w:t>序号</w:t>
            </w:r>
          </w:p>
        </w:tc>
        <w:tc>
          <w:tcPr>
            <w:tcW w:w="3109" w:type="pct"/>
            <w:vAlign w:val="center"/>
          </w:tcPr>
          <w:p w14:paraId="2B0581C2">
            <w:pPr>
              <w:widowControl/>
              <w:jc w:val="center"/>
              <w:textAlignment w:val="center"/>
              <w:rPr>
                <w:rFonts w:hint="eastAsia" w:ascii="黑体" w:hAnsi="黑体" w:eastAsia="黑体" w:cs="楷体"/>
                <w:color w:val="000000"/>
                <w:kern w:val="0"/>
                <w:sz w:val="22"/>
                <w:lang w:bidi="ar"/>
              </w:rPr>
            </w:pPr>
            <w:r>
              <w:rPr>
                <w:rFonts w:hint="eastAsia" w:ascii="黑体" w:hAnsi="黑体" w:eastAsia="黑体" w:cs="楷体"/>
                <w:color w:val="000000"/>
                <w:kern w:val="0"/>
                <w:sz w:val="22"/>
                <w:lang w:bidi="ar"/>
              </w:rPr>
              <w:t>项目名称</w:t>
            </w:r>
          </w:p>
        </w:tc>
      </w:tr>
      <w:tr w14:paraId="43250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891" w:type="pct"/>
            <w:vAlign w:val="center"/>
          </w:tcPr>
          <w:p w14:paraId="1828341F">
            <w:pPr>
              <w:widowControl/>
              <w:jc w:val="center"/>
              <w:textAlignment w:val="center"/>
              <w:rPr>
                <w:rFonts w:hint="eastAsia" w:ascii="黑体" w:hAnsi="黑体" w:eastAsia="黑体" w:cs="楷体"/>
                <w:color w:val="000000"/>
                <w:kern w:val="0"/>
                <w:sz w:val="22"/>
                <w:lang w:bidi="ar"/>
              </w:rPr>
            </w:pPr>
            <w:r>
              <w:rPr>
                <w:rFonts w:hint="eastAsia" w:ascii="黑体" w:hAnsi="黑体" w:eastAsia="黑体" w:cs="楷体"/>
                <w:color w:val="000000"/>
                <w:kern w:val="0"/>
                <w:sz w:val="22"/>
                <w:lang w:bidi="ar"/>
              </w:rPr>
              <w:t>1</w:t>
            </w:r>
          </w:p>
        </w:tc>
        <w:tc>
          <w:tcPr>
            <w:tcW w:w="3109" w:type="pct"/>
            <w:vAlign w:val="center"/>
          </w:tcPr>
          <w:p w14:paraId="5964516B">
            <w:pPr>
              <w:widowControl/>
              <w:textAlignment w:val="center"/>
              <w:rPr>
                <w:rFonts w:hint="eastAsia" w:ascii="黑体" w:hAnsi="黑体" w:eastAsia="黑体" w:cs="楷体"/>
                <w:color w:val="000000"/>
                <w:kern w:val="0"/>
                <w:sz w:val="22"/>
                <w:lang w:bidi="ar"/>
              </w:rPr>
            </w:pPr>
            <w:r>
              <w:rPr>
                <w:rFonts w:hint="eastAsia" w:ascii="黑体" w:hAnsi="黑体" w:eastAsia="黑体" w:cs="楷体"/>
                <w:color w:val="000000"/>
                <w:kern w:val="0"/>
                <w:sz w:val="22"/>
                <w:lang w:bidi="ar"/>
              </w:rPr>
              <w:t>计算机图文报告</w:t>
            </w:r>
          </w:p>
        </w:tc>
      </w:tr>
      <w:tr w14:paraId="2A05E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891" w:type="pct"/>
            <w:vAlign w:val="center"/>
          </w:tcPr>
          <w:p w14:paraId="7DC267EA">
            <w:pPr>
              <w:widowControl/>
              <w:jc w:val="center"/>
              <w:textAlignment w:val="center"/>
              <w:rPr>
                <w:rFonts w:hint="eastAsia" w:ascii="黑体" w:hAnsi="黑体" w:eastAsia="黑体" w:cs="楷体"/>
                <w:color w:val="000000"/>
                <w:kern w:val="0"/>
                <w:sz w:val="22"/>
                <w:lang w:bidi="ar"/>
              </w:rPr>
            </w:pPr>
            <w:r>
              <w:rPr>
                <w:rFonts w:hint="eastAsia" w:ascii="黑体" w:hAnsi="黑体" w:eastAsia="黑体"/>
                <w:color w:val="000000"/>
                <w:sz w:val="22"/>
                <w:szCs w:val="22"/>
              </w:rPr>
              <w:t>2</w:t>
            </w:r>
          </w:p>
        </w:tc>
        <w:tc>
          <w:tcPr>
            <w:tcW w:w="3109" w:type="pct"/>
            <w:vAlign w:val="center"/>
          </w:tcPr>
          <w:p w14:paraId="383B1255">
            <w:pPr>
              <w:widowControl/>
              <w:rPr>
                <w:rFonts w:hint="eastAsia" w:ascii="黑体" w:hAnsi="黑体" w:eastAsia="黑体"/>
                <w:color w:val="000000"/>
                <w:sz w:val="22"/>
                <w:szCs w:val="22"/>
              </w:rPr>
            </w:pPr>
            <w:r>
              <w:rPr>
                <w:rFonts w:hint="eastAsia" w:ascii="黑体" w:hAnsi="黑体" w:eastAsia="黑体"/>
                <w:color w:val="000000"/>
                <w:sz w:val="22"/>
                <w:szCs w:val="22"/>
              </w:rPr>
              <w:t>眼前段照相</w:t>
            </w:r>
          </w:p>
        </w:tc>
      </w:tr>
      <w:tr w14:paraId="5810B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891" w:type="pct"/>
            <w:vAlign w:val="center"/>
          </w:tcPr>
          <w:p w14:paraId="3F8829D4">
            <w:pPr>
              <w:widowControl/>
              <w:jc w:val="center"/>
              <w:textAlignment w:val="center"/>
              <w:rPr>
                <w:rFonts w:hint="eastAsia" w:ascii="黑体" w:hAnsi="黑体" w:eastAsia="黑体" w:cs="楷体"/>
                <w:color w:val="000000"/>
                <w:kern w:val="0"/>
                <w:sz w:val="22"/>
                <w:lang w:bidi="ar"/>
              </w:rPr>
            </w:pPr>
            <w:r>
              <w:rPr>
                <w:rFonts w:hint="eastAsia" w:ascii="黑体" w:hAnsi="黑体" w:eastAsia="黑体"/>
                <w:color w:val="000000"/>
                <w:sz w:val="22"/>
                <w:szCs w:val="22"/>
              </w:rPr>
              <w:t>3</w:t>
            </w:r>
          </w:p>
        </w:tc>
        <w:tc>
          <w:tcPr>
            <w:tcW w:w="3109" w:type="pct"/>
            <w:vAlign w:val="center"/>
          </w:tcPr>
          <w:p w14:paraId="176C0C99">
            <w:pPr>
              <w:widowControl/>
              <w:rPr>
                <w:rFonts w:hint="eastAsia" w:ascii="黑体" w:hAnsi="黑体" w:eastAsia="黑体"/>
                <w:color w:val="000000"/>
                <w:sz w:val="22"/>
                <w:szCs w:val="22"/>
              </w:rPr>
            </w:pPr>
            <w:r>
              <w:rPr>
                <w:rFonts w:hint="eastAsia" w:ascii="黑体" w:hAnsi="黑体" w:eastAsia="黑体"/>
                <w:color w:val="000000"/>
                <w:sz w:val="22"/>
                <w:szCs w:val="22"/>
              </w:rPr>
              <w:t>眼位照相</w:t>
            </w:r>
          </w:p>
        </w:tc>
      </w:tr>
      <w:tr w14:paraId="25AD4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891" w:type="pct"/>
            <w:vAlign w:val="center"/>
          </w:tcPr>
          <w:p w14:paraId="155742B4">
            <w:pPr>
              <w:widowControl/>
              <w:jc w:val="center"/>
              <w:textAlignment w:val="center"/>
              <w:rPr>
                <w:rFonts w:hint="eastAsia" w:ascii="黑体" w:hAnsi="黑体" w:eastAsia="黑体" w:cs="楷体"/>
                <w:color w:val="000000"/>
                <w:kern w:val="0"/>
                <w:sz w:val="22"/>
                <w:lang w:bidi="ar"/>
              </w:rPr>
            </w:pPr>
            <w:r>
              <w:rPr>
                <w:rFonts w:hint="eastAsia" w:ascii="黑体" w:hAnsi="黑体" w:eastAsia="黑体"/>
                <w:color w:val="000000"/>
                <w:sz w:val="22"/>
                <w:szCs w:val="22"/>
              </w:rPr>
              <w:t>4</w:t>
            </w:r>
          </w:p>
        </w:tc>
        <w:tc>
          <w:tcPr>
            <w:tcW w:w="3109" w:type="pct"/>
            <w:vAlign w:val="center"/>
          </w:tcPr>
          <w:p w14:paraId="479301DD">
            <w:pPr>
              <w:widowControl/>
              <w:rPr>
                <w:rFonts w:hint="eastAsia" w:ascii="黑体" w:hAnsi="黑体" w:eastAsia="黑体"/>
                <w:color w:val="000000"/>
                <w:sz w:val="22"/>
                <w:szCs w:val="22"/>
              </w:rPr>
            </w:pPr>
            <w:r>
              <w:rPr>
                <w:rFonts w:hint="eastAsia" w:ascii="黑体" w:hAnsi="黑体" w:eastAsia="黑体"/>
                <w:color w:val="000000"/>
                <w:sz w:val="22"/>
                <w:szCs w:val="22"/>
              </w:rPr>
              <w:t>眼底照相</w:t>
            </w:r>
          </w:p>
        </w:tc>
      </w:tr>
      <w:tr w14:paraId="20630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891" w:type="pct"/>
            <w:vAlign w:val="center"/>
          </w:tcPr>
          <w:p w14:paraId="04D460C1">
            <w:pPr>
              <w:widowControl/>
              <w:jc w:val="center"/>
              <w:textAlignment w:val="center"/>
              <w:rPr>
                <w:rFonts w:hint="eastAsia" w:ascii="黑体" w:hAnsi="黑体" w:eastAsia="黑体"/>
                <w:color w:val="000000"/>
                <w:sz w:val="22"/>
                <w:szCs w:val="22"/>
              </w:rPr>
            </w:pPr>
            <w:r>
              <w:rPr>
                <w:rFonts w:hint="eastAsia" w:ascii="黑体" w:hAnsi="黑体" w:eastAsia="黑体"/>
                <w:color w:val="000000"/>
                <w:sz w:val="22"/>
                <w:szCs w:val="22"/>
              </w:rPr>
              <w:t>5</w:t>
            </w:r>
          </w:p>
        </w:tc>
        <w:tc>
          <w:tcPr>
            <w:tcW w:w="3109" w:type="pct"/>
            <w:vAlign w:val="center"/>
          </w:tcPr>
          <w:p w14:paraId="6290855B">
            <w:pPr>
              <w:widowControl/>
              <w:textAlignment w:val="center"/>
              <w:rPr>
                <w:rFonts w:hint="eastAsia" w:ascii="黑体" w:hAnsi="黑体" w:eastAsia="黑体" w:cs="楷体"/>
                <w:color w:val="000000"/>
                <w:kern w:val="0"/>
                <w:sz w:val="22"/>
                <w:lang w:bidi="ar"/>
              </w:rPr>
            </w:pPr>
            <w:r>
              <w:rPr>
                <w:rFonts w:hint="eastAsia" w:ascii="黑体" w:hAnsi="黑体" w:eastAsia="黑体" w:cs="楷体"/>
                <w:color w:val="000000"/>
                <w:kern w:val="0"/>
                <w:sz w:val="22"/>
                <w:szCs w:val="22"/>
                <w:lang w:bidi="ar"/>
              </w:rPr>
              <w:t>听力筛查</w:t>
            </w:r>
          </w:p>
        </w:tc>
      </w:tr>
    </w:tbl>
    <w:p w14:paraId="2574900E">
      <w:pPr>
        <w:spacing w:line="360" w:lineRule="auto"/>
        <w:rPr>
          <w:rFonts w:hint="eastAsia" w:ascii="宋体" w:hAnsi="宋体" w:cs="宋体"/>
          <w:color w:val="000000"/>
          <w:kern w:val="0"/>
          <w:sz w:val="24"/>
        </w:rPr>
      </w:pPr>
    </w:p>
    <w:p w14:paraId="326785E3">
      <w:pPr>
        <w:spacing w:line="360" w:lineRule="auto"/>
        <w:ind w:firstLine="420" w:firstLineChars="200"/>
        <w:rPr>
          <w:rFonts w:hint="eastAsia" w:ascii="黑体" w:hAnsi="黑体" w:eastAsia="黑体" w:cs="Arial"/>
          <w:szCs w:val="21"/>
        </w:rPr>
      </w:pPr>
      <w:r>
        <w:rPr>
          <w:rFonts w:hint="eastAsia" w:ascii="黑体" w:hAnsi="黑体" w:eastAsia="黑体" w:cs="Arial"/>
          <w:szCs w:val="21"/>
        </w:rPr>
        <w:t>注：清单所列项目为采购人预估，采购人有权根据实际情况予以调整，实际检查项目以采购人通知为准，结算以采购人实际检查项目为准；未列入清单内的检查项目，采购人可根据实际情况予以开展，供应商应予以配合。</w:t>
      </w:r>
    </w:p>
    <w:p w14:paraId="59215F91">
      <w:pPr>
        <w:pStyle w:val="4"/>
        <w:spacing w:line="240" w:lineRule="auto"/>
        <w:ind w:firstLine="420" w:firstLineChars="200"/>
        <w:rPr>
          <w:rFonts w:hint="eastAsia" w:hAnsi="黑体"/>
          <w:sz w:val="21"/>
          <w:szCs w:val="21"/>
        </w:rPr>
      </w:pPr>
      <w:r>
        <w:rPr>
          <w:rFonts w:hint="eastAsia" w:hAnsi="黑体"/>
          <w:sz w:val="21"/>
          <w:szCs w:val="21"/>
        </w:rPr>
        <w:t>四</w:t>
      </w:r>
      <w:r>
        <w:rPr>
          <w:rFonts w:hAnsi="黑体"/>
          <w:sz w:val="21"/>
          <w:szCs w:val="21"/>
        </w:rPr>
        <w:t>、服务要求</w:t>
      </w:r>
    </w:p>
    <w:p w14:paraId="2F0C9772">
      <w:pPr>
        <w:pStyle w:val="2"/>
        <w:rPr>
          <w:rFonts w:hint="eastAsia" w:ascii="黑体" w:hAnsi="黑体" w:eastAsia="黑体"/>
          <w:szCs w:val="21"/>
        </w:rPr>
      </w:pPr>
    </w:p>
    <w:p w14:paraId="4D1500E6">
      <w:pPr>
        <w:spacing w:line="360" w:lineRule="auto"/>
        <w:ind w:firstLine="210" w:firstLineChars="100"/>
        <w:rPr>
          <w:rFonts w:hint="eastAsia" w:ascii="黑体" w:hAnsi="黑体" w:eastAsia="黑体" w:cs="Arial"/>
          <w:bCs/>
          <w:szCs w:val="21"/>
        </w:rPr>
      </w:pPr>
      <w:r>
        <w:rPr>
          <w:rFonts w:hint="eastAsia" w:ascii="黑体" w:hAnsi="黑体" w:eastAsia="黑体" w:cs="Arial"/>
          <w:bCs/>
          <w:szCs w:val="21"/>
        </w:rPr>
        <w:t>（一）</w:t>
      </w:r>
      <w:r>
        <w:rPr>
          <w:rFonts w:ascii="黑体" w:hAnsi="黑体" w:eastAsia="黑体" w:cs="Arial"/>
          <w:bCs/>
          <w:szCs w:val="21"/>
        </w:rPr>
        <w:t>基本要求</w:t>
      </w:r>
    </w:p>
    <w:p w14:paraId="39D04BB3">
      <w:pPr>
        <w:spacing w:line="360" w:lineRule="auto"/>
        <w:ind w:firstLine="420" w:firstLineChars="200"/>
        <w:rPr>
          <w:rFonts w:hint="eastAsia" w:ascii="黑体" w:hAnsi="黑体" w:eastAsia="黑体" w:cs="Arial"/>
          <w:szCs w:val="21"/>
        </w:rPr>
      </w:pPr>
      <w:r>
        <w:rPr>
          <w:rFonts w:hint="eastAsia" w:ascii="黑体" w:hAnsi="黑体" w:eastAsia="黑体" w:cs="Arial"/>
          <w:szCs w:val="21"/>
        </w:rPr>
        <w:t>1.</w:t>
      </w:r>
      <w:r>
        <w:rPr>
          <w:rFonts w:ascii="黑体" w:hAnsi="黑体" w:eastAsia="黑体" w:cs="Arial"/>
          <w:szCs w:val="21"/>
        </w:rPr>
        <w:t>能独立</w:t>
      </w:r>
      <w:r>
        <w:rPr>
          <w:rFonts w:hint="eastAsia" w:ascii="黑体" w:hAnsi="黑体" w:eastAsia="黑体" w:cs="Arial"/>
          <w:szCs w:val="21"/>
        </w:rPr>
        <w:t>门诊眼保健基础筛查和视功能相关辅助检查等</w:t>
      </w:r>
      <w:r>
        <w:rPr>
          <w:rFonts w:ascii="黑体" w:hAnsi="黑体" w:eastAsia="黑体" w:cs="Arial"/>
          <w:szCs w:val="21"/>
        </w:rPr>
        <w:t>工作；</w:t>
      </w:r>
    </w:p>
    <w:p w14:paraId="06F4EB32">
      <w:pPr>
        <w:spacing w:line="360" w:lineRule="auto"/>
        <w:ind w:firstLine="420" w:firstLineChars="200"/>
        <w:rPr>
          <w:rFonts w:hint="eastAsia" w:ascii="黑体" w:hAnsi="黑体" w:eastAsia="黑体" w:cs="Arial"/>
          <w:szCs w:val="21"/>
        </w:rPr>
      </w:pPr>
      <w:r>
        <w:rPr>
          <w:rFonts w:hint="eastAsia" w:ascii="黑体" w:hAnsi="黑体" w:eastAsia="黑体" w:cs="Arial"/>
          <w:szCs w:val="21"/>
        </w:rPr>
        <w:t>2</w:t>
      </w:r>
      <w:r>
        <w:rPr>
          <w:rFonts w:ascii="黑体" w:hAnsi="黑体" w:eastAsia="黑体" w:cs="Arial"/>
          <w:szCs w:val="21"/>
        </w:rPr>
        <w:t>.承诺有独立、固定的办公场所和</w:t>
      </w:r>
      <w:r>
        <w:rPr>
          <w:rFonts w:hint="eastAsia" w:ascii="黑体" w:hAnsi="黑体" w:eastAsia="黑体" w:cs="Arial"/>
          <w:szCs w:val="21"/>
        </w:rPr>
        <w:t>眼保健相关筛查检查</w:t>
      </w:r>
      <w:r>
        <w:rPr>
          <w:rFonts w:ascii="黑体" w:hAnsi="黑体" w:eastAsia="黑体" w:cs="Arial"/>
          <w:szCs w:val="21"/>
        </w:rPr>
        <w:t>的工作条件和必备的合格的医疗检查设备；</w:t>
      </w:r>
    </w:p>
    <w:p w14:paraId="7CEF967B">
      <w:pPr>
        <w:spacing w:line="360" w:lineRule="auto"/>
        <w:ind w:firstLine="420" w:firstLineChars="200"/>
        <w:rPr>
          <w:rFonts w:hint="eastAsia" w:ascii="黑体" w:hAnsi="黑体" w:eastAsia="黑体" w:cs="Arial"/>
          <w:szCs w:val="21"/>
        </w:rPr>
      </w:pPr>
      <w:r>
        <w:rPr>
          <w:rFonts w:hint="eastAsia" w:ascii="黑体" w:hAnsi="黑体" w:eastAsia="黑体" w:cs="Arial"/>
          <w:szCs w:val="21"/>
        </w:rPr>
        <w:t>3</w:t>
      </w:r>
      <w:r>
        <w:rPr>
          <w:rFonts w:ascii="黑体" w:hAnsi="黑体" w:eastAsia="黑体" w:cs="Arial"/>
          <w:szCs w:val="21"/>
        </w:rPr>
        <w:t>.有健全的规章制度、</w:t>
      </w:r>
      <w:r>
        <w:rPr>
          <w:rFonts w:hint="eastAsia" w:ascii="黑体" w:hAnsi="黑体" w:eastAsia="黑体" w:cs="Arial"/>
          <w:szCs w:val="21"/>
        </w:rPr>
        <w:t>符合</w:t>
      </w:r>
      <w:r>
        <w:rPr>
          <w:rFonts w:ascii="黑体" w:hAnsi="黑体" w:eastAsia="黑体" w:cs="Arial"/>
          <w:szCs w:val="21"/>
        </w:rPr>
        <w:t>国家制定或认可的</w:t>
      </w:r>
      <w:r>
        <w:rPr>
          <w:rFonts w:hint="eastAsia" w:ascii="黑体" w:hAnsi="黑体" w:eastAsia="黑体" w:cs="Arial"/>
          <w:szCs w:val="21"/>
        </w:rPr>
        <w:t>视力筛查</w:t>
      </w:r>
      <w:r>
        <w:rPr>
          <w:rFonts w:ascii="黑体" w:hAnsi="黑体" w:eastAsia="黑体" w:cs="Arial"/>
          <w:szCs w:val="21"/>
        </w:rPr>
        <w:t>操作规程</w:t>
      </w:r>
      <w:r>
        <w:rPr>
          <w:rFonts w:hint="eastAsia" w:ascii="黑体" w:hAnsi="黑体" w:eastAsia="黑体" w:cs="Arial"/>
          <w:szCs w:val="21"/>
        </w:rPr>
        <w:t>。</w:t>
      </w:r>
    </w:p>
    <w:p w14:paraId="0E6CEB2A">
      <w:pPr>
        <w:spacing w:line="360" w:lineRule="auto"/>
        <w:ind w:firstLine="420" w:firstLineChars="200"/>
        <w:rPr>
          <w:rFonts w:hint="eastAsia" w:ascii="黑体" w:hAnsi="黑体" w:eastAsia="黑体" w:cs="Arial"/>
          <w:szCs w:val="21"/>
        </w:rPr>
      </w:pPr>
      <w:r>
        <w:rPr>
          <w:rFonts w:hint="eastAsia" w:ascii="黑体" w:hAnsi="黑体" w:eastAsia="黑体" w:cs="Arial"/>
          <w:szCs w:val="21"/>
        </w:rPr>
        <w:t>（需在响应文件中提供以上</w:t>
      </w:r>
      <w:r>
        <w:rPr>
          <w:rFonts w:ascii="黑体" w:hAnsi="黑体" w:eastAsia="黑体" w:cs="Arial"/>
          <w:bCs/>
          <w:szCs w:val="21"/>
        </w:rPr>
        <w:t>基本要求</w:t>
      </w:r>
      <w:r>
        <w:rPr>
          <w:rFonts w:hint="eastAsia" w:ascii="黑体" w:hAnsi="黑体" w:eastAsia="黑体" w:cs="Arial"/>
          <w:bCs/>
          <w:szCs w:val="21"/>
        </w:rPr>
        <w:t>的</w:t>
      </w:r>
      <w:r>
        <w:rPr>
          <w:rFonts w:hint="eastAsia" w:ascii="黑体" w:hAnsi="黑体" w:eastAsia="黑体" w:cs="Arial"/>
          <w:szCs w:val="21"/>
        </w:rPr>
        <w:t>承诺书原件并加盖供应商单位公章）</w:t>
      </w:r>
    </w:p>
    <w:p w14:paraId="0386751D">
      <w:pPr>
        <w:spacing w:line="360" w:lineRule="auto"/>
        <w:ind w:firstLine="210" w:firstLineChars="100"/>
        <w:rPr>
          <w:rFonts w:hint="eastAsia" w:ascii="黑体" w:hAnsi="黑体" w:eastAsia="黑体" w:cs="Arial"/>
          <w:bCs/>
          <w:szCs w:val="21"/>
        </w:rPr>
      </w:pPr>
      <w:r>
        <w:rPr>
          <w:rFonts w:hint="eastAsia" w:ascii="黑体" w:hAnsi="黑体" w:eastAsia="黑体" w:cs="Arial"/>
          <w:bCs/>
          <w:szCs w:val="21"/>
        </w:rPr>
        <w:t>（二）</w:t>
      </w:r>
      <w:r>
        <w:rPr>
          <w:rFonts w:ascii="黑体" w:hAnsi="黑体" w:eastAsia="黑体" w:cs="Arial"/>
          <w:bCs/>
          <w:szCs w:val="21"/>
        </w:rPr>
        <w:t>人员及岗位要求</w:t>
      </w:r>
    </w:p>
    <w:p w14:paraId="58479E9E">
      <w:pPr>
        <w:spacing w:line="360" w:lineRule="auto"/>
        <w:ind w:firstLine="420" w:firstLineChars="200"/>
        <w:rPr>
          <w:rFonts w:hint="eastAsia" w:ascii="黑体" w:hAnsi="黑体" w:eastAsia="黑体" w:cs="Arial"/>
          <w:szCs w:val="21"/>
        </w:rPr>
      </w:pPr>
      <w:r>
        <w:rPr>
          <w:rFonts w:ascii="黑体" w:hAnsi="黑体" w:eastAsia="黑体" w:cs="Arial"/>
          <w:szCs w:val="21"/>
        </w:rPr>
        <w:t>1.</w:t>
      </w:r>
      <w:r>
        <w:rPr>
          <w:rFonts w:ascii="黑体" w:hAnsi="黑体" w:eastAsia="黑体" w:cs="宋体"/>
          <w:kern w:val="0"/>
          <w:szCs w:val="21"/>
        </w:rPr>
        <w:t>项目团队中负责筛查的人员</w:t>
      </w:r>
      <w:r>
        <w:rPr>
          <w:rFonts w:hint="eastAsia" w:ascii="黑体" w:hAnsi="黑体" w:eastAsia="黑体" w:cs="宋体"/>
          <w:kern w:val="0"/>
          <w:szCs w:val="21"/>
        </w:rPr>
        <w:t>：</w:t>
      </w:r>
      <w:r>
        <w:rPr>
          <w:rFonts w:ascii="黑体" w:hAnsi="黑体" w:eastAsia="黑体" w:cs="Arial"/>
          <w:szCs w:val="21"/>
        </w:rPr>
        <w:t>应持有相关的国家验光技师、眼视光技术初级职称或者护士资格证书的人员，经相关规范化培训的专业技术人员可协助开展工作</w:t>
      </w:r>
      <w:r>
        <w:rPr>
          <w:rFonts w:hint="eastAsia" w:ascii="黑体" w:hAnsi="黑体" w:eastAsia="黑体" w:cs="宋体"/>
          <w:kern w:val="0"/>
          <w:szCs w:val="21"/>
        </w:rPr>
        <w:t>；</w:t>
      </w:r>
    </w:p>
    <w:p w14:paraId="4E9CFF5F">
      <w:pPr>
        <w:spacing w:line="360" w:lineRule="auto"/>
        <w:ind w:firstLine="420" w:firstLineChars="200"/>
        <w:rPr>
          <w:rFonts w:hint="eastAsia" w:ascii="黑体" w:hAnsi="黑体" w:eastAsia="黑体" w:cs="Arial"/>
          <w:szCs w:val="21"/>
        </w:rPr>
      </w:pPr>
      <w:r>
        <w:rPr>
          <w:rFonts w:ascii="黑体" w:hAnsi="黑体" w:eastAsia="黑体" w:cs="Arial"/>
          <w:szCs w:val="21"/>
        </w:rPr>
        <w:t>2.岗位设置合理，管理职责明确，有与本项目相适应的管理、技术、质量控制和统计等人员</w:t>
      </w:r>
      <w:r>
        <w:rPr>
          <w:rFonts w:hint="eastAsia" w:ascii="黑体" w:hAnsi="黑体" w:eastAsia="黑体" w:cs="Arial"/>
          <w:szCs w:val="21"/>
        </w:rPr>
        <w:t>。</w:t>
      </w:r>
    </w:p>
    <w:p w14:paraId="77FDAF88">
      <w:pPr>
        <w:spacing w:line="360" w:lineRule="auto"/>
        <w:ind w:firstLine="420" w:firstLineChars="200"/>
        <w:rPr>
          <w:rFonts w:hint="eastAsia" w:ascii="黑体" w:hAnsi="黑体" w:eastAsia="黑体" w:cs="Arial"/>
          <w:szCs w:val="21"/>
        </w:rPr>
      </w:pPr>
      <w:r>
        <w:rPr>
          <w:rFonts w:hint="eastAsia" w:ascii="黑体" w:hAnsi="黑体" w:eastAsia="黑体" w:cs="Arial"/>
          <w:szCs w:val="21"/>
        </w:rPr>
        <w:t>3.检测工作负责人：应具有中高级专业技术职务任职资格</w:t>
      </w:r>
      <w:r>
        <w:rPr>
          <w:rFonts w:ascii="黑体" w:hAnsi="黑体" w:eastAsia="黑体" w:cs="Arial"/>
          <w:szCs w:val="21"/>
        </w:rPr>
        <w:t>或者护士资格证书的人员，经相关规范化培训的专业技术人员可</w:t>
      </w:r>
      <w:r>
        <w:rPr>
          <w:rFonts w:hint="eastAsia" w:ascii="黑体" w:hAnsi="黑体" w:eastAsia="黑体" w:cs="Arial"/>
          <w:szCs w:val="21"/>
        </w:rPr>
        <w:t>独立开展</w:t>
      </w:r>
      <w:r>
        <w:rPr>
          <w:rFonts w:ascii="黑体" w:hAnsi="黑体" w:eastAsia="黑体" w:cs="Arial"/>
          <w:szCs w:val="21"/>
        </w:rPr>
        <w:t>工作</w:t>
      </w:r>
      <w:r>
        <w:rPr>
          <w:rFonts w:hint="eastAsia" w:ascii="黑体" w:hAnsi="黑体" w:eastAsia="黑体" w:cs="Arial"/>
          <w:szCs w:val="21"/>
        </w:rPr>
        <w:t>。</w:t>
      </w:r>
    </w:p>
    <w:p w14:paraId="5A43F44F">
      <w:pPr>
        <w:spacing w:line="360" w:lineRule="auto"/>
        <w:ind w:firstLine="210" w:firstLineChars="100"/>
        <w:rPr>
          <w:rFonts w:hint="eastAsia" w:ascii="黑体" w:hAnsi="黑体" w:eastAsia="黑体" w:cs="Arial"/>
          <w:bCs/>
          <w:szCs w:val="21"/>
        </w:rPr>
      </w:pPr>
      <w:r>
        <w:rPr>
          <w:rFonts w:hint="eastAsia" w:ascii="黑体" w:hAnsi="黑体" w:eastAsia="黑体" w:cs="Arial"/>
          <w:bCs/>
          <w:szCs w:val="21"/>
        </w:rPr>
        <w:t>（三）</w:t>
      </w:r>
      <w:r>
        <w:rPr>
          <w:rFonts w:ascii="黑体" w:hAnsi="黑体" w:eastAsia="黑体" w:cs="Arial"/>
          <w:bCs/>
          <w:szCs w:val="21"/>
        </w:rPr>
        <w:t>检查项目内容</w:t>
      </w:r>
    </w:p>
    <w:p w14:paraId="7C0056EF">
      <w:pPr>
        <w:spacing w:line="360" w:lineRule="auto"/>
        <w:ind w:firstLine="420" w:firstLineChars="200"/>
        <w:rPr>
          <w:rFonts w:hint="eastAsia" w:ascii="黑体" w:hAnsi="黑体" w:eastAsia="黑体" w:cs="宋体"/>
          <w:kern w:val="0"/>
          <w:szCs w:val="21"/>
        </w:rPr>
      </w:pPr>
      <w:r>
        <w:rPr>
          <w:rFonts w:ascii="黑体" w:hAnsi="黑体" w:eastAsia="黑体" w:cs="宋体"/>
          <w:kern w:val="0"/>
          <w:szCs w:val="21"/>
        </w:rPr>
        <w:t>包括</w:t>
      </w:r>
      <w:r>
        <w:rPr>
          <w:rFonts w:hint="eastAsia" w:ascii="黑体" w:hAnsi="黑体" w:eastAsia="黑体" w:cs="宋体"/>
          <w:kern w:val="0"/>
          <w:szCs w:val="21"/>
        </w:rPr>
        <w:t>双眼裸眼视力检查、双眼屈光度检查、眼位检查、眼球运动检查、双眼眼底红光反射检查、异常行为评估检查、眼外观检查等基础筛查项目及视光异常者验光、矫治、转介、随访、登记统计及信息系统录入；弱视训练、双眼单视功能训练等其他视功能辅助检查和眼底照相视听筛查等拓展延伸项目。</w:t>
      </w:r>
    </w:p>
    <w:p w14:paraId="3413FFAB">
      <w:pPr>
        <w:pStyle w:val="20"/>
        <w:tabs>
          <w:tab w:val="left" w:pos="5280"/>
        </w:tabs>
        <w:spacing w:line="360" w:lineRule="auto"/>
        <w:ind w:firstLine="210" w:firstLineChars="100"/>
        <w:jc w:val="left"/>
        <w:rPr>
          <w:rFonts w:hint="eastAsia" w:ascii="黑体" w:hAnsi="黑体" w:eastAsia="黑体" w:cs="Arial"/>
          <w:b/>
          <w:sz w:val="21"/>
          <w:szCs w:val="21"/>
        </w:rPr>
      </w:pPr>
      <w:r>
        <w:rPr>
          <w:rFonts w:hint="eastAsia" w:ascii="黑体" w:hAnsi="黑体" w:eastAsia="黑体" w:cs="Arial"/>
          <w:bCs/>
          <w:sz w:val="21"/>
          <w:szCs w:val="21"/>
        </w:rPr>
        <w:t>（四）</w:t>
      </w:r>
      <w:r>
        <w:rPr>
          <w:rFonts w:ascii="黑体" w:hAnsi="黑体" w:eastAsia="黑体" w:cs="Arial"/>
          <w:bCs/>
          <w:sz w:val="21"/>
          <w:szCs w:val="21"/>
        </w:rPr>
        <w:t>服务要求</w:t>
      </w:r>
    </w:p>
    <w:p w14:paraId="7E440BDF">
      <w:pPr>
        <w:pStyle w:val="20"/>
        <w:spacing w:line="360" w:lineRule="auto"/>
        <w:ind w:firstLine="420" w:firstLineChars="200"/>
        <w:rPr>
          <w:rFonts w:hint="eastAsia" w:ascii="黑体" w:hAnsi="黑体" w:eastAsia="黑体" w:cs="Arial"/>
          <w:b/>
          <w:bCs/>
          <w:sz w:val="21"/>
          <w:szCs w:val="21"/>
        </w:rPr>
      </w:pPr>
      <w:r>
        <w:rPr>
          <w:rFonts w:ascii="黑体" w:hAnsi="黑体" w:eastAsia="黑体" w:cs="Arial"/>
          <w:bCs/>
          <w:sz w:val="21"/>
          <w:szCs w:val="21"/>
        </w:rPr>
        <w:t>1</w:t>
      </w:r>
      <w:r>
        <w:rPr>
          <w:rFonts w:hint="eastAsia" w:ascii="黑体" w:hAnsi="黑体" w:eastAsia="黑体" w:cs="Arial"/>
          <w:bCs/>
          <w:sz w:val="21"/>
          <w:szCs w:val="21"/>
        </w:rPr>
        <w:t>.</w:t>
      </w:r>
      <w:r>
        <w:rPr>
          <w:rFonts w:ascii="黑体" w:hAnsi="黑体" w:eastAsia="黑体" w:cs="Arial"/>
          <w:bCs/>
          <w:sz w:val="21"/>
          <w:szCs w:val="21"/>
        </w:rPr>
        <w:t>本项目实际执行团队成员</w:t>
      </w:r>
      <w:r>
        <w:rPr>
          <w:rFonts w:hint="eastAsia" w:ascii="黑体" w:hAnsi="黑体" w:eastAsia="黑体" w:cs="Arial"/>
          <w:bCs/>
          <w:sz w:val="21"/>
          <w:szCs w:val="21"/>
        </w:rPr>
        <w:t>需</w:t>
      </w:r>
      <w:r>
        <w:rPr>
          <w:rFonts w:ascii="黑体" w:hAnsi="黑体" w:eastAsia="黑体" w:cs="Arial"/>
          <w:bCs/>
          <w:sz w:val="21"/>
          <w:szCs w:val="21"/>
        </w:rPr>
        <w:t>为</w:t>
      </w:r>
      <w:r>
        <w:rPr>
          <w:rFonts w:hint="eastAsia" w:ascii="黑体" w:hAnsi="黑体" w:eastAsia="黑体" w:cs="Arial"/>
          <w:bCs/>
          <w:sz w:val="21"/>
          <w:szCs w:val="21"/>
        </w:rPr>
        <w:t>响应文件中</w:t>
      </w:r>
      <w:r>
        <w:rPr>
          <w:rFonts w:ascii="黑体" w:hAnsi="黑体" w:eastAsia="黑体" w:cs="Arial"/>
          <w:bCs/>
          <w:sz w:val="21"/>
          <w:szCs w:val="21"/>
        </w:rPr>
        <w:t>所列明的人员，如</w:t>
      </w:r>
      <w:r>
        <w:rPr>
          <w:rFonts w:hint="eastAsia" w:ascii="黑体" w:hAnsi="黑体" w:eastAsia="黑体" w:cs="Arial"/>
          <w:bCs/>
          <w:sz w:val="21"/>
          <w:szCs w:val="21"/>
        </w:rPr>
        <w:t>需</w:t>
      </w:r>
      <w:r>
        <w:rPr>
          <w:rFonts w:ascii="黑体" w:hAnsi="黑体" w:eastAsia="黑体" w:cs="Arial"/>
          <w:bCs/>
          <w:sz w:val="21"/>
          <w:szCs w:val="21"/>
        </w:rPr>
        <w:t>更换，</w:t>
      </w:r>
      <w:r>
        <w:rPr>
          <w:rFonts w:hint="eastAsia" w:ascii="黑体" w:hAnsi="黑体" w:eastAsia="黑体" w:cs="Arial"/>
          <w:bCs/>
          <w:sz w:val="21"/>
          <w:szCs w:val="21"/>
        </w:rPr>
        <w:t>需经采购人同意，否则</w:t>
      </w:r>
      <w:r>
        <w:rPr>
          <w:rFonts w:ascii="黑体" w:hAnsi="黑体" w:eastAsia="黑体" w:cs="Arial"/>
          <w:bCs/>
          <w:sz w:val="21"/>
          <w:szCs w:val="21"/>
        </w:rPr>
        <w:t>采购人有权解除合同，并保留责任追究的权利。</w:t>
      </w:r>
    </w:p>
    <w:p w14:paraId="13887887">
      <w:pPr>
        <w:pStyle w:val="20"/>
        <w:spacing w:line="360" w:lineRule="auto"/>
        <w:ind w:firstLine="420" w:firstLineChars="200"/>
        <w:rPr>
          <w:rFonts w:hint="eastAsia" w:ascii="黑体" w:hAnsi="黑体" w:eastAsia="黑体" w:cs="Arial"/>
          <w:b/>
          <w:sz w:val="21"/>
          <w:szCs w:val="21"/>
        </w:rPr>
      </w:pPr>
      <w:r>
        <w:rPr>
          <w:rFonts w:hint="eastAsia" w:ascii="黑体" w:hAnsi="黑体" w:eastAsia="黑体" w:cs="Arial"/>
          <w:bCs/>
          <w:sz w:val="21"/>
          <w:szCs w:val="21"/>
        </w:rPr>
        <w:t>2.</w:t>
      </w:r>
      <w:r>
        <w:rPr>
          <w:rFonts w:ascii="黑体" w:hAnsi="黑体" w:eastAsia="黑体" w:cs="Arial"/>
          <w:bCs/>
          <w:sz w:val="21"/>
          <w:szCs w:val="21"/>
        </w:rPr>
        <w:t>供应商提供的检测仪器设备、屈光检测方法、结果记录</w:t>
      </w:r>
      <w:r>
        <w:rPr>
          <w:rFonts w:hint="eastAsia" w:ascii="黑体" w:hAnsi="黑体" w:eastAsia="黑体" w:cs="Arial"/>
          <w:bCs/>
          <w:sz w:val="21"/>
          <w:szCs w:val="21"/>
        </w:rPr>
        <w:t>及筛查性诊断屈光异常标准</w:t>
      </w:r>
      <w:r>
        <w:rPr>
          <w:rFonts w:ascii="黑体" w:hAnsi="黑体" w:eastAsia="黑体" w:cs="Arial"/>
          <w:bCs/>
          <w:sz w:val="21"/>
          <w:szCs w:val="21"/>
        </w:rPr>
        <w:t>等须按照《</w:t>
      </w:r>
      <w:r>
        <w:rPr>
          <w:rFonts w:hint="eastAsia" w:ascii="黑体" w:hAnsi="黑体" w:eastAsia="黑体" w:cs="Arial"/>
          <w:bCs/>
          <w:sz w:val="21"/>
          <w:szCs w:val="21"/>
        </w:rPr>
        <w:t>0-6岁儿童眼保健及视力检查服务规范（试行）</w:t>
      </w:r>
      <w:r>
        <w:rPr>
          <w:rFonts w:ascii="黑体" w:hAnsi="黑体" w:eastAsia="黑体" w:cs="Arial"/>
          <w:bCs/>
          <w:sz w:val="21"/>
          <w:szCs w:val="21"/>
        </w:rPr>
        <w:t>》（</w:t>
      </w:r>
      <w:r>
        <w:rPr>
          <w:rFonts w:hint="eastAsia" w:ascii="黑体" w:hAnsi="黑体" w:eastAsia="黑体" w:cs="Arial"/>
          <w:bCs/>
          <w:sz w:val="21"/>
          <w:szCs w:val="21"/>
        </w:rPr>
        <w:t>国卫办妇幼发</w:t>
      </w:r>
      <w:r>
        <w:rPr>
          <w:rFonts w:ascii="黑体" w:hAnsi="黑体" w:eastAsia="黑体" w:cs="Arial"/>
          <w:bCs/>
          <w:sz w:val="21"/>
          <w:szCs w:val="21"/>
        </w:rPr>
        <w:t>〔</w:t>
      </w:r>
      <w:r>
        <w:rPr>
          <w:rFonts w:hint="eastAsia" w:ascii="黑体" w:hAnsi="黑体" w:eastAsia="黑体" w:cs="Arial"/>
          <w:bCs/>
          <w:sz w:val="21"/>
          <w:szCs w:val="21"/>
        </w:rPr>
        <w:t>2021</w:t>
      </w:r>
      <w:r>
        <w:rPr>
          <w:rFonts w:ascii="黑体" w:hAnsi="黑体" w:eastAsia="黑体" w:cs="Arial"/>
          <w:bCs/>
          <w:sz w:val="21"/>
          <w:szCs w:val="21"/>
        </w:rPr>
        <w:t>〕</w:t>
      </w:r>
      <w:r>
        <w:rPr>
          <w:rFonts w:hint="eastAsia" w:ascii="黑体" w:hAnsi="黑体" w:eastAsia="黑体" w:cs="Arial"/>
          <w:bCs/>
          <w:sz w:val="21"/>
          <w:szCs w:val="21"/>
        </w:rPr>
        <w:t>11号）执行</w:t>
      </w:r>
      <w:r>
        <w:rPr>
          <w:rFonts w:ascii="黑体" w:hAnsi="黑体" w:eastAsia="黑体" w:cs="Arial"/>
          <w:bCs/>
          <w:sz w:val="21"/>
          <w:szCs w:val="21"/>
        </w:rPr>
        <w:t>，做好测试技术规范、现场测试项目抽检、</w:t>
      </w:r>
      <w:r>
        <w:rPr>
          <w:rFonts w:hint="eastAsia" w:ascii="黑体" w:hAnsi="黑体" w:eastAsia="黑体" w:cs="Arial"/>
          <w:bCs/>
          <w:sz w:val="21"/>
          <w:szCs w:val="21"/>
        </w:rPr>
        <w:t>屈光异常诊断、</w:t>
      </w:r>
      <w:r>
        <w:rPr>
          <w:rFonts w:ascii="黑体" w:hAnsi="黑体" w:eastAsia="黑体" w:cs="Arial"/>
          <w:bCs/>
          <w:sz w:val="21"/>
          <w:szCs w:val="21"/>
        </w:rPr>
        <w:t>数据录入等各环节的质量控制工作</w:t>
      </w:r>
      <w:r>
        <w:rPr>
          <w:rFonts w:ascii="黑体" w:hAnsi="黑体" w:eastAsia="黑体" w:cs="Arial"/>
          <w:sz w:val="21"/>
          <w:szCs w:val="21"/>
        </w:rPr>
        <w:t>。</w:t>
      </w:r>
      <w:r>
        <w:rPr>
          <w:rFonts w:hint="eastAsia" w:ascii="黑体" w:hAnsi="黑体" w:eastAsia="黑体" w:cs="Arial"/>
          <w:sz w:val="21"/>
          <w:szCs w:val="21"/>
        </w:rPr>
        <w:t xml:space="preserve"> </w:t>
      </w:r>
    </w:p>
    <w:p w14:paraId="75849919">
      <w:pPr>
        <w:pStyle w:val="20"/>
        <w:spacing w:line="360" w:lineRule="auto"/>
        <w:ind w:firstLine="420" w:firstLineChars="200"/>
        <w:rPr>
          <w:rFonts w:hint="eastAsia" w:ascii="黑体" w:hAnsi="黑体" w:eastAsia="黑体" w:cs="Arial"/>
          <w:b/>
          <w:sz w:val="21"/>
          <w:szCs w:val="21"/>
        </w:rPr>
      </w:pPr>
      <w:r>
        <w:rPr>
          <w:rFonts w:hint="eastAsia" w:ascii="黑体" w:hAnsi="黑体" w:eastAsia="黑体" w:cs="Arial"/>
          <w:b/>
          <w:sz w:val="21"/>
          <w:szCs w:val="21"/>
        </w:rPr>
        <w:t>★</w:t>
      </w:r>
      <w:r>
        <w:rPr>
          <w:rFonts w:ascii="黑体" w:hAnsi="黑体" w:eastAsia="黑体" w:cs="Arial"/>
          <w:b/>
          <w:sz w:val="21"/>
          <w:szCs w:val="21"/>
        </w:rPr>
        <w:t>3</w:t>
      </w:r>
      <w:r>
        <w:rPr>
          <w:rFonts w:hint="eastAsia" w:ascii="黑体" w:hAnsi="黑体" w:eastAsia="黑体" w:cs="Arial"/>
          <w:b/>
          <w:sz w:val="21"/>
          <w:szCs w:val="21"/>
        </w:rPr>
        <w:t>.</w:t>
      </w:r>
      <w:r>
        <w:rPr>
          <w:rFonts w:ascii="黑体" w:hAnsi="黑体" w:eastAsia="黑体" w:cs="Arial"/>
          <w:b/>
          <w:sz w:val="21"/>
          <w:szCs w:val="21"/>
        </w:rPr>
        <w:t>如因不可抗力因素导致本次项目终止或取消计划，采购人无需支付任何费用。</w:t>
      </w:r>
    </w:p>
    <w:p w14:paraId="474A6546">
      <w:pPr>
        <w:pStyle w:val="20"/>
        <w:spacing w:line="360" w:lineRule="auto"/>
        <w:ind w:firstLine="420" w:firstLineChars="200"/>
        <w:rPr>
          <w:rFonts w:hint="eastAsia" w:ascii="黑体" w:hAnsi="黑体" w:eastAsia="黑体" w:cs="Arial"/>
          <w:bCs/>
          <w:sz w:val="21"/>
          <w:szCs w:val="21"/>
        </w:rPr>
      </w:pPr>
      <w:r>
        <w:rPr>
          <w:rFonts w:ascii="黑体" w:hAnsi="黑体" w:eastAsia="黑体" w:cs="Arial"/>
          <w:bCs/>
          <w:sz w:val="21"/>
          <w:szCs w:val="21"/>
        </w:rPr>
        <w:t>4</w:t>
      </w:r>
      <w:r>
        <w:rPr>
          <w:rFonts w:hint="eastAsia" w:ascii="黑体" w:hAnsi="黑体" w:eastAsia="黑体" w:cs="Arial"/>
          <w:bCs/>
          <w:sz w:val="21"/>
          <w:szCs w:val="21"/>
        </w:rPr>
        <w:t>.检测</w:t>
      </w:r>
      <w:r>
        <w:rPr>
          <w:rFonts w:ascii="黑体" w:hAnsi="黑体" w:eastAsia="黑体" w:cs="Arial"/>
          <w:bCs/>
          <w:sz w:val="21"/>
          <w:szCs w:val="21"/>
        </w:rPr>
        <w:t>结束后负责将检测数据录入采购人指定的系统中</w:t>
      </w:r>
      <w:r>
        <w:rPr>
          <w:rFonts w:hint="eastAsia" w:ascii="黑体" w:hAnsi="黑体" w:eastAsia="黑体" w:cs="Arial"/>
          <w:bCs/>
          <w:sz w:val="21"/>
          <w:szCs w:val="21"/>
        </w:rPr>
        <w:t>，确保客户信息保密，不泄露工作中接触到的任何隐私与秘密，遵守《医疗机构从业人员行为规范》。</w:t>
      </w:r>
    </w:p>
    <w:p w14:paraId="2B73055C">
      <w:pPr>
        <w:pStyle w:val="20"/>
        <w:spacing w:line="360" w:lineRule="auto"/>
        <w:ind w:firstLine="420" w:firstLineChars="200"/>
        <w:rPr>
          <w:rFonts w:hint="eastAsia" w:ascii="黑体" w:hAnsi="黑体" w:eastAsia="黑体" w:cs="Arial"/>
          <w:bCs/>
          <w:sz w:val="21"/>
          <w:szCs w:val="21"/>
        </w:rPr>
      </w:pPr>
      <w:r>
        <w:rPr>
          <w:rFonts w:hint="eastAsia" w:ascii="黑体" w:hAnsi="黑体" w:eastAsia="黑体" w:cs="Arial"/>
          <w:bCs/>
          <w:sz w:val="21"/>
          <w:szCs w:val="21"/>
        </w:rPr>
        <w:t>5.收费标准的调整:如当地相关部门规定的收费标准发生变动时，采购人将按相关部门的规定及时调整到位，并及时书面通知中标供应商，通知生效日前所有检查项目收费按原标准结算，通知生效日后所有的检查项目收费按新的标准结算。</w:t>
      </w:r>
    </w:p>
    <w:p w14:paraId="0411E55B"/>
    <w:p w14:paraId="595E8E1B">
      <w:pPr>
        <w:pStyle w:val="4"/>
        <w:spacing w:line="240" w:lineRule="auto"/>
        <w:ind w:firstLine="420" w:firstLineChars="200"/>
        <w:rPr>
          <w:rFonts w:hint="eastAsia" w:hAnsi="黑体"/>
          <w:sz w:val="21"/>
          <w:szCs w:val="21"/>
        </w:rPr>
      </w:pPr>
      <w:r>
        <w:rPr>
          <w:rFonts w:hint="eastAsia" w:hAnsi="黑体"/>
          <w:sz w:val="21"/>
          <w:szCs w:val="21"/>
        </w:rPr>
        <w:t>五、服务验收</w:t>
      </w:r>
    </w:p>
    <w:p w14:paraId="1B7E8C49">
      <w:pPr>
        <w:pStyle w:val="20"/>
        <w:snapToGrid w:val="0"/>
        <w:spacing w:line="360" w:lineRule="auto"/>
        <w:ind w:firstLine="420" w:firstLineChars="200"/>
        <w:rPr>
          <w:rFonts w:hint="eastAsia" w:ascii="黑体" w:hAnsi="黑体" w:eastAsia="黑体" w:cs="Arial"/>
          <w:b/>
          <w:bCs/>
          <w:sz w:val="21"/>
          <w:szCs w:val="21"/>
        </w:rPr>
      </w:pPr>
      <w:r>
        <w:rPr>
          <w:rFonts w:hint="eastAsia" w:ascii="黑体" w:hAnsi="黑体" w:eastAsia="黑体" w:cs="Arial"/>
          <w:bCs/>
          <w:sz w:val="21"/>
          <w:szCs w:val="21"/>
        </w:rPr>
        <w:t>检测结束</w:t>
      </w:r>
      <w:r>
        <w:rPr>
          <w:rFonts w:hint="eastAsia" w:ascii="黑体" w:hAnsi="黑体" w:eastAsia="黑体" w:cs="Arial"/>
          <w:bCs/>
          <w:sz w:val="21"/>
          <w:szCs w:val="21"/>
          <w:lang w:eastAsia="zh-CN"/>
        </w:rPr>
        <w:t>及时</w:t>
      </w:r>
      <w:r>
        <w:rPr>
          <w:rFonts w:hint="eastAsia" w:ascii="黑体" w:hAnsi="黑体" w:eastAsia="黑体" w:cs="Arial"/>
          <w:bCs/>
          <w:sz w:val="21"/>
          <w:szCs w:val="21"/>
        </w:rPr>
        <w:t>出具检测结果；对异常检测结果，提出针对性对策建议。</w:t>
      </w:r>
    </w:p>
    <w:p w14:paraId="60D88444">
      <w:pPr>
        <w:pStyle w:val="4"/>
        <w:spacing w:line="240" w:lineRule="auto"/>
        <w:ind w:firstLine="420" w:firstLineChars="200"/>
        <w:rPr>
          <w:rFonts w:hint="eastAsia" w:hAnsi="黑体"/>
          <w:sz w:val="21"/>
          <w:szCs w:val="21"/>
        </w:rPr>
      </w:pPr>
      <w:r>
        <w:rPr>
          <w:rFonts w:hint="eastAsia" w:hAnsi="黑体"/>
          <w:sz w:val="21"/>
          <w:szCs w:val="21"/>
        </w:rPr>
        <w:t>六、报价要求</w:t>
      </w:r>
    </w:p>
    <w:p w14:paraId="6D5703EF">
      <w:pPr>
        <w:spacing w:line="360" w:lineRule="auto"/>
        <w:ind w:firstLine="424" w:firstLineChars="202"/>
        <w:rPr>
          <w:rFonts w:hint="eastAsia" w:ascii="黑体" w:hAnsi="黑体" w:eastAsia="黑体" w:cs="仿宋_GB2312"/>
          <w:szCs w:val="21"/>
        </w:rPr>
      </w:pPr>
      <w:r>
        <w:rPr>
          <w:rFonts w:hint="eastAsia" w:ascii="黑体" w:hAnsi="黑体" w:eastAsia="黑体" w:cs="仿宋_GB2312"/>
          <w:szCs w:val="21"/>
        </w:rPr>
        <w:t>1.报价应包含完成本服务项目发生的所有含税费用、支付给员工的工资和国家强制缴纳的各种社会保障资金以及供应商为完成相关服务所承担的全部费用（包括、利润、税金、政策性文件规定及合同包含内的所有风险、责任等各项应有费用）。</w:t>
      </w:r>
    </w:p>
    <w:p w14:paraId="348F1052">
      <w:pPr>
        <w:spacing w:line="360" w:lineRule="auto"/>
        <w:ind w:firstLine="424" w:firstLineChars="202"/>
        <w:rPr>
          <w:rFonts w:hint="eastAsia" w:ascii="黑体" w:hAnsi="黑体" w:eastAsia="黑体" w:cs="Arial"/>
          <w:bCs/>
          <w:szCs w:val="21"/>
        </w:rPr>
      </w:pPr>
      <w:r>
        <w:rPr>
          <w:rFonts w:hint="eastAsia" w:ascii="黑体" w:hAnsi="黑体" w:eastAsia="黑体" w:cs="Arial"/>
          <w:bCs/>
          <w:szCs w:val="21"/>
        </w:rPr>
        <w:t>2.</w:t>
      </w:r>
      <w:r>
        <w:rPr>
          <w:rFonts w:ascii="黑体" w:hAnsi="黑体" w:eastAsia="黑体" w:cs="Arial"/>
          <w:bCs/>
          <w:szCs w:val="21"/>
        </w:rPr>
        <w:t>供应商的任何错漏、优惠、竞争性的报价不得作为减轻责任、减少服务、增加收费、降低质量的理由，采购人对本项目不再另行支付其他任何费用。</w:t>
      </w:r>
    </w:p>
    <w:p w14:paraId="2DF06DEC">
      <w:pPr>
        <w:pStyle w:val="2"/>
        <w:ind w:left="0" w:firstLine="420" w:firstLineChars="200"/>
      </w:pPr>
      <w:r>
        <w:rPr>
          <w:rFonts w:hint="eastAsia" w:ascii="黑体" w:hAnsi="黑体" w:eastAsia="黑体" w:cs="Arial"/>
          <w:bCs/>
          <w:szCs w:val="21"/>
        </w:rPr>
        <w:t>3.</w:t>
      </w:r>
      <w:r>
        <w:rPr>
          <w:rFonts w:ascii="黑体" w:hAnsi="黑体" w:eastAsia="黑体" w:cs="Arial"/>
          <w:bCs/>
          <w:szCs w:val="21"/>
        </w:rPr>
        <w:t>本项目报价为单价报价方式，</w:t>
      </w:r>
      <w:r>
        <w:rPr>
          <w:rFonts w:hint="eastAsia" w:ascii="黑体" w:hAnsi="黑体" w:eastAsia="黑体" w:cs="Arial"/>
          <w:bCs/>
          <w:szCs w:val="21"/>
        </w:rPr>
        <w:t>最终按实际工作量结算，结算费用不超过20万</w:t>
      </w:r>
      <w:r>
        <w:rPr>
          <w:rFonts w:hint="eastAsia" w:ascii="宋体" w:hAnsi="宋体"/>
          <w:bCs/>
        </w:rPr>
        <w:t>元。</w:t>
      </w:r>
    </w:p>
    <w:p w14:paraId="0BB7534B">
      <w:pPr>
        <w:spacing w:line="360" w:lineRule="auto"/>
        <w:ind w:firstLine="646" w:firstLineChars="202"/>
        <w:rPr>
          <w:rFonts w:hint="eastAsia" w:ascii="黑体" w:hAnsi="黑体" w:eastAsia="黑体" w:cs="Arial"/>
          <w:b/>
          <w:sz w:val="32"/>
          <w:szCs w:val="32"/>
        </w:rPr>
      </w:pPr>
      <w:r>
        <w:rPr>
          <w:rFonts w:hint="eastAsia" w:ascii="黑体" w:hAnsi="黑体" w:eastAsia="黑体" w:cs="Arial"/>
          <w:b/>
          <w:sz w:val="32"/>
          <w:szCs w:val="32"/>
        </w:rPr>
        <w:t>注：磋商文件中标注“★”的为实质性要求，不满足作无效投标处理。</w:t>
      </w:r>
    </w:p>
    <w:p w14:paraId="6B990B9E">
      <w:pPr>
        <w:pStyle w:val="4"/>
        <w:spacing w:line="240" w:lineRule="auto"/>
        <w:ind w:firstLine="420" w:firstLineChars="200"/>
        <w:rPr>
          <w:rFonts w:hint="eastAsia" w:hAnsi="黑体"/>
          <w:sz w:val="21"/>
          <w:szCs w:val="21"/>
        </w:rPr>
      </w:pPr>
      <w:r>
        <w:rPr>
          <w:rFonts w:hint="eastAsia" w:hAnsi="黑体"/>
          <w:sz w:val="21"/>
          <w:szCs w:val="21"/>
        </w:rPr>
        <w:t>七</w:t>
      </w:r>
      <w:r>
        <w:rPr>
          <w:rFonts w:hAnsi="黑体"/>
          <w:sz w:val="21"/>
          <w:szCs w:val="21"/>
        </w:rPr>
        <w:t>、支付方式</w:t>
      </w:r>
    </w:p>
    <w:p w14:paraId="4A57FA78">
      <w:pPr>
        <w:pStyle w:val="61"/>
        <w:ind w:firstLine="420"/>
        <w:rPr>
          <w:rFonts w:hint="eastAsia" w:ascii="黑体" w:hAnsi="黑体" w:eastAsia="黑体" w:cs="仿宋_GB2312"/>
          <w:b w:val="0"/>
          <w:bCs w:val="0"/>
          <w:snapToGrid/>
          <w:sz w:val="21"/>
          <w:szCs w:val="21"/>
        </w:rPr>
      </w:pPr>
      <w:bookmarkStart w:id="268" w:name="_Toc507142121"/>
      <w:r>
        <w:rPr>
          <w:rFonts w:hint="eastAsia" w:ascii="黑体" w:hAnsi="黑体" w:eastAsia="黑体" w:cs="仿宋_GB2312"/>
          <w:b w:val="0"/>
          <w:bCs w:val="0"/>
          <w:snapToGrid/>
          <w:sz w:val="21"/>
          <w:szCs w:val="21"/>
        </w:rPr>
        <w:t>本项目签订单价</w:t>
      </w:r>
      <w:r>
        <w:rPr>
          <w:rFonts w:ascii="黑体" w:hAnsi="黑体" w:eastAsia="黑体" w:cs="仿宋_GB2312"/>
          <w:b w:val="0"/>
          <w:bCs w:val="0"/>
          <w:snapToGrid/>
          <w:sz w:val="21"/>
          <w:szCs w:val="21"/>
        </w:rPr>
        <w:t>合同</w:t>
      </w:r>
      <w:r>
        <w:rPr>
          <w:rFonts w:hint="eastAsia" w:ascii="黑体" w:hAnsi="黑体" w:eastAsia="黑体" w:cs="仿宋_GB2312"/>
          <w:b w:val="0"/>
          <w:bCs w:val="0"/>
          <w:snapToGrid/>
          <w:sz w:val="21"/>
          <w:szCs w:val="21"/>
        </w:rPr>
        <w:t>，付款周期为三个月，成交单位应上报每3个月实际完成工作量，经采购人核对无误后，按成交单价结算。最终结算总费用不得超过20万元。</w:t>
      </w:r>
    </w:p>
    <w:p w14:paraId="55BBD8BD">
      <w:pPr>
        <w:pStyle w:val="3"/>
        <w:rPr>
          <w:rFonts w:hint="eastAsia"/>
        </w:rPr>
      </w:pPr>
      <w:r>
        <w:rPr>
          <w:rFonts w:hint="eastAsia"/>
          <w:snapToGrid/>
        </w:rPr>
        <w:br w:type="page"/>
      </w:r>
      <w:bookmarkStart w:id="269" w:name="_Toc22094"/>
      <w:bookmarkStart w:id="270" w:name="_Toc5009"/>
      <w:r>
        <w:rPr>
          <w:rFonts w:hint="eastAsia"/>
        </w:rPr>
        <w:t>六、采购合同书（参考格式文本）</w:t>
      </w:r>
      <w:bookmarkEnd w:id="268"/>
      <w:bookmarkEnd w:id="269"/>
      <w:bookmarkEnd w:id="270"/>
    </w:p>
    <w:p w14:paraId="136BF6F0">
      <w:pPr>
        <w:widowControl/>
        <w:shd w:val="clear" w:color="auto" w:fill="FFFFFF"/>
        <w:spacing w:line="440" w:lineRule="exact"/>
        <w:jc w:val="center"/>
        <w:rPr>
          <w:rFonts w:hint="eastAsia" w:ascii="黑体" w:hAnsi="黑体" w:eastAsia="黑体"/>
          <w:kern w:val="0"/>
          <w:sz w:val="44"/>
          <w:szCs w:val="44"/>
        </w:rPr>
      </w:pPr>
      <w:r>
        <w:rPr>
          <w:rFonts w:hint="eastAsia" w:ascii="黑体" w:hAnsi="黑体" w:eastAsia="黑体"/>
          <w:kern w:val="0"/>
          <w:sz w:val="44"/>
          <w:szCs w:val="44"/>
        </w:rPr>
        <w:t>南京市政府采购合同</w:t>
      </w:r>
    </w:p>
    <w:p w14:paraId="2FED1A59">
      <w:pPr>
        <w:widowControl/>
        <w:shd w:val="clear" w:color="auto" w:fill="FFFFFF"/>
        <w:spacing w:line="440" w:lineRule="exact"/>
        <w:ind w:firstLine="315"/>
        <w:rPr>
          <w:rFonts w:hint="eastAsia" w:ascii="黑体" w:hAnsi="黑体" w:eastAsia="黑体"/>
          <w:kern w:val="0"/>
        </w:rPr>
      </w:pPr>
    </w:p>
    <w:p w14:paraId="361894E9">
      <w:pPr>
        <w:widowControl/>
        <w:shd w:val="clear" w:color="auto" w:fill="FFFFFF"/>
        <w:spacing w:line="440" w:lineRule="exact"/>
        <w:ind w:firstLine="315"/>
        <w:rPr>
          <w:rFonts w:hint="eastAsia" w:ascii="黑体" w:hAnsi="黑体" w:eastAsia="黑体"/>
          <w:kern w:val="0"/>
        </w:rPr>
      </w:pPr>
    </w:p>
    <w:p w14:paraId="68157A8B">
      <w:pPr>
        <w:widowControl/>
        <w:shd w:val="clear" w:color="auto" w:fill="FFFFFF"/>
        <w:spacing w:line="440" w:lineRule="exact"/>
        <w:ind w:firstLine="315"/>
        <w:rPr>
          <w:rFonts w:hint="eastAsia" w:ascii="黑体" w:hAnsi="黑体" w:eastAsia="黑体"/>
          <w:kern w:val="0"/>
        </w:rPr>
      </w:pPr>
    </w:p>
    <w:p w14:paraId="1B0B26C7">
      <w:pPr>
        <w:widowControl/>
        <w:shd w:val="clear" w:color="auto" w:fill="FFFFFF"/>
        <w:spacing w:line="440" w:lineRule="exact"/>
        <w:ind w:firstLine="315"/>
        <w:rPr>
          <w:rFonts w:hint="eastAsia" w:ascii="黑体" w:hAnsi="黑体" w:eastAsia="黑体"/>
          <w:b/>
          <w:bCs/>
          <w:kern w:val="0"/>
          <w:sz w:val="36"/>
          <w:szCs w:val="36"/>
        </w:rPr>
      </w:pPr>
    </w:p>
    <w:p w14:paraId="15DB5293">
      <w:pPr>
        <w:widowControl/>
        <w:shd w:val="clear" w:color="auto" w:fill="FFFFFF"/>
        <w:spacing w:line="440" w:lineRule="exact"/>
        <w:ind w:firstLine="315"/>
        <w:rPr>
          <w:rFonts w:hint="eastAsia" w:ascii="黑体" w:hAnsi="黑体" w:eastAsia="黑体"/>
          <w:kern w:val="0"/>
          <w:sz w:val="32"/>
          <w:szCs w:val="32"/>
        </w:rPr>
      </w:pPr>
    </w:p>
    <w:p w14:paraId="19FB804F">
      <w:pPr>
        <w:widowControl/>
        <w:shd w:val="clear" w:color="auto" w:fill="FFFFFF"/>
        <w:spacing w:line="440" w:lineRule="exact"/>
        <w:rPr>
          <w:rFonts w:hint="eastAsia" w:ascii="黑体" w:hAnsi="黑体" w:eastAsia="黑体"/>
          <w:kern w:val="0"/>
          <w:sz w:val="32"/>
          <w:szCs w:val="32"/>
        </w:rPr>
      </w:pPr>
    </w:p>
    <w:p w14:paraId="6076254C">
      <w:pPr>
        <w:widowControl/>
        <w:shd w:val="clear" w:color="auto" w:fill="FFFFFF"/>
        <w:spacing w:line="440" w:lineRule="exact"/>
        <w:ind w:firstLine="1918"/>
        <w:rPr>
          <w:rFonts w:hint="eastAsia" w:ascii="黑体" w:hAnsi="黑体" w:eastAsia="黑体"/>
          <w:kern w:val="0"/>
          <w:sz w:val="32"/>
          <w:szCs w:val="32"/>
        </w:rPr>
      </w:pPr>
      <w:r>
        <w:rPr>
          <w:rFonts w:hint="eastAsia" w:ascii="黑体" w:hAnsi="黑体" w:eastAsia="黑体"/>
          <w:b/>
          <w:bCs/>
          <w:kern w:val="0"/>
          <w:sz w:val="32"/>
          <w:szCs w:val="32"/>
        </w:rPr>
        <w:t>合同编号：</w:t>
      </w:r>
    </w:p>
    <w:p w14:paraId="2F81C334">
      <w:pPr>
        <w:widowControl/>
        <w:shd w:val="clear" w:color="auto" w:fill="FFFFFF"/>
        <w:spacing w:line="440" w:lineRule="exact"/>
        <w:ind w:firstLine="1918"/>
        <w:rPr>
          <w:rFonts w:hint="eastAsia" w:ascii="黑体" w:hAnsi="黑体" w:eastAsia="黑体"/>
          <w:kern w:val="0"/>
          <w:sz w:val="32"/>
          <w:szCs w:val="32"/>
        </w:rPr>
      </w:pPr>
      <w:r>
        <w:rPr>
          <w:rFonts w:hint="eastAsia" w:ascii="黑体" w:hAnsi="黑体" w:eastAsia="黑体"/>
          <w:b/>
          <w:bCs/>
          <w:kern w:val="0"/>
          <w:sz w:val="32"/>
          <w:szCs w:val="32"/>
        </w:rPr>
        <w:t>项目名称：</w:t>
      </w:r>
    </w:p>
    <w:p w14:paraId="202A7FA1">
      <w:pPr>
        <w:widowControl/>
        <w:shd w:val="clear" w:color="auto" w:fill="FFFFFF"/>
        <w:spacing w:line="440" w:lineRule="exact"/>
        <w:ind w:firstLine="1918"/>
        <w:rPr>
          <w:rFonts w:hint="eastAsia" w:ascii="黑体" w:hAnsi="黑体" w:eastAsia="黑体"/>
          <w:kern w:val="0"/>
          <w:sz w:val="32"/>
          <w:szCs w:val="32"/>
        </w:rPr>
      </w:pPr>
      <w:r>
        <w:rPr>
          <w:rFonts w:hint="eastAsia" w:ascii="黑体" w:hAnsi="黑体" w:eastAsia="黑体"/>
          <w:b/>
          <w:bCs/>
          <w:kern w:val="0"/>
          <w:sz w:val="32"/>
          <w:szCs w:val="32"/>
        </w:rPr>
        <w:t>使用单位：</w:t>
      </w:r>
    </w:p>
    <w:p w14:paraId="196EFFE2">
      <w:pPr>
        <w:widowControl/>
        <w:shd w:val="clear" w:color="auto" w:fill="FFFFFF"/>
        <w:spacing w:line="440" w:lineRule="exact"/>
        <w:ind w:firstLine="1916"/>
        <w:rPr>
          <w:rFonts w:hint="eastAsia" w:ascii="黑体" w:hAnsi="黑体" w:eastAsia="黑体"/>
          <w:kern w:val="0"/>
          <w:sz w:val="32"/>
          <w:szCs w:val="32"/>
        </w:rPr>
      </w:pPr>
      <w:r>
        <w:rPr>
          <w:rFonts w:hint="eastAsia" w:ascii="黑体" w:hAnsi="黑体" w:eastAsia="黑体"/>
          <w:b/>
          <w:bCs/>
          <w:kern w:val="0"/>
          <w:sz w:val="32"/>
          <w:szCs w:val="32"/>
        </w:rPr>
        <w:t>供货单位：</w:t>
      </w:r>
    </w:p>
    <w:p w14:paraId="525B4403">
      <w:pPr>
        <w:widowControl/>
        <w:shd w:val="clear" w:color="auto" w:fill="FFFFFF"/>
        <w:spacing w:line="440" w:lineRule="exact"/>
        <w:ind w:firstLine="1916"/>
        <w:rPr>
          <w:rFonts w:hint="eastAsia" w:ascii="黑体" w:hAnsi="黑体" w:eastAsia="黑体"/>
          <w:kern w:val="0"/>
          <w:sz w:val="32"/>
          <w:szCs w:val="32"/>
        </w:rPr>
      </w:pPr>
      <w:r>
        <w:rPr>
          <w:rFonts w:hint="eastAsia" w:ascii="黑体" w:hAnsi="黑体" w:eastAsia="黑体"/>
          <w:b/>
          <w:bCs/>
          <w:kern w:val="0"/>
          <w:sz w:val="32"/>
          <w:szCs w:val="32"/>
        </w:rPr>
        <w:t>签订日期：</w:t>
      </w:r>
    </w:p>
    <w:p w14:paraId="124D08CD">
      <w:pPr>
        <w:widowControl/>
        <w:shd w:val="clear" w:color="auto" w:fill="FFFFFF"/>
        <w:spacing w:line="440" w:lineRule="exact"/>
        <w:rPr>
          <w:rFonts w:hint="eastAsia" w:ascii="黑体" w:hAnsi="黑体" w:eastAsia="黑体"/>
          <w:kern w:val="0"/>
          <w:sz w:val="32"/>
          <w:szCs w:val="32"/>
        </w:rPr>
      </w:pPr>
    </w:p>
    <w:p w14:paraId="30574E8E">
      <w:pPr>
        <w:widowControl/>
        <w:shd w:val="clear" w:color="auto" w:fill="FFFFFF"/>
        <w:spacing w:line="440" w:lineRule="exact"/>
        <w:ind w:firstLine="2984"/>
        <w:rPr>
          <w:rFonts w:hint="eastAsia" w:ascii="黑体" w:hAnsi="黑体" w:eastAsia="黑体"/>
          <w:kern w:val="0"/>
          <w:sz w:val="32"/>
          <w:szCs w:val="32"/>
        </w:rPr>
      </w:pPr>
    </w:p>
    <w:p w14:paraId="206D6C43">
      <w:pPr>
        <w:widowControl/>
        <w:shd w:val="clear" w:color="auto" w:fill="FFFFFF"/>
        <w:spacing w:line="440" w:lineRule="exact"/>
        <w:rPr>
          <w:rFonts w:hint="eastAsia" w:ascii="黑体" w:hAnsi="黑体" w:eastAsia="黑体"/>
          <w:kern w:val="0"/>
          <w:sz w:val="32"/>
          <w:szCs w:val="32"/>
        </w:rPr>
      </w:pPr>
    </w:p>
    <w:p w14:paraId="5D746F9F">
      <w:pPr>
        <w:pStyle w:val="2"/>
      </w:pPr>
    </w:p>
    <w:p w14:paraId="11AAF84D"/>
    <w:p w14:paraId="2BDED37F">
      <w:pPr>
        <w:pStyle w:val="2"/>
      </w:pPr>
    </w:p>
    <w:p w14:paraId="0D2D86F1"/>
    <w:p w14:paraId="2AB5531F">
      <w:pPr>
        <w:pStyle w:val="2"/>
      </w:pPr>
    </w:p>
    <w:p w14:paraId="58C654D6"/>
    <w:p w14:paraId="74AD2F49">
      <w:pPr>
        <w:pStyle w:val="2"/>
      </w:pPr>
    </w:p>
    <w:p w14:paraId="065062C1"/>
    <w:p w14:paraId="0F9E66B3">
      <w:pPr>
        <w:pStyle w:val="2"/>
      </w:pPr>
    </w:p>
    <w:p w14:paraId="2456D2AF"/>
    <w:p w14:paraId="12EE2D59">
      <w:pPr>
        <w:pStyle w:val="2"/>
      </w:pPr>
    </w:p>
    <w:p w14:paraId="20DF158B">
      <w:pPr>
        <w:widowControl/>
        <w:shd w:val="clear" w:color="auto" w:fill="FFFFFF"/>
        <w:spacing w:line="440" w:lineRule="exact"/>
        <w:jc w:val="center"/>
        <w:rPr>
          <w:rFonts w:hint="eastAsia" w:ascii="黑体" w:hAnsi="黑体" w:eastAsia="黑体"/>
          <w:kern w:val="0"/>
          <w:sz w:val="32"/>
          <w:szCs w:val="32"/>
        </w:rPr>
      </w:pPr>
      <w:r>
        <w:rPr>
          <w:rFonts w:hint="eastAsia" w:ascii="黑体" w:hAnsi="黑体" w:eastAsia="黑体"/>
          <w:b/>
          <w:bCs/>
          <w:kern w:val="0"/>
          <w:sz w:val="32"/>
          <w:szCs w:val="32"/>
        </w:rPr>
        <w:t>南京市工商行政管理局</w:t>
      </w:r>
    </w:p>
    <w:p w14:paraId="294A28C0">
      <w:pPr>
        <w:widowControl/>
        <w:shd w:val="clear" w:color="auto" w:fill="FFFFFF"/>
        <w:spacing w:line="440" w:lineRule="exact"/>
        <w:jc w:val="center"/>
        <w:rPr>
          <w:rFonts w:hint="eastAsia" w:ascii="黑体" w:hAnsi="黑体" w:eastAsia="黑体"/>
          <w:kern w:val="0"/>
          <w:sz w:val="32"/>
          <w:szCs w:val="32"/>
        </w:rPr>
      </w:pPr>
      <w:r>
        <w:rPr>
          <w:rFonts w:hint="eastAsia" w:ascii="黑体" w:hAnsi="黑体" w:eastAsia="黑体"/>
          <w:b/>
          <w:bCs/>
          <w:kern w:val="0"/>
          <w:sz w:val="32"/>
          <w:szCs w:val="32"/>
        </w:rPr>
        <w:t>南京市财政局监制</w:t>
      </w:r>
    </w:p>
    <w:p w14:paraId="2767E6AC">
      <w:pPr>
        <w:widowControl/>
        <w:shd w:val="clear" w:color="auto" w:fill="FFFFFF"/>
        <w:spacing w:line="440" w:lineRule="exact"/>
        <w:rPr>
          <w:rFonts w:hint="eastAsia" w:ascii="黑体" w:hAnsi="黑体" w:eastAsia="黑体" w:cs="宋体"/>
          <w:szCs w:val="21"/>
        </w:rPr>
      </w:pPr>
      <w:r>
        <w:rPr>
          <w:rFonts w:ascii="黑体" w:hAnsi="黑体" w:eastAsia="黑体"/>
          <w:kern w:val="0"/>
          <w:sz w:val="24"/>
          <w:szCs w:val="24"/>
        </w:rPr>
        <w:br w:type="page"/>
      </w:r>
    </w:p>
    <w:tbl>
      <w:tblPr>
        <w:tblStyle w:val="24"/>
        <w:tblpPr w:leftFromText="180" w:rightFromText="180" w:horzAnchor="margin" w:tblpY="426"/>
        <w:tblW w:w="0" w:type="auto"/>
        <w:tblInd w:w="0" w:type="dxa"/>
        <w:tblLayout w:type="autofit"/>
        <w:tblCellMar>
          <w:top w:w="0" w:type="dxa"/>
          <w:left w:w="108" w:type="dxa"/>
          <w:bottom w:w="0" w:type="dxa"/>
          <w:right w:w="108" w:type="dxa"/>
        </w:tblCellMar>
      </w:tblPr>
      <w:tblGrid>
        <w:gridCol w:w="4263"/>
        <w:gridCol w:w="4263"/>
      </w:tblGrid>
      <w:tr w14:paraId="0926ED49">
        <w:tblPrEx>
          <w:tblCellMar>
            <w:top w:w="0" w:type="dxa"/>
            <w:left w:w="108" w:type="dxa"/>
            <w:bottom w:w="0" w:type="dxa"/>
            <w:right w:w="108" w:type="dxa"/>
          </w:tblCellMar>
        </w:tblPrEx>
        <w:tc>
          <w:tcPr>
            <w:tcW w:w="4263" w:type="dxa"/>
          </w:tcPr>
          <w:p w14:paraId="58091C57">
            <w:pPr>
              <w:spacing w:line="360" w:lineRule="auto"/>
              <w:rPr>
                <w:rFonts w:hint="eastAsia" w:ascii="黑体" w:hAnsi="黑体" w:eastAsia="黑体"/>
                <w:sz w:val="24"/>
              </w:rPr>
            </w:pPr>
            <w:r>
              <w:rPr>
                <w:rFonts w:ascii="黑体" w:hAnsi="黑体" w:eastAsia="黑体"/>
                <w:sz w:val="24"/>
              </w:rPr>
              <w:t>采购人（以下称甲方）</w:t>
            </w:r>
          </w:p>
        </w:tc>
        <w:tc>
          <w:tcPr>
            <w:tcW w:w="4263" w:type="dxa"/>
          </w:tcPr>
          <w:p w14:paraId="709116DC">
            <w:pPr>
              <w:spacing w:line="360" w:lineRule="auto"/>
              <w:rPr>
                <w:rFonts w:hint="eastAsia" w:ascii="黑体" w:hAnsi="黑体" w:eastAsia="黑体"/>
                <w:sz w:val="24"/>
              </w:rPr>
            </w:pPr>
            <w:r>
              <w:rPr>
                <w:rFonts w:ascii="黑体" w:hAnsi="黑体" w:eastAsia="黑体"/>
                <w:sz w:val="24"/>
              </w:rPr>
              <w:t>供应商：（以下称乙方）</w:t>
            </w:r>
          </w:p>
        </w:tc>
      </w:tr>
      <w:tr w14:paraId="39B27C31">
        <w:tblPrEx>
          <w:tblCellMar>
            <w:top w:w="0" w:type="dxa"/>
            <w:left w:w="108" w:type="dxa"/>
            <w:bottom w:w="0" w:type="dxa"/>
            <w:right w:w="108" w:type="dxa"/>
          </w:tblCellMar>
        </w:tblPrEx>
        <w:tc>
          <w:tcPr>
            <w:tcW w:w="4263" w:type="dxa"/>
          </w:tcPr>
          <w:p w14:paraId="3569CAA2">
            <w:pPr>
              <w:spacing w:line="360" w:lineRule="auto"/>
              <w:rPr>
                <w:rFonts w:hint="eastAsia" w:ascii="黑体" w:hAnsi="黑体" w:eastAsia="黑体"/>
                <w:sz w:val="24"/>
              </w:rPr>
            </w:pPr>
            <w:r>
              <w:rPr>
                <w:rFonts w:ascii="黑体" w:hAnsi="黑体" w:eastAsia="黑体"/>
                <w:sz w:val="24"/>
              </w:rPr>
              <w:t>住所地：</w:t>
            </w:r>
          </w:p>
        </w:tc>
        <w:tc>
          <w:tcPr>
            <w:tcW w:w="4263" w:type="dxa"/>
          </w:tcPr>
          <w:p w14:paraId="368F7CC6">
            <w:pPr>
              <w:spacing w:line="360" w:lineRule="auto"/>
              <w:rPr>
                <w:rFonts w:hint="eastAsia" w:ascii="黑体" w:hAnsi="黑体" w:eastAsia="黑体"/>
                <w:sz w:val="24"/>
              </w:rPr>
            </w:pPr>
            <w:r>
              <w:rPr>
                <w:rFonts w:ascii="黑体" w:hAnsi="黑体" w:eastAsia="黑体"/>
                <w:sz w:val="24"/>
              </w:rPr>
              <w:t>住所地：</w:t>
            </w:r>
          </w:p>
        </w:tc>
      </w:tr>
    </w:tbl>
    <w:p w14:paraId="0F53297D">
      <w:pPr>
        <w:rPr>
          <w:rFonts w:hint="eastAsia" w:ascii="黑体" w:hAnsi="黑体" w:eastAsia="黑体"/>
        </w:rPr>
      </w:pPr>
    </w:p>
    <w:p w14:paraId="046B510B">
      <w:pPr>
        <w:autoSpaceDE w:val="0"/>
        <w:autoSpaceDN w:val="0"/>
        <w:adjustRightInd w:val="0"/>
        <w:spacing w:line="360" w:lineRule="auto"/>
        <w:ind w:firstLine="480" w:firstLineChars="200"/>
        <w:rPr>
          <w:rFonts w:hint="eastAsia" w:ascii="黑体" w:hAnsi="黑体" w:eastAsia="黑体"/>
          <w:sz w:val="24"/>
        </w:rPr>
      </w:pPr>
      <w:r>
        <w:rPr>
          <w:rFonts w:hint="eastAsia" w:ascii="黑体" w:hAnsi="黑体" w:eastAsia="黑体"/>
          <w:sz w:val="24"/>
          <w:lang w:val="zh-CN"/>
        </w:rPr>
        <w:t>根据《中华人民共和国政府采购法》《中华人民共和国民法典》等法律法规的规定，甲乙双方按照</w:t>
      </w:r>
      <w:r>
        <w:rPr>
          <w:rFonts w:hint="eastAsia" w:ascii="黑体" w:hAnsi="黑体" w:eastAsia="黑体"/>
          <w:sz w:val="24"/>
        </w:rPr>
        <w:t>代理公司</w:t>
      </w:r>
      <w:r>
        <w:rPr>
          <w:rFonts w:hint="eastAsia" w:ascii="黑体" w:hAnsi="黑体" w:eastAsia="黑体"/>
          <w:sz w:val="24"/>
          <w:lang w:val="zh-CN"/>
        </w:rPr>
        <w:t>的招标结果签订本合同。</w:t>
      </w:r>
    </w:p>
    <w:p w14:paraId="2410C20E">
      <w:pPr>
        <w:autoSpaceDE w:val="0"/>
        <w:autoSpaceDN w:val="0"/>
        <w:adjustRightInd w:val="0"/>
        <w:spacing w:line="360" w:lineRule="auto"/>
        <w:ind w:firstLine="420"/>
        <w:rPr>
          <w:rFonts w:hint="eastAsia" w:ascii="黑体" w:hAnsi="黑体" w:eastAsia="黑体"/>
          <w:b/>
          <w:bCs/>
          <w:sz w:val="24"/>
          <w:lang w:val="zh-CN"/>
        </w:rPr>
      </w:pPr>
      <w:r>
        <w:rPr>
          <w:rFonts w:hint="eastAsia" w:ascii="黑体" w:hAnsi="黑体" w:eastAsia="黑体"/>
          <w:b/>
          <w:bCs/>
          <w:sz w:val="24"/>
          <w:lang w:val="zh-CN"/>
        </w:rPr>
        <w:t>第一条合同标的</w:t>
      </w:r>
    </w:p>
    <w:p w14:paraId="31F14943">
      <w:pPr>
        <w:autoSpaceDE w:val="0"/>
        <w:autoSpaceDN w:val="0"/>
        <w:adjustRightInd w:val="0"/>
        <w:spacing w:line="360" w:lineRule="auto"/>
        <w:ind w:firstLine="420"/>
        <w:rPr>
          <w:rFonts w:hint="eastAsia" w:ascii="黑体" w:hAnsi="黑体" w:eastAsia="黑体"/>
          <w:sz w:val="24"/>
          <w:lang w:val="zh-CN"/>
        </w:rPr>
      </w:pPr>
      <w:r>
        <w:rPr>
          <w:rFonts w:hint="eastAsia" w:ascii="黑体" w:hAnsi="黑体" w:eastAsia="黑体"/>
          <w:sz w:val="24"/>
        </w:rPr>
        <w:t>1.</w:t>
      </w:r>
      <w:r>
        <w:rPr>
          <w:rFonts w:hint="eastAsia" w:ascii="黑体" w:hAnsi="黑体" w:eastAsia="黑体"/>
          <w:sz w:val="24"/>
          <w:lang w:val="zh-CN"/>
        </w:rPr>
        <w:t>乙方根据甲方需求提供下列服务：</w:t>
      </w:r>
      <w:r>
        <w:rPr>
          <w:rFonts w:hint="eastAsia" w:ascii="黑体" w:hAnsi="黑体" w:eastAsia="黑体"/>
          <w:sz w:val="24"/>
          <w:u w:val="single"/>
        </w:rPr>
        <w:t xml:space="preserve">                 </w:t>
      </w:r>
      <w:r>
        <w:rPr>
          <w:rFonts w:hint="eastAsia" w:ascii="黑体" w:hAnsi="黑体" w:eastAsia="黑体"/>
          <w:sz w:val="24"/>
          <w:lang w:val="zh-CN"/>
        </w:rPr>
        <w:t>，详见乙方响应文件。</w:t>
      </w:r>
    </w:p>
    <w:p w14:paraId="10944F55">
      <w:pPr>
        <w:autoSpaceDE w:val="0"/>
        <w:autoSpaceDN w:val="0"/>
        <w:adjustRightInd w:val="0"/>
        <w:spacing w:line="360" w:lineRule="auto"/>
        <w:ind w:firstLine="420"/>
        <w:rPr>
          <w:rFonts w:hint="eastAsia" w:ascii="黑体" w:hAnsi="黑体" w:eastAsia="黑体"/>
          <w:sz w:val="24"/>
        </w:rPr>
      </w:pPr>
      <w:r>
        <w:rPr>
          <w:rFonts w:hint="eastAsia" w:ascii="黑体" w:hAnsi="黑体" w:eastAsia="黑体"/>
          <w:sz w:val="24"/>
        </w:rPr>
        <w:t>2.服务期限：</w:t>
      </w:r>
      <w:r>
        <w:rPr>
          <w:rFonts w:hint="eastAsia"/>
        </w:rPr>
        <w:t>自合同</w:t>
      </w:r>
      <w:r>
        <w:t>签订之日起</w:t>
      </w:r>
      <w:r>
        <w:rPr>
          <w:rFonts w:hint="eastAsia"/>
        </w:rPr>
        <w:t>1年。</w:t>
      </w:r>
      <w:r>
        <w:rPr>
          <w:rFonts w:hint="eastAsia" w:ascii="黑体" w:hAnsi="黑体" w:eastAsia="黑体"/>
          <w:color w:val="FF0000"/>
          <w:sz w:val="24"/>
        </w:rPr>
        <w:t xml:space="preserve"> </w:t>
      </w:r>
    </w:p>
    <w:p w14:paraId="24B42801">
      <w:pPr>
        <w:autoSpaceDE w:val="0"/>
        <w:autoSpaceDN w:val="0"/>
        <w:adjustRightInd w:val="0"/>
        <w:spacing w:line="360" w:lineRule="auto"/>
        <w:ind w:firstLine="420"/>
        <w:rPr>
          <w:rFonts w:hint="eastAsia" w:ascii="黑体" w:hAnsi="黑体" w:eastAsia="黑体"/>
          <w:sz w:val="24"/>
        </w:rPr>
      </w:pPr>
      <w:r>
        <w:rPr>
          <w:rFonts w:hint="eastAsia" w:ascii="黑体" w:hAnsi="黑体" w:eastAsia="黑体"/>
          <w:sz w:val="24"/>
        </w:rPr>
        <w:t>3.服务地点：</w:t>
      </w:r>
    </w:p>
    <w:p w14:paraId="5C51249F">
      <w:pPr>
        <w:adjustRightInd w:val="0"/>
        <w:snapToGrid w:val="0"/>
        <w:ind w:firstLine="560"/>
        <w:rPr>
          <w:rFonts w:hint="eastAsia" w:asciiTheme="minorEastAsia" w:hAnsiTheme="minorEastAsia" w:eastAsiaTheme="minorEastAsia"/>
          <w:bCs/>
          <w:szCs w:val="21"/>
        </w:rPr>
      </w:pPr>
      <w:r>
        <w:rPr>
          <w:rFonts w:hint="eastAsia" w:asciiTheme="minorEastAsia" w:hAnsiTheme="minorEastAsia" w:eastAsiaTheme="minorEastAsia"/>
          <w:szCs w:val="21"/>
        </w:rPr>
        <w:t>说明</w:t>
      </w:r>
      <w:r>
        <w:rPr>
          <w:rFonts w:asciiTheme="minorEastAsia" w:hAnsiTheme="minorEastAsia" w:eastAsiaTheme="minorEastAsia"/>
          <w:szCs w:val="21"/>
        </w:rPr>
        <w:t>：</w:t>
      </w:r>
    </w:p>
    <w:p w14:paraId="08B60C0A">
      <w:pPr>
        <w:adjustRightInd w:val="0"/>
        <w:snapToGrid w:val="0"/>
        <w:ind w:firstLine="560"/>
        <w:rPr>
          <w:rFonts w:hint="eastAsia" w:asciiTheme="minorEastAsia" w:hAnsiTheme="minorEastAsia" w:eastAsiaTheme="minorEastAsia"/>
          <w:bCs/>
          <w:szCs w:val="21"/>
        </w:rPr>
      </w:pPr>
      <w:r>
        <w:rPr>
          <w:rFonts w:asciiTheme="minorEastAsia" w:hAnsiTheme="minorEastAsia" w:eastAsiaTheme="minorEastAsia"/>
          <w:szCs w:val="21"/>
        </w:rPr>
        <w:t>在合同期内如遇到政策性收费价格下调，结算价格</w:t>
      </w:r>
      <w:r>
        <w:rPr>
          <w:rFonts w:hint="eastAsia" w:asciiTheme="minorEastAsia" w:hAnsiTheme="minorEastAsia" w:eastAsiaTheme="minorEastAsia"/>
          <w:szCs w:val="21"/>
        </w:rPr>
        <w:t>等</w:t>
      </w:r>
      <w:r>
        <w:rPr>
          <w:rFonts w:asciiTheme="minorEastAsia" w:hAnsiTheme="minorEastAsia" w:eastAsiaTheme="minorEastAsia"/>
          <w:szCs w:val="21"/>
        </w:rPr>
        <w:t>比例下调。</w:t>
      </w:r>
    </w:p>
    <w:p w14:paraId="68546FB6">
      <w:pPr>
        <w:pStyle w:val="2"/>
      </w:pPr>
    </w:p>
    <w:p w14:paraId="2E6F63B7">
      <w:pPr>
        <w:autoSpaceDE w:val="0"/>
        <w:autoSpaceDN w:val="0"/>
        <w:adjustRightInd w:val="0"/>
        <w:spacing w:line="360" w:lineRule="auto"/>
        <w:ind w:firstLine="420"/>
        <w:rPr>
          <w:rFonts w:hint="eastAsia" w:ascii="黑体" w:hAnsi="黑体" w:eastAsia="黑体"/>
          <w:b/>
          <w:bCs/>
          <w:sz w:val="24"/>
          <w:lang w:val="zh-CN"/>
        </w:rPr>
      </w:pPr>
      <w:r>
        <w:rPr>
          <w:rFonts w:hint="eastAsia" w:ascii="黑体" w:hAnsi="黑体" w:eastAsia="黑体"/>
          <w:b/>
          <w:bCs/>
          <w:sz w:val="24"/>
          <w:lang w:val="zh-CN"/>
        </w:rPr>
        <w:t>第二条合同总价款</w:t>
      </w:r>
    </w:p>
    <w:p w14:paraId="0251238C">
      <w:pPr>
        <w:spacing w:line="360" w:lineRule="auto"/>
        <w:ind w:firstLine="480" w:firstLineChars="200"/>
        <w:rPr>
          <w:rFonts w:hint="eastAsia" w:ascii="黑体" w:hAnsi="黑体" w:eastAsia="黑体"/>
          <w:sz w:val="24"/>
          <w:lang w:val="zh-CN"/>
        </w:rPr>
      </w:pPr>
      <w:r>
        <w:rPr>
          <w:rFonts w:hint="eastAsia" w:ascii="黑体" w:hAnsi="黑体" w:eastAsia="黑体"/>
          <w:sz w:val="24"/>
          <w:lang w:val="zh-CN"/>
        </w:rPr>
        <w:t>本合同项下门诊眼保健基础筛查服务报</w:t>
      </w:r>
      <w:r>
        <w:rPr>
          <w:rFonts w:hint="eastAsia" w:ascii="黑体" w:hAnsi="黑体" w:eastAsia="黑体"/>
          <w:sz w:val="24"/>
        </w:rPr>
        <w:t>价为收费的</w:t>
      </w:r>
      <w:r>
        <w:rPr>
          <w:rFonts w:hint="eastAsia" w:ascii="黑体" w:hAnsi="黑体" w:eastAsia="黑体"/>
          <w:sz w:val="24"/>
          <w:u w:val="single"/>
        </w:rPr>
        <w:t xml:space="preserve">   </w:t>
      </w:r>
      <w:r>
        <w:rPr>
          <w:rFonts w:hint="eastAsia" w:ascii="黑体" w:hAnsi="黑体" w:eastAsia="黑体"/>
          <w:sz w:val="24"/>
        </w:rPr>
        <w:t>%；</w:t>
      </w:r>
      <w:r>
        <w:rPr>
          <w:rFonts w:hint="eastAsia" w:ascii="黑体" w:hAnsi="黑体" w:eastAsia="黑体"/>
          <w:sz w:val="24"/>
          <w:lang w:val="zh-CN"/>
        </w:rPr>
        <w:t>其他视功能辅助检查筛查及拓展服务报</w:t>
      </w:r>
      <w:r>
        <w:rPr>
          <w:rFonts w:hint="eastAsia" w:ascii="黑体" w:hAnsi="黑体" w:eastAsia="黑体"/>
          <w:sz w:val="24"/>
        </w:rPr>
        <w:t>价为收费的</w:t>
      </w:r>
      <w:r>
        <w:rPr>
          <w:rFonts w:hint="eastAsia" w:ascii="黑体" w:hAnsi="黑体" w:eastAsia="黑体"/>
          <w:sz w:val="24"/>
          <w:u w:val="single"/>
        </w:rPr>
        <w:t xml:space="preserve">   </w:t>
      </w:r>
      <w:r>
        <w:rPr>
          <w:rFonts w:hint="eastAsia" w:ascii="黑体" w:hAnsi="黑体" w:eastAsia="黑体"/>
          <w:sz w:val="24"/>
        </w:rPr>
        <w:t>%；</w:t>
      </w:r>
      <w:r>
        <w:rPr>
          <w:rFonts w:hint="eastAsia" w:ascii="黑体" w:hAnsi="黑体" w:eastAsia="黑体"/>
          <w:sz w:val="24"/>
          <w:lang w:val="zh-CN"/>
        </w:rPr>
        <w:t>分项价款在“分项报价表”中有明确规定（所有涉及收费均根据江苏省最新物价收费标准执行）。</w:t>
      </w:r>
    </w:p>
    <w:p w14:paraId="7DCD70F2">
      <w:pPr>
        <w:spacing w:line="360" w:lineRule="auto"/>
        <w:ind w:firstLine="480" w:firstLineChars="200"/>
        <w:rPr>
          <w:rFonts w:hint="eastAsia" w:ascii="黑体" w:hAnsi="黑体" w:eastAsia="黑体"/>
          <w:b/>
          <w:sz w:val="24"/>
        </w:rPr>
      </w:pPr>
      <w:r>
        <w:rPr>
          <w:rFonts w:hint="eastAsia" w:ascii="黑体" w:hAnsi="黑体" w:eastAsia="黑体"/>
          <w:sz w:val="24"/>
          <w:lang w:val="zh-CN"/>
        </w:rPr>
        <w:t>本合同总价款是</w:t>
      </w:r>
      <w:r>
        <w:rPr>
          <w:rFonts w:hint="eastAsia" w:ascii="黑体" w:hAnsi="黑体" w:eastAsia="黑体" w:cs="宋体"/>
          <w:sz w:val="24"/>
          <w:lang w:val="zh-CN"/>
        </w:rPr>
        <w:t>完成本项目所发生的所有含税费用、支付给员工的工资和国家强制缴纳的各种社会保障资金</w:t>
      </w:r>
      <w:r>
        <w:rPr>
          <w:rFonts w:hint="eastAsia" w:ascii="黑体" w:hAnsi="黑体" w:eastAsia="黑体"/>
          <w:bCs/>
          <w:sz w:val="24"/>
        </w:rPr>
        <w:t>，以</w:t>
      </w:r>
      <w:r>
        <w:rPr>
          <w:rFonts w:hint="eastAsia" w:ascii="黑体" w:hAnsi="黑体" w:eastAsia="黑体"/>
          <w:sz w:val="24"/>
        </w:rPr>
        <w:t>及乙方认为需要的其他费用等</w:t>
      </w:r>
      <w:r>
        <w:rPr>
          <w:rFonts w:hint="eastAsia" w:ascii="黑体" w:hAnsi="黑体" w:eastAsia="黑体"/>
          <w:sz w:val="24"/>
          <w:lang w:val="zh-CN"/>
        </w:rPr>
        <w:t>。除此之外，甲方不再支付任何其他费用。</w:t>
      </w:r>
    </w:p>
    <w:p w14:paraId="4D72F1DF">
      <w:pPr>
        <w:autoSpaceDE w:val="0"/>
        <w:autoSpaceDN w:val="0"/>
        <w:adjustRightInd w:val="0"/>
        <w:spacing w:line="360" w:lineRule="auto"/>
        <w:ind w:firstLine="470" w:firstLineChars="196"/>
        <w:rPr>
          <w:rFonts w:hint="eastAsia" w:ascii="黑体" w:hAnsi="黑体" w:eastAsia="黑体"/>
          <w:b/>
          <w:bCs/>
          <w:sz w:val="24"/>
          <w:lang w:val="zh-CN"/>
        </w:rPr>
      </w:pPr>
      <w:r>
        <w:rPr>
          <w:rFonts w:hint="eastAsia" w:ascii="黑体" w:hAnsi="黑体" w:eastAsia="黑体"/>
          <w:b/>
          <w:bCs/>
          <w:sz w:val="24"/>
          <w:lang w:val="zh-CN"/>
        </w:rPr>
        <w:t>第三条组成本合同的有关文件</w:t>
      </w:r>
    </w:p>
    <w:p w14:paraId="4DB5CF74">
      <w:pPr>
        <w:pStyle w:val="8"/>
        <w:spacing w:line="360" w:lineRule="auto"/>
        <w:ind w:firstLine="480" w:firstLineChars="200"/>
        <w:rPr>
          <w:rFonts w:hint="eastAsia" w:ascii="黑体" w:hAnsi="黑体" w:eastAsia="黑体"/>
          <w:sz w:val="24"/>
          <w:lang w:val="zh-CN"/>
        </w:rPr>
      </w:pPr>
      <w:r>
        <w:rPr>
          <w:rFonts w:hint="eastAsia" w:ascii="黑体" w:hAnsi="黑体" w:eastAsia="黑体"/>
          <w:sz w:val="24"/>
          <w:lang w:val="zh-CN"/>
        </w:rPr>
        <w:t>下列关于</w:t>
      </w:r>
      <w:r>
        <w:rPr>
          <w:rFonts w:hint="eastAsia" w:ascii="黑体" w:hAnsi="黑体" w:eastAsia="黑体"/>
          <w:sz w:val="24"/>
          <w:u w:val="single"/>
        </w:rPr>
        <w:t xml:space="preserve"> </w:t>
      </w:r>
      <w:r>
        <w:rPr>
          <w:rFonts w:ascii="黑体" w:hAnsi="黑体" w:eastAsia="黑体"/>
          <w:sz w:val="24"/>
          <w:u w:val="single"/>
        </w:rPr>
        <w:t xml:space="preserve">                                 </w:t>
      </w:r>
      <w:r>
        <w:rPr>
          <w:rFonts w:hint="eastAsia" w:ascii="黑体" w:hAnsi="黑体" w:eastAsia="黑体"/>
          <w:sz w:val="24"/>
          <w:lang w:val="zh-CN"/>
        </w:rPr>
        <w:t>的竞争性磋商文件、响应文件和与本次采购活动方式相适应的文件及有关附件是本合同不可分割的组成部分，与本合同具有同等法律效力，组成合同的各个文件应该认为是一个整体，互为补充和解释，如果有互相矛盾处，以下面所列先后顺序为准：</w:t>
      </w:r>
    </w:p>
    <w:p w14:paraId="52E46E01">
      <w:pPr>
        <w:pStyle w:val="8"/>
        <w:spacing w:line="360" w:lineRule="auto"/>
        <w:ind w:firstLine="480" w:firstLineChars="200"/>
        <w:rPr>
          <w:rFonts w:hint="eastAsia" w:ascii="黑体" w:hAnsi="黑体" w:eastAsia="黑体"/>
          <w:sz w:val="24"/>
          <w:lang w:val="zh-CN"/>
        </w:rPr>
      </w:pPr>
      <w:r>
        <w:rPr>
          <w:rFonts w:hint="eastAsia" w:ascii="黑体" w:hAnsi="黑体" w:eastAsia="黑体"/>
          <w:sz w:val="24"/>
          <w:lang w:val="zh-CN"/>
        </w:rPr>
        <w:t>（1）本合同（含澄清文件）；</w:t>
      </w:r>
    </w:p>
    <w:p w14:paraId="205D068A">
      <w:pPr>
        <w:pStyle w:val="8"/>
        <w:spacing w:line="360" w:lineRule="auto"/>
        <w:ind w:firstLine="480" w:firstLineChars="200"/>
        <w:rPr>
          <w:rFonts w:hint="eastAsia" w:ascii="黑体" w:hAnsi="黑体" w:eastAsia="黑体"/>
          <w:sz w:val="24"/>
          <w:lang w:val="zh-CN"/>
        </w:rPr>
      </w:pPr>
      <w:r>
        <w:rPr>
          <w:rFonts w:hint="eastAsia" w:ascii="黑体" w:hAnsi="黑体" w:eastAsia="黑体"/>
          <w:sz w:val="24"/>
          <w:lang w:val="zh-CN"/>
        </w:rPr>
        <w:t>（2）中标（成交）通知书；</w:t>
      </w:r>
    </w:p>
    <w:p w14:paraId="2BD09E5F">
      <w:pPr>
        <w:pStyle w:val="8"/>
        <w:spacing w:line="360" w:lineRule="auto"/>
        <w:ind w:firstLine="480" w:firstLineChars="200"/>
        <w:rPr>
          <w:rFonts w:hint="eastAsia" w:ascii="黑体" w:hAnsi="黑体" w:eastAsia="黑体"/>
          <w:sz w:val="24"/>
          <w:lang w:val="zh-CN"/>
        </w:rPr>
      </w:pPr>
      <w:r>
        <w:rPr>
          <w:rFonts w:hint="eastAsia" w:ascii="黑体" w:hAnsi="黑体" w:eastAsia="黑体"/>
          <w:sz w:val="24"/>
          <w:lang w:val="zh-CN"/>
        </w:rPr>
        <w:t>（3）响应文件和报价表；</w:t>
      </w:r>
    </w:p>
    <w:p w14:paraId="7D586BDD">
      <w:pPr>
        <w:pStyle w:val="8"/>
        <w:spacing w:line="360" w:lineRule="auto"/>
        <w:ind w:firstLine="480" w:firstLineChars="200"/>
        <w:rPr>
          <w:rFonts w:hint="eastAsia" w:ascii="黑体" w:hAnsi="黑体" w:eastAsia="黑体"/>
          <w:sz w:val="24"/>
          <w:lang w:val="zh-CN"/>
        </w:rPr>
      </w:pPr>
      <w:r>
        <w:rPr>
          <w:rFonts w:hint="eastAsia" w:ascii="黑体" w:hAnsi="黑体" w:eastAsia="黑体"/>
          <w:sz w:val="24"/>
          <w:lang w:val="zh-CN"/>
        </w:rPr>
        <w:t>（4）磋商承诺/服务承诺；</w:t>
      </w:r>
    </w:p>
    <w:p w14:paraId="442EF6D2">
      <w:pPr>
        <w:pStyle w:val="8"/>
        <w:spacing w:line="360" w:lineRule="auto"/>
        <w:ind w:firstLine="480" w:firstLineChars="200"/>
        <w:rPr>
          <w:rFonts w:hint="eastAsia" w:ascii="黑体" w:hAnsi="黑体" w:eastAsia="黑体"/>
          <w:sz w:val="24"/>
          <w:lang w:val="zh-CN"/>
        </w:rPr>
      </w:pPr>
      <w:r>
        <w:rPr>
          <w:rFonts w:hint="eastAsia" w:ascii="黑体" w:hAnsi="黑体" w:eastAsia="黑体"/>
          <w:sz w:val="24"/>
          <w:lang w:val="zh-CN"/>
        </w:rPr>
        <w:t>（5）构成本合同组成的其他文件。</w:t>
      </w:r>
    </w:p>
    <w:p w14:paraId="58BFA1BE">
      <w:pPr>
        <w:pStyle w:val="8"/>
        <w:spacing w:line="360" w:lineRule="auto"/>
        <w:ind w:firstLine="480" w:firstLineChars="200"/>
        <w:rPr>
          <w:rFonts w:hint="eastAsia" w:ascii="黑体" w:hAnsi="黑体" w:eastAsia="黑体"/>
          <w:sz w:val="24"/>
          <w:lang w:val="zh-CN"/>
        </w:rPr>
      </w:pPr>
      <w:r>
        <w:rPr>
          <w:rFonts w:hint="eastAsia" w:ascii="黑体" w:hAnsi="黑体" w:eastAsia="黑体"/>
          <w:sz w:val="24"/>
          <w:lang w:val="zh-CN"/>
        </w:rPr>
        <w:t>双方在本合同履行过程中，可以签订补充或修正文件，补充或修正文件与本合同具有同等法律效力，内容不一致的，以时间在后的文件为准。</w:t>
      </w:r>
    </w:p>
    <w:p w14:paraId="4AACCC7E">
      <w:pPr>
        <w:autoSpaceDE w:val="0"/>
        <w:autoSpaceDN w:val="0"/>
        <w:adjustRightInd w:val="0"/>
        <w:spacing w:line="360" w:lineRule="auto"/>
        <w:ind w:firstLine="420"/>
        <w:rPr>
          <w:rFonts w:hint="eastAsia" w:ascii="黑体" w:hAnsi="黑体" w:eastAsia="黑体"/>
          <w:b/>
          <w:bCs/>
          <w:sz w:val="24"/>
          <w:lang w:val="zh-CN"/>
        </w:rPr>
      </w:pPr>
      <w:r>
        <w:rPr>
          <w:rFonts w:hint="eastAsia" w:ascii="黑体" w:hAnsi="黑体" w:eastAsia="黑体"/>
          <w:b/>
          <w:bCs/>
          <w:sz w:val="24"/>
          <w:lang w:val="zh-CN"/>
        </w:rPr>
        <w:t>第四条权利保证</w:t>
      </w:r>
    </w:p>
    <w:p w14:paraId="622DC8C6">
      <w:pPr>
        <w:autoSpaceDE w:val="0"/>
        <w:autoSpaceDN w:val="0"/>
        <w:adjustRightInd w:val="0"/>
        <w:spacing w:line="360" w:lineRule="auto"/>
        <w:ind w:firstLine="420"/>
        <w:rPr>
          <w:rFonts w:hint="eastAsia" w:ascii="黑体" w:hAnsi="黑体" w:eastAsia="黑体"/>
          <w:sz w:val="24"/>
          <w:lang w:val="zh-CN"/>
        </w:rPr>
      </w:pPr>
      <w:r>
        <w:rPr>
          <w:rFonts w:hint="eastAsia" w:ascii="黑体" w:hAnsi="黑体" w:eastAsia="黑体"/>
          <w:sz w:val="24"/>
        </w:rPr>
        <w:t>1.</w:t>
      </w:r>
      <w:r>
        <w:rPr>
          <w:rFonts w:hint="eastAsia" w:ascii="黑体" w:hAnsi="黑体" w:eastAsia="黑体"/>
          <w:sz w:val="24"/>
          <w:lang w:val="zh-CN"/>
        </w:rPr>
        <w:t>乙方应保证甲方在使用该服务或其任何一部分时不受第三方提出侵犯其专利权、版权、商标权或其他权利的起诉。一旦出现侵权，乙方应承担全部责任。</w:t>
      </w:r>
    </w:p>
    <w:p w14:paraId="117C4D51">
      <w:pPr>
        <w:autoSpaceDE w:val="0"/>
        <w:autoSpaceDN w:val="0"/>
        <w:adjustRightInd w:val="0"/>
        <w:spacing w:line="360" w:lineRule="auto"/>
        <w:ind w:firstLine="420"/>
        <w:rPr>
          <w:rFonts w:hint="eastAsia" w:ascii="黑体" w:hAnsi="黑体" w:eastAsia="黑体"/>
          <w:sz w:val="24"/>
          <w:lang w:val="zh-CN"/>
        </w:rPr>
      </w:pPr>
      <w:r>
        <w:rPr>
          <w:rFonts w:hint="eastAsia" w:ascii="黑体" w:hAnsi="黑体" w:eastAsia="黑体"/>
          <w:sz w:val="24"/>
        </w:rPr>
        <w:t>2.</w:t>
      </w:r>
      <w:r>
        <w:rPr>
          <w:rFonts w:hint="eastAsia" w:ascii="黑体" w:hAnsi="黑体" w:eastAsia="黑体"/>
          <w:sz w:val="24"/>
          <w:lang w:val="zh-CN"/>
        </w:rPr>
        <w:t>本合同项下一切工作成果的所有权利包括但不限于所有权、知识产权等归甲方所有，甲方利用乙方提交的检测成果所完成的新的成果，归甲方所有。乙方如要使用，应征得甲方书面同意。未经甲方允许，乙方不得将该成果及相关资料向任何第三方披露或转让，否则应赔偿甲方因此所受到的损失。</w:t>
      </w:r>
    </w:p>
    <w:p w14:paraId="68AED9CA">
      <w:pPr>
        <w:autoSpaceDE w:val="0"/>
        <w:autoSpaceDN w:val="0"/>
        <w:adjustRightInd w:val="0"/>
        <w:spacing w:line="360" w:lineRule="auto"/>
        <w:ind w:firstLine="420"/>
        <w:rPr>
          <w:rFonts w:hint="eastAsia" w:ascii="黑体" w:hAnsi="黑体" w:eastAsia="黑体"/>
          <w:b/>
          <w:bCs/>
          <w:sz w:val="24"/>
          <w:lang w:val="zh-CN"/>
        </w:rPr>
      </w:pPr>
      <w:r>
        <w:rPr>
          <w:rFonts w:hint="eastAsia" w:ascii="黑体" w:hAnsi="黑体" w:eastAsia="黑体"/>
          <w:b/>
          <w:bCs/>
          <w:sz w:val="24"/>
          <w:lang w:val="zh-CN"/>
        </w:rPr>
        <w:t>第五条质量保证</w:t>
      </w:r>
    </w:p>
    <w:p w14:paraId="16E61186">
      <w:pPr>
        <w:autoSpaceDE w:val="0"/>
        <w:autoSpaceDN w:val="0"/>
        <w:adjustRightInd w:val="0"/>
        <w:spacing w:line="360" w:lineRule="auto"/>
        <w:ind w:firstLine="420"/>
        <w:rPr>
          <w:rFonts w:hint="eastAsia" w:ascii="黑体" w:hAnsi="黑体" w:eastAsia="黑体"/>
          <w:sz w:val="24"/>
          <w:lang w:val="zh-CN"/>
        </w:rPr>
      </w:pPr>
      <w:r>
        <w:rPr>
          <w:rFonts w:hint="eastAsia" w:ascii="黑体" w:hAnsi="黑体" w:eastAsia="黑体"/>
          <w:sz w:val="24"/>
          <w:lang w:val="zh-CN"/>
        </w:rPr>
        <w:t>乙方所提供的服务的技术规格应与竞争性磋商文件规定的相一致；乙方提交的响应文件若对技术规格作出严于采购文件或国家标准的承诺，则以乙方承诺的技术规格为准。若技术性能无特殊说明，则按国家有关部门最新颁布的标准及规范为准。</w:t>
      </w:r>
    </w:p>
    <w:p w14:paraId="133AEDD1">
      <w:pPr>
        <w:autoSpaceDE w:val="0"/>
        <w:autoSpaceDN w:val="0"/>
        <w:adjustRightInd w:val="0"/>
        <w:spacing w:line="360" w:lineRule="auto"/>
        <w:ind w:firstLine="420"/>
        <w:rPr>
          <w:rFonts w:hint="eastAsia" w:ascii="黑体" w:hAnsi="黑体" w:eastAsia="黑体"/>
          <w:b/>
          <w:bCs/>
          <w:sz w:val="24"/>
          <w:lang w:val="zh-CN"/>
        </w:rPr>
      </w:pPr>
      <w:r>
        <w:rPr>
          <w:rFonts w:hint="eastAsia" w:ascii="黑体" w:hAnsi="黑体" w:eastAsia="黑体"/>
          <w:b/>
          <w:bCs/>
          <w:sz w:val="24"/>
          <w:lang w:val="zh-CN"/>
        </w:rPr>
        <w:t>第六条交付和验收</w:t>
      </w:r>
    </w:p>
    <w:p w14:paraId="56C21DE0">
      <w:pPr>
        <w:autoSpaceDE w:val="0"/>
        <w:autoSpaceDN w:val="0"/>
        <w:adjustRightInd w:val="0"/>
        <w:spacing w:line="360" w:lineRule="auto"/>
        <w:ind w:firstLine="420"/>
        <w:rPr>
          <w:rFonts w:hint="eastAsia" w:ascii="黑体" w:hAnsi="黑体" w:eastAsia="黑体"/>
          <w:sz w:val="24"/>
          <w:lang w:val="zh-CN"/>
        </w:rPr>
      </w:pPr>
      <w:r>
        <w:rPr>
          <w:rFonts w:hint="eastAsia" w:ascii="黑体" w:hAnsi="黑体" w:eastAsia="黑体"/>
          <w:sz w:val="24"/>
          <w:lang w:val="zh-CN"/>
        </w:rPr>
        <w:t>1.合同签订后</w:t>
      </w:r>
      <w:r>
        <w:rPr>
          <w:rFonts w:hint="eastAsia" w:ascii="黑体" w:hAnsi="黑体" w:eastAsia="黑体"/>
          <w:sz w:val="24"/>
          <w:u w:val="single"/>
          <w:lang w:val="zh-CN"/>
        </w:rPr>
        <w:t xml:space="preserve"> </w:t>
      </w:r>
      <w:r>
        <w:rPr>
          <w:rFonts w:ascii="黑体" w:hAnsi="黑体" w:eastAsia="黑体"/>
          <w:sz w:val="24"/>
          <w:u w:val="single"/>
          <w:lang w:val="zh-CN"/>
        </w:rPr>
        <w:t xml:space="preserve">   </w:t>
      </w:r>
      <w:r>
        <w:rPr>
          <w:rFonts w:hint="eastAsia" w:ascii="黑体" w:hAnsi="黑体" w:eastAsia="黑体"/>
          <w:sz w:val="24"/>
          <w:lang w:val="zh-CN"/>
        </w:rPr>
        <w:t>天内完成竞争性磋商文件及采购人要求。</w:t>
      </w:r>
    </w:p>
    <w:p w14:paraId="700107FE">
      <w:pPr>
        <w:autoSpaceDE w:val="0"/>
        <w:autoSpaceDN w:val="0"/>
        <w:adjustRightInd w:val="0"/>
        <w:spacing w:line="360" w:lineRule="auto"/>
        <w:ind w:firstLine="420"/>
        <w:rPr>
          <w:rFonts w:hint="eastAsia" w:ascii="黑体" w:hAnsi="黑体" w:eastAsia="黑体"/>
          <w:sz w:val="24"/>
          <w:lang w:val="zh-CN"/>
        </w:rPr>
      </w:pPr>
      <w:r>
        <w:rPr>
          <w:rFonts w:ascii="黑体" w:hAnsi="黑体" w:eastAsia="黑体"/>
          <w:sz w:val="24"/>
          <w:lang w:val="zh-CN"/>
        </w:rPr>
        <w:t>2</w:t>
      </w:r>
      <w:r>
        <w:rPr>
          <w:rFonts w:hint="eastAsia" w:ascii="黑体" w:hAnsi="黑体" w:eastAsia="黑体"/>
          <w:sz w:val="24"/>
          <w:lang w:val="zh-CN"/>
        </w:rPr>
        <w:t>.验收标准：按行业通行标准进行验收。</w:t>
      </w:r>
    </w:p>
    <w:p w14:paraId="729C9182">
      <w:pPr>
        <w:autoSpaceDE w:val="0"/>
        <w:autoSpaceDN w:val="0"/>
        <w:adjustRightInd w:val="0"/>
        <w:spacing w:line="360" w:lineRule="auto"/>
        <w:ind w:firstLine="420"/>
        <w:rPr>
          <w:rFonts w:hint="eastAsia" w:ascii="黑体" w:hAnsi="黑体" w:eastAsia="黑体"/>
          <w:b/>
          <w:bCs/>
          <w:i/>
          <w:iCs/>
          <w:sz w:val="24"/>
          <w:lang w:val="zh-CN"/>
        </w:rPr>
      </w:pPr>
      <w:r>
        <w:rPr>
          <w:rFonts w:hint="eastAsia" w:ascii="黑体" w:hAnsi="黑体" w:eastAsia="黑体"/>
          <w:b/>
          <w:bCs/>
          <w:sz w:val="24"/>
          <w:lang w:val="zh-CN"/>
        </w:rPr>
        <w:t>第七条合同款支付</w:t>
      </w:r>
    </w:p>
    <w:p w14:paraId="7B871A57">
      <w:pPr>
        <w:autoSpaceDE w:val="0"/>
        <w:autoSpaceDN w:val="0"/>
        <w:adjustRightInd w:val="0"/>
        <w:spacing w:line="360" w:lineRule="auto"/>
        <w:ind w:firstLine="420"/>
        <w:rPr>
          <w:rFonts w:hint="eastAsia" w:ascii="黑体" w:hAnsi="黑体" w:eastAsia="黑体"/>
          <w:sz w:val="24"/>
          <w:lang w:val="zh-CN"/>
        </w:rPr>
      </w:pPr>
      <w:r>
        <w:rPr>
          <w:rFonts w:ascii="黑体" w:hAnsi="黑体" w:eastAsia="黑体"/>
          <w:sz w:val="24"/>
          <w:lang w:val="zh-CN"/>
        </w:rPr>
        <w:t>1</w:t>
      </w:r>
      <w:r>
        <w:rPr>
          <w:rFonts w:hint="eastAsia" w:ascii="黑体" w:hAnsi="黑体" w:eastAsia="黑体"/>
          <w:sz w:val="24"/>
          <w:lang w:val="zh-CN"/>
        </w:rPr>
        <w:t>.本合同项下所有款项均以人民币支付。</w:t>
      </w:r>
    </w:p>
    <w:p w14:paraId="090A6E06">
      <w:pPr>
        <w:autoSpaceDE w:val="0"/>
        <w:autoSpaceDN w:val="0"/>
        <w:adjustRightInd w:val="0"/>
        <w:spacing w:line="360" w:lineRule="auto"/>
        <w:ind w:firstLine="420"/>
        <w:rPr>
          <w:rFonts w:hint="eastAsia" w:ascii="黑体" w:hAnsi="黑体" w:eastAsia="黑体"/>
          <w:sz w:val="24"/>
          <w:lang w:val="zh-CN"/>
        </w:rPr>
      </w:pPr>
      <w:r>
        <w:rPr>
          <w:rFonts w:ascii="黑体" w:hAnsi="黑体" w:eastAsia="黑体"/>
          <w:sz w:val="24"/>
          <w:lang w:val="zh-CN"/>
        </w:rPr>
        <w:t>2</w:t>
      </w:r>
      <w:r>
        <w:rPr>
          <w:rFonts w:hint="eastAsia" w:ascii="黑体" w:hAnsi="黑体" w:eastAsia="黑体"/>
          <w:sz w:val="24"/>
          <w:lang w:val="zh-CN"/>
        </w:rPr>
        <w:t>.本合同项下的采购资金由甲方自行支付，乙方向甲方开具发票，否则甲方有权拒绝支付。此项目产生的智力成果和知识产权归属甲方所有。</w:t>
      </w:r>
    </w:p>
    <w:p w14:paraId="702B9DBD">
      <w:pPr>
        <w:autoSpaceDE w:val="0"/>
        <w:autoSpaceDN w:val="0"/>
        <w:adjustRightInd w:val="0"/>
        <w:spacing w:line="360" w:lineRule="auto"/>
        <w:ind w:firstLine="420"/>
        <w:rPr>
          <w:rFonts w:hint="eastAsia" w:ascii="黑体" w:hAnsi="黑体" w:eastAsia="黑体"/>
          <w:sz w:val="24"/>
          <w:lang w:val="zh-CN"/>
        </w:rPr>
      </w:pPr>
      <w:r>
        <w:rPr>
          <w:rFonts w:hint="eastAsia" w:ascii="黑体" w:hAnsi="黑体" w:eastAsia="黑体"/>
          <w:sz w:val="24"/>
          <w:lang w:val="zh-CN"/>
        </w:rPr>
        <w:t>3.付款条件：</w:t>
      </w:r>
    </w:p>
    <w:p w14:paraId="03252361">
      <w:pPr>
        <w:pStyle w:val="61"/>
        <w:ind w:firstLine="480"/>
        <w:rPr>
          <w:rFonts w:hint="eastAsia" w:ascii="黑体" w:hAnsi="黑体" w:eastAsia="黑体"/>
          <w:b w:val="0"/>
          <w:bCs w:val="0"/>
          <w:snapToGrid/>
          <w:lang w:val="zh-CN"/>
        </w:rPr>
      </w:pPr>
      <w:r>
        <w:rPr>
          <w:rFonts w:hint="eastAsia" w:ascii="黑体" w:hAnsi="黑体" w:eastAsia="黑体"/>
          <w:b w:val="0"/>
          <w:bCs w:val="0"/>
          <w:snapToGrid/>
          <w:lang w:val="zh-CN"/>
        </w:rPr>
        <w:t>本项目签订单价</w:t>
      </w:r>
      <w:r>
        <w:rPr>
          <w:rFonts w:ascii="黑体" w:hAnsi="黑体" w:eastAsia="黑体"/>
          <w:b w:val="0"/>
          <w:bCs w:val="0"/>
          <w:snapToGrid/>
          <w:lang w:val="zh-CN"/>
        </w:rPr>
        <w:t>合同</w:t>
      </w:r>
      <w:r>
        <w:rPr>
          <w:rFonts w:hint="eastAsia" w:ascii="黑体" w:hAnsi="黑体" w:eastAsia="黑体"/>
          <w:b w:val="0"/>
          <w:bCs w:val="0"/>
          <w:snapToGrid/>
          <w:lang w:val="zh-CN"/>
        </w:rPr>
        <w:t>，</w:t>
      </w:r>
      <w:r>
        <w:rPr>
          <w:rFonts w:hint="eastAsia" w:ascii="黑体" w:hAnsi="黑体" w:eastAsia="黑体"/>
          <w:b w:val="0"/>
          <w:bCs w:val="0"/>
          <w:snapToGrid/>
        </w:rPr>
        <w:t>付款周期为三个月，</w:t>
      </w:r>
      <w:r>
        <w:rPr>
          <w:rFonts w:hint="eastAsia" w:ascii="黑体" w:hAnsi="黑体" w:eastAsia="黑体"/>
          <w:b w:val="0"/>
          <w:bCs w:val="0"/>
          <w:snapToGrid/>
          <w:lang w:val="zh-CN"/>
        </w:rPr>
        <w:t>成交单位应上报</w:t>
      </w:r>
      <w:r>
        <w:rPr>
          <w:rFonts w:hint="eastAsia" w:ascii="黑体" w:hAnsi="黑体" w:eastAsia="黑体"/>
          <w:b w:val="0"/>
          <w:bCs w:val="0"/>
          <w:snapToGrid/>
        </w:rPr>
        <w:t>每3个</w:t>
      </w:r>
      <w:r>
        <w:rPr>
          <w:rFonts w:hint="eastAsia" w:ascii="黑体" w:hAnsi="黑体" w:eastAsia="黑体"/>
          <w:b w:val="0"/>
          <w:bCs w:val="0"/>
          <w:snapToGrid/>
          <w:lang w:val="zh-CN"/>
        </w:rPr>
        <w:t>月实际完成工作量，经采购人核对无误后，按成交单价结算。最终结算总费用不得超过20万元。</w:t>
      </w:r>
    </w:p>
    <w:p w14:paraId="42CAEFBE">
      <w:pPr>
        <w:autoSpaceDE w:val="0"/>
        <w:autoSpaceDN w:val="0"/>
        <w:adjustRightInd w:val="0"/>
        <w:spacing w:line="360" w:lineRule="auto"/>
        <w:ind w:firstLine="420"/>
        <w:rPr>
          <w:rFonts w:hint="eastAsia" w:ascii="黑体" w:hAnsi="黑体" w:eastAsia="黑体"/>
          <w:b/>
          <w:bCs/>
          <w:sz w:val="24"/>
          <w:lang w:val="zh-CN"/>
        </w:rPr>
      </w:pPr>
      <w:r>
        <w:rPr>
          <w:rFonts w:hint="eastAsia" w:ascii="黑体" w:hAnsi="黑体" w:eastAsia="黑体"/>
          <w:b/>
          <w:bCs/>
          <w:sz w:val="24"/>
          <w:lang w:val="zh-CN"/>
        </w:rPr>
        <w:t>第八条违约责任</w:t>
      </w:r>
    </w:p>
    <w:p w14:paraId="7E5C2C01">
      <w:pPr>
        <w:adjustRightInd w:val="0"/>
        <w:spacing w:line="360" w:lineRule="auto"/>
        <w:ind w:firstLine="420"/>
        <w:rPr>
          <w:rFonts w:hint="eastAsia" w:ascii="黑体" w:hAnsi="黑体" w:eastAsia="黑体" w:cs="宋体"/>
          <w:sz w:val="24"/>
          <w:lang w:val="zh-CN"/>
        </w:rPr>
      </w:pPr>
      <w:r>
        <w:rPr>
          <w:rFonts w:hint="eastAsia" w:ascii="黑体" w:hAnsi="黑体" w:eastAsia="黑体" w:cs="宋体"/>
          <w:sz w:val="24"/>
          <w:lang w:val="zh-CN"/>
        </w:rPr>
        <w:t>１.甲方无正当理由拒收服务、拒付服务款的，由甲方向乙方偿付合同总价的</w:t>
      </w:r>
      <w:r>
        <w:rPr>
          <w:rFonts w:ascii="黑体" w:hAnsi="黑体" w:eastAsia="黑体" w:cs="宋体"/>
          <w:sz w:val="24"/>
          <w:lang w:val="zh-CN"/>
        </w:rPr>
        <w:t>5%</w:t>
      </w:r>
      <w:r>
        <w:rPr>
          <w:rFonts w:hint="eastAsia" w:ascii="黑体" w:hAnsi="黑体" w:eastAsia="黑体" w:cs="宋体"/>
          <w:sz w:val="24"/>
          <w:lang w:val="zh-CN"/>
        </w:rPr>
        <w:t>违约金。</w:t>
      </w:r>
    </w:p>
    <w:p w14:paraId="31112D5B">
      <w:pPr>
        <w:adjustRightInd w:val="0"/>
        <w:spacing w:line="360" w:lineRule="auto"/>
        <w:ind w:firstLine="420"/>
        <w:rPr>
          <w:rFonts w:hint="eastAsia" w:ascii="黑体" w:hAnsi="黑体" w:eastAsia="黑体" w:cs="宋体"/>
          <w:sz w:val="24"/>
          <w:lang w:val="zh-CN"/>
        </w:rPr>
      </w:pPr>
      <w:r>
        <w:rPr>
          <w:rFonts w:hint="eastAsia" w:ascii="黑体" w:hAnsi="黑体" w:eastAsia="黑体" w:cs="宋体"/>
          <w:sz w:val="24"/>
          <w:lang w:val="zh-CN"/>
        </w:rPr>
        <w:t>２.甲方未按合同规定的期限向乙方支付总价款的，每逾期</w:t>
      </w:r>
      <w:r>
        <w:rPr>
          <w:rFonts w:ascii="黑体" w:hAnsi="黑体" w:eastAsia="黑体" w:cs="宋体"/>
          <w:sz w:val="24"/>
          <w:lang w:val="zh-CN"/>
        </w:rPr>
        <w:t>1</w:t>
      </w:r>
      <w:r>
        <w:rPr>
          <w:rFonts w:hint="eastAsia" w:ascii="黑体" w:hAnsi="黑体" w:eastAsia="黑体" w:cs="宋体"/>
          <w:sz w:val="24"/>
          <w:lang w:val="zh-CN"/>
        </w:rPr>
        <w:t>天甲方向乙方偿付欠款总额的</w:t>
      </w:r>
      <w:r>
        <w:rPr>
          <w:rFonts w:ascii="黑体" w:hAnsi="黑体" w:eastAsia="黑体" w:cs="宋体"/>
          <w:sz w:val="24"/>
          <w:lang w:val="zh-CN"/>
        </w:rPr>
        <w:t>5</w:t>
      </w:r>
      <w:r>
        <w:rPr>
          <w:rFonts w:hint="eastAsia" w:ascii="黑体" w:hAnsi="黑体" w:eastAsia="黑体" w:cs="宋体"/>
          <w:sz w:val="24"/>
          <w:lang w:val="zh-CN"/>
        </w:rPr>
        <w:t>‰逾期违约金，但累计逾期违约金总额不超过欠款总额的</w:t>
      </w:r>
      <w:r>
        <w:rPr>
          <w:rFonts w:ascii="黑体" w:hAnsi="黑体" w:eastAsia="黑体" w:cs="宋体"/>
          <w:sz w:val="24"/>
          <w:lang w:val="zh-CN"/>
        </w:rPr>
        <w:t>5%</w:t>
      </w:r>
      <w:r>
        <w:rPr>
          <w:rFonts w:hint="eastAsia" w:ascii="黑体" w:hAnsi="黑体" w:eastAsia="黑体" w:cs="宋体"/>
          <w:sz w:val="24"/>
          <w:lang w:val="zh-CN"/>
        </w:rPr>
        <w:t>。</w:t>
      </w:r>
    </w:p>
    <w:p w14:paraId="7B05D3CC">
      <w:pPr>
        <w:adjustRightInd w:val="0"/>
        <w:spacing w:line="360" w:lineRule="auto"/>
        <w:ind w:firstLine="420"/>
        <w:rPr>
          <w:rFonts w:hint="eastAsia" w:ascii="黑体" w:hAnsi="黑体" w:eastAsia="黑体" w:cs="宋体"/>
          <w:sz w:val="24"/>
          <w:lang w:val="zh-CN"/>
        </w:rPr>
      </w:pPr>
      <w:r>
        <w:rPr>
          <w:rFonts w:hint="eastAsia" w:ascii="黑体" w:hAnsi="黑体" w:eastAsia="黑体" w:cs="宋体"/>
          <w:sz w:val="24"/>
          <w:lang w:val="zh-CN"/>
        </w:rPr>
        <w:t>３.如乙方不能交付服务的，乙方应向甲方支付合同总价</w:t>
      </w:r>
      <w:r>
        <w:rPr>
          <w:rFonts w:ascii="黑体" w:hAnsi="黑体" w:eastAsia="黑体" w:cs="宋体"/>
          <w:sz w:val="24"/>
          <w:lang w:val="zh-CN"/>
        </w:rPr>
        <w:t>5%</w:t>
      </w:r>
      <w:r>
        <w:rPr>
          <w:rFonts w:hint="eastAsia" w:ascii="黑体" w:hAnsi="黑体" w:eastAsia="黑体" w:cs="宋体"/>
          <w:sz w:val="24"/>
          <w:lang w:val="zh-CN"/>
        </w:rPr>
        <w:t>的违约金。</w:t>
      </w:r>
    </w:p>
    <w:p w14:paraId="299B2DD9">
      <w:pPr>
        <w:adjustRightInd w:val="0"/>
        <w:spacing w:line="360" w:lineRule="auto"/>
        <w:ind w:firstLine="420"/>
        <w:rPr>
          <w:rFonts w:hint="eastAsia" w:ascii="黑体" w:hAnsi="黑体" w:eastAsia="黑体" w:cs="宋体"/>
          <w:sz w:val="24"/>
          <w:lang w:val="zh-CN"/>
        </w:rPr>
      </w:pPr>
      <w:r>
        <w:rPr>
          <w:rFonts w:hint="eastAsia" w:ascii="黑体" w:hAnsi="黑体" w:eastAsia="黑体" w:cs="宋体"/>
          <w:sz w:val="24"/>
          <w:lang w:val="zh-CN"/>
        </w:rPr>
        <w:t>４.乙方逾期交付服务成果的，每逾期</w:t>
      </w:r>
      <w:r>
        <w:rPr>
          <w:rFonts w:ascii="黑体" w:hAnsi="黑体" w:eastAsia="黑体" w:cs="宋体"/>
          <w:sz w:val="24"/>
          <w:lang w:val="zh-CN"/>
        </w:rPr>
        <w:t>1</w:t>
      </w:r>
      <w:r>
        <w:rPr>
          <w:rFonts w:hint="eastAsia" w:ascii="黑体" w:hAnsi="黑体" w:eastAsia="黑体" w:cs="宋体"/>
          <w:sz w:val="24"/>
          <w:lang w:val="zh-CN"/>
        </w:rPr>
        <w:t>天，乙方向甲方偿付合同总额的</w:t>
      </w:r>
      <w:r>
        <w:rPr>
          <w:rFonts w:ascii="黑体" w:hAnsi="黑体" w:eastAsia="黑体" w:cs="宋体"/>
          <w:sz w:val="24"/>
          <w:lang w:val="zh-CN"/>
        </w:rPr>
        <w:t>5</w:t>
      </w:r>
      <w:r>
        <w:rPr>
          <w:rFonts w:hint="eastAsia" w:ascii="黑体" w:hAnsi="黑体" w:eastAsia="黑体" w:cs="宋体"/>
          <w:sz w:val="24"/>
          <w:lang w:val="zh-CN"/>
        </w:rPr>
        <w:t>‰的逾期违约金。如乙方逾期交付达</w:t>
      </w:r>
      <w:r>
        <w:rPr>
          <w:rFonts w:ascii="黑体" w:hAnsi="黑体" w:eastAsia="黑体" w:cs="宋体"/>
          <w:sz w:val="24"/>
          <w:lang w:val="zh-CN"/>
        </w:rPr>
        <w:t>10</w:t>
      </w:r>
      <w:r>
        <w:rPr>
          <w:rFonts w:hint="eastAsia" w:ascii="黑体" w:hAnsi="黑体" w:eastAsia="黑体" w:cs="宋体"/>
          <w:sz w:val="24"/>
          <w:lang w:val="zh-CN"/>
        </w:rPr>
        <w:t>天，甲方有权解除合同，解除合同的通知自到达乙方时生效。</w:t>
      </w:r>
    </w:p>
    <w:p w14:paraId="413AB7AC">
      <w:pPr>
        <w:adjustRightInd w:val="0"/>
        <w:spacing w:line="360" w:lineRule="auto"/>
        <w:ind w:firstLine="540" w:firstLineChars="225"/>
        <w:rPr>
          <w:rFonts w:hint="eastAsia" w:ascii="黑体" w:hAnsi="黑体" w:eastAsia="黑体" w:cs="宋体"/>
          <w:sz w:val="24"/>
          <w:lang w:val="zh-CN"/>
        </w:rPr>
      </w:pPr>
      <w:r>
        <w:rPr>
          <w:rFonts w:hint="eastAsia" w:ascii="黑体" w:hAnsi="黑体" w:eastAsia="黑体" w:cs="宋体"/>
          <w:sz w:val="24"/>
          <w:lang w:val="zh-CN"/>
        </w:rPr>
        <w:t>5.乙方交付的服务成果不符合国家有关部门的法律法规、规章、标准、规范规程以及磋商文件的要求，乙方应无条件修改，如经乙方两次修改仍不能达到质量标准的，甲方有权单方解除合同。</w:t>
      </w:r>
    </w:p>
    <w:p w14:paraId="04A51329">
      <w:pPr>
        <w:adjustRightInd w:val="0"/>
        <w:spacing w:line="360" w:lineRule="auto"/>
        <w:ind w:firstLine="540" w:firstLineChars="225"/>
        <w:rPr>
          <w:rFonts w:hint="eastAsia" w:ascii="黑体" w:hAnsi="黑体" w:eastAsia="黑体" w:cs="宋体"/>
          <w:sz w:val="24"/>
          <w:lang w:val="zh-CN"/>
        </w:rPr>
      </w:pPr>
      <w:r>
        <w:rPr>
          <w:rFonts w:hint="eastAsia" w:ascii="黑体" w:hAnsi="黑体" w:eastAsia="黑体" w:cs="宋体"/>
          <w:sz w:val="24"/>
          <w:lang w:val="zh-CN"/>
        </w:rPr>
        <w:t>6.乙方在承担上述</w:t>
      </w:r>
      <w:r>
        <w:rPr>
          <w:rFonts w:ascii="黑体" w:hAnsi="黑体" w:eastAsia="黑体" w:cs="宋体"/>
          <w:sz w:val="24"/>
          <w:lang w:val="zh-CN"/>
        </w:rPr>
        <w:t>4-</w:t>
      </w:r>
      <w:r>
        <w:rPr>
          <w:rFonts w:hint="eastAsia" w:ascii="黑体" w:hAnsi="黑体" w:eastAsia="黑体" w:cs="宋体"/>
          <w:sz w:val="24"/>
          <w:lang w:val="zh-CN"/>
        </w:rPr>
        <w:t>5款一项或多项违约责任后，仍应继续履行合同规定的义务（甲方解除合同的除外）。甲</w:t>
      </w:r>
      <w:r>
        <w:rPr>
          <w:rFonts w:hint="eastAsia" w:ascii="黑体" w:hAnsi="黑体" w:eastAsia="黑体" w:cs="宋体"/>
          <w:sz w:val="24"/>
        </w:rPr>
        <w:t xml:space="preserve"> </w:t>
      </w:r>
      <w:r>
        <w:rPr>
          <w:rFonts w:hint="eastAsia" w:ascii="黑体" w:hAnsi="黑体" w:eastAsia="黑体" w:cs="宋体"/>
          <w:sz w:val="24"/>
          <w:lang w:val="zh-CN"/>
        </w:rPr>
        <w:t>方未能及时追究乙方的任何一项违约责任并不表明甲方放弃追究乙方该项或其他违约责任。</w:t>
      </w:r>
    </w:p>
    <w:p w14:paraId="4BDCBEEC">
      <w:pPr>
        <w:adjustRightInd w:val="0"/>
        <w:spacing w:line="360" w:lineRule="auto"/>
        <w:ind w:firstLine="420"/>
        <w:rPr>
          <w:rFonts w:hint="eastAsia" w:ascii="黑体" w:hAnsi="黑体" w:eastAsia="黑体" w:cs="宋体"/>
          <w:b/>
          <w:bCs/>
          <w:sz w:val="24"/>
          <w:lang w:val="zh-CN"/>
        </w:rPr>
      </w:pPr>
      <w:r>
        <w:rPr>
          <w:rFonts w:hint="eastAsia" w:ascii="黑体" w:hAnsi="黑体" w:eastAsia="黑体" w:cs="宋体"/>
          <w:b/>
          <w:bCs/>
          <w:sz w:val="24"/>
          <w:lang w:val="zh-CN"/>
        </w:rPr>
        <w:t>第九条合同的变更和终止</w:t>
      </w:r>
    </w:p>
    <w:p w14:paraId="6E9531F5">
      <w:pPr>
        <w:adjustRightInd w:val="0"/>
        <w:spacing w:line="360" w:lineRule="auto"/>
        <w:ind w:firstLine="480" w:firstLineChars="200"/>
        <w:rPr>
          <w:rFonts w:hint="eastAsia" w:ascii="黑体" w:hAnsi="黑体" w:eastAsia="黑体" w:cs="宋体"/>
          <w:sz w:val="24"/>
          <w:lang w:val="zh-CN"/>
        </w:rPr>
      </w:pPr>
      <w:r>
        <w:rPr>
          <w:rFonts w:hint="eastAsia" w:ascii="黑体" w:hAnsi="黑体" w:eastAsia="黑体" w:cs="宋体"/>
          <w:sz w:val="24"/>
          <w:lang w:val="zh-CN"/>
        </w:rPr>
        <w:t>除《</w:t>
      </w:r>
      <w:r>
        <w:rPr>
          <w:rFonts w:hint="eastAsia" w:ascii="黑体" w:hAnsi="黑体" w:eastAsia="黑体" w:cs="宋体"/>
          <w:sz w:val="24"/>
          <w:lang w:val="en-US" w:eastAsia="zh-CN"/>
        </w:rPr>
        <w:t>中华人民共和国</w:t>
      </w:r>
      <w:r>
        <w:rPr>
          <w:rFonts w:hint="eastAsia" w:ascii="黑体" w:hAnsi="黑体" w:eastAsia="黑体" w:cs="宋体"/>
          <w:sz w:val="24"/>
          <w:lang w:val="zh-CN"/>
        </w:rPr>
        <w:t>政府采购法》第</w:t>
      </w:r>
      <w:r>
        <w:rPr>
          <w:rFonts w:ascii="黑体" w:hAnsi="黑体" w:eastAsia="黑体"/>
          <w:sz w:val="24"/>
          <w:lang w:val="zh-CN"/>
        </w:rPr>
        <w:t>50</w:t>
      </w:r>
      <w:r>
        <w:rPr>
          <w:rFonts w:hint="eastAsia" w:ascii="黑体" w:hAnsi="黑体" w:eastAsia="黑体" w:cs="宋体"/>
          <w:sz w:val="24"/>
          <w:lang w:val="zh-CN"/>
        </w:rPr>
        <w:t>条第二款规定的情形外，本合同一经签订，甲乙双方不得擅自变更、中止或终止合同。</w:t>
      </w:r>
    </w:p>
    <w:p w14:paraId="6CAA761E">
      <w:pPr>
        <w:adjustRightInd w:val="0"/>
        <w:spacing w:line="360" w:lineRule="auto"/>
        <w:ind w:firstLine="420"/>
        <w:rPr>
          <w:rFonts w:hint="eastAsia" w:ascii="黑体" w:hAnsi="黑体" w:eastAsia="黑体" w:cs="宋体"/>
          <w:b/>
          <w:bCs/>
          <w:sz w:val="24"/>
          <w:lang w:val="zh-CN"/>
        </w:rPr>
      </w:pPr>
      <w:r>
        <w:rPr>
          <w:rFonts w:hint="eastAsia" w:ascii="黑体" w:hAnsi="黑体" w:eastAsia="黑体" w:cs="宋体"/>
          <w:b/>
          <w:bCs/>
          <w:sz w:val="24"/>
          <w:lang w:val="zh-CN"/>
        </w:rPr>
        <w:t>第十条合同的转让</w:t>
      </w:r>
    </w:p>
    <w:p w14:paraId="62824F50">
      <w:pPr>
        <w:adjustRightInd w:val="0"/>
        <w:spacing w:line="360" w:lineRule="auto"/>
        <w:ind w:firstLine="420"/>
        <w:rPr>
          <w:rFonts w:hint="eastAsia" w:ascii="黑体" w:hAnsi="黑体" w:eastAsia="黑体" w:cs="宋体"/>
          <w:sz w:val="24"/>
          <w:lang w:val="zh-CN"/>
        </w:rPr>
      </w:pPr>
      <w:r>
        <w:rPr>
          <w:rFonts w:hint="eastAsia" w:ascii="黑体" w:hAnsi="黑体" w:eastAsia="黑体" w:cs="宋体"/>
          <w:sz w:val="24"/>
          <w:lang w:val="zh-CN"/>
        </w:rPr>
        <w:t>乙方不得擅自部分或全部转让其应履行的合同义务。</w:t>
      </w:r>
    </w:p>
    <w:p w14:paraId="3C2997FD">
      <w:pPr>
        <w:adjustRightInd w:val="0"/>
        <w:spacing w:line="360" w:lineRule="auto"/>
        <w:ind w:firstLine="420"/>
        <w:rPr>
          <w:rFonts w:hint="eastAsia" w:ascii="黑体" w:hAnsi="黑体" w:eastAsia="黑体" w:cs="宋体"/>
          <w:b/>
          <w:sz w:val="24"/>
          <w:lang w:val="zh-CN"/>
        </w:rPr>
      </w:pPr>
      <w:r>
        <w:rPr>
          <w:rFonts w:hint="eastAsia" w:ascii="黑体" w:hAnsi="黑体" w:eastAsia="黑体" w:cs="宋体"/>
          <w:b/>
          <w:sz w:val="24"/>
          <w:lang w:val="zh-CN"/>
        </w:rPr>
        <w:t>第十一条保密条款</w:t>
      </w:r>
    </w:p>
    <w:p w14:paraId="22B89C47">
      <w:pPr>
        <w:adjustRightInd w:val="0"/>
        <w:spacing w:line="360" w:lineRule="auto"/>
        <w:ind w:firstLine="420"/>
        <w:rPr>
          <w:rFonts w:hint="eastAsia" w:ascii="黑体" w:hAnsi="黑体" w:eastAsia="黑体" w:cs="宋体"/>
          <w:sz w:val="24"/>
          <w:lang w:val="zh-CN"/>
        </w:rPr>
      </w:pPr>
      <w:r>
        <w:rPr>
          <w:rFonts w:hint="eastAsia" w:ascii="黑体" w:hAnsi="黑体" w:eastAsia="黑体" w:cs="Arial"/>
          <w:bCs/>
          <w:sz w:val="24"/>
        </w:rPr>
        <w:t>乙方因严格遵守《医疗机构从业人员行为规范》，做好客户信息及其他工作数据的保密，</w:t>
      </w:r>
      <w:r>
        <w:rPr>
          <w:rFonts w:hint="eastAsia" w:ascii="黑体" w:hAnsi="黑体" w:eastAsia="黑体" w:cs="宋体"/>
          <w:sz w:val="24"/>
          <w:lang w:val="zh-CN"/>
        </w:rPr>
        <w:t>未经甲方同意，不得将所接触到的资料、数据用作其他用途或以任何形式泄露归第三方</w:t>
      </w:r>
      <w:r>
        <w:rPr>
          <w:rFonts w:hint="eastAsia" w:ascii="黑体" w:hAnsi="黑体" w:eastAsia="黑体" w:cs="Arial"/>
          <w:bCs/>
          <w:sz w:val="24"/>
        </w:rPr>
        <w:t>，</w:t>
      </w:r>
      <w:r>
        <w:rPr>
          <w:rFonts w:hint="eastAsia" w:ascii="黑体" w:hAnsi="黑体" w:eastAsia="黑体" w:cs="宋体"/>
          <w:sz w:val="24"/>
          <w:lang w:val="zh-CN"/>
        </w:rPr>
        <w:t>否则乙方需承担由此引起的法律责任和赔偿甲方的经济损失。</w:t>
      </w:r>
    </w:p>
    <w:p w14:paraId="1F5021B1">
      <w:pPr>
        <w:adjustRightInd w:val="0"/>
        <w:spacing w:line="360" w:lineRule="auto"/>
        <w:ind w:firstLine="420"/>
        <w:rPr>
          <w:rFonts w:hint="eastAsia" w:ascii="黑体" w:hAnsi="黑体" w:eastAsia="黑体" w:cs="宋体"/>
          <w:b/>
          <w:bCs/>
          <w:sz w:val="24"/>
          <w:lang w:val="zh-CN"/>
        </w:rPr>
      </w:pPr>
      <w:r>
        <w:rPr>
          <w:rFonts w:hint="eastAsia" w:ascii="黑体" w:hAnsi="黑体" w:eastAsia="黑体" w:cs="宋体"/>
          <w:b/>
          <w:bCs/>
          <w:sz w:val="24"/>
          <w:lang w:val="zh-CN"/>
        </w:rPr>
        <w:t>第十二条争议的解决</w:t>
      </w:r>
    </w:p>
    <w:p w14:paraId="60294B3B">
      <w:pPr>
        <w:adjustRightInd w:val="0"/>
        <w:spacing w:line="360" w:lineRule="auto"/>
        <w:ind w:firstLine="540" w:firstLineChars="225"/>
        <w:rPr>
          <w:rFonts w:hint="eastAsia" w:ascii="黑体" w:hAnsi="黑体" w:eastAsia="黑体" w:cs="宋体"/>
          <w:sz w:val="24"/>
          <w:lang w:val="zh-CN"/>
        </w:rPr>
      </w:pPr>
      <w:r>
        <w:rPr>
          <w:rFonts w:ascii="黑体" w:hAnsi="黑体" w:eastAsia="黑体" w:cs="宋体"/>
          <w:sz w:val="24"/>
          <w:lang w:val="zh-CN"/>
        </w:rPr>
        <w:t>1</w:t>
      </w:r>
      <w:r>
        <w:rPr>
          <w:rFonts w:hint="eastAsia" w:ascii="黑体" w:hAnsi="黑体" w:eastAsia="黑体" w:cs="宋体"/>
          <w:sz w:val="24"/>
          <w:lang w:val="zh-CN"/>
        </w:rPr>
        <w:t>.因服务的质量问题发生争议的，应当邀请国家认可的质量检测机构对服务质量进行鉴定。符合标准的，鉴定费由甲方承担；不符合质量标准的，鉴定费由乙方承担。</w:t>
      </w:r>
    </w:p>
    <w:p w14:paraId="2B37FEA9">
      <w:pPr>
        <w:adjustRightInd w:val="0"/>
        <w:spacing w:line="360" w:lineRule="auto"/>
        <w:ind w:firstLine="560"/>
        <w:rPr>
          <w:rFonts w:hint="eastAsia" w:ascii="黑体" w:hAnsi="黑体" w:eastAsia="黑体" w:cs="宋体"/>
          <w:sz w:val="24"/>
          <w:lang w:val="zh-CN"/>
        </w:rPr>
      </w:pPr>
      <w:r>
        <w:rPr>
          <w:rFonts w:ascii="黑体" w:hAnsi="黑体" w:eastAsia="黑体" w:cs="宋体"/>
          <w:sz w:val="24"/>
          <w:lang w:val="zh-CN"/>
        </w:rPr>
        <w:t>2</w:t>
      </w:r>
      <w:r>
        <w:rPr>
          <w:rFonts w:hint="eastAsia" w:ascii="黑体" w:hAnsi="黑体" w:eastAsia="黑体" w:cs="宋体"/>
          <w:sz w:val="24"/>
          <w:lang w:val="zh-CN"/>
        </w:rPr>
        <w:t>.因履行本合同引起的或与本合同有关的争议，甲、乙双方应首先通过友好协商解决，如果协商不能解决争议，则可向甲方所在地有管辖权的人民法院提起诉讼；</w:t>
      </w:r>
    </w:p>
    <w:p w14:paraId="1E316646">
      <w:pPr>
        <w:adjustRightInd w:val="0"/>
        <w:spacing w:line="360" w:lineRule="auto"/>
        <w:ind w:firstLine="420"/>
        <w:rPr>
          <w:rFonts w:hint="eastAsia" w:ascii="黑体" w:hAnsi="黑体" w:eastAsia="黑体" w:cs="宋体"/>
          <w:b/>
          <w:bCs/>
          <w:sz w:val="24"/>
          <w:lang w:val="zh-CN"/>
        </w:rPr>
      </w:pPr>
      <w:r>
        <w:rPr>
          <w:rFonts w:hint="eastAsia" w:ascii="黑体" w:hAnsi="黑体" w:eastAsia="黑体" w:cs="宋体"/>
          <w:b/>
          <w:bCs/>
          <w:sz w:val="24"/>
          <w:lang w:val="zh-CN"/>
        </w:rPr>
        <w:t>第十三条诚实信用</w:t>
      </w:r>
    </w:p>
    <w:p w14:paraId="682D4CD7">
      <w:pPr>
        <w:adjustRightInd w:val="0"/>
        <w:spacing w:line="360" w:lineRule="auto"/>
        <w:ind w:firstLine="420"/>
        <w:rPr>
          <w:rFonts w:hint="eastAsia" w:ascii="黑体" w:hAnsi="黑体" w:eastAsia="黑体" w:cs="宋体"/>
          <w:sz w:val="24"/>
          <w:lang w:val="zh-CN"/>
        </w:rPr>
      </w:pPr>
      <w:r>
        <w:rPr>
          <w:rFonts w:hint="eastAsia" w:ascii="黑体" w:hAnsi="黑体" w:eastAsia="黑体" w:cs="宋体"/>
          <w:sz w:val="24"/>
          <w:lang w:val="zh-CN"/>
        </w:rPr>
        <w:t>乙方应诚实信用，严格按照竞争性磋商文件要求和投标承诺履行合同，不向甲方进行商业贿赂或者提供不正当利益。</w:t>
      </w:r>
    </w:p>
    <w:p w14:paraId="2CE9C3E6">
      <w:pPr>
        <w:adjustRightInd w:val="0"/>
        <w:spacing w:line="360" w:lineRule="auto"/>
        <w:ind w:firstLine="420"/>
        <w:rPr>
          <w:rFonts w:hint="eastAsia" w:ascii="黑体" w:hAnsi="黑体" w:eastAsia="黑体" w:cs="宋体"/>
          <w:b/>
          <w:bCs/>
          <w:sz w:val="24"/>
          <w:lang w:val="zh-CN"/>
        </w:rPr>
      </w:pPr>
      <w:r>
        <w:rPr>
          <w:rFonts w:hint="eastAsia" w:ascii="黑体" w:hAnsi="黑体" w:eastAsia="黑体" w:cs="宋体"/>
          <w:b/>
          <w:bCs/>
          <w:sz w:val="24"/>
          <w:lang w:val="zh-CN"/>
        </w:rPr>
        <w:t>第十四条合同生效及其他</w:t>
      </w:r>
    </w:p>
    <w:p w14:paraId="1F0D28B2">
      <w:pPr>
        <w:adjustRightInd w:val="0"/>
        <w:spacing w:line="360" w:lineRule="auto"/>
        <w:ind w:firstLine="420"/>
        <w:rPr>
          <w:rFonts w:hint="eastAsia" w:ascii="黑体" w:hAnsi="黑体" w:eastAsia="黑体" w:cs="宋体"/>
          <w:sz w:val="24"/>
          <w:lang w:val="zh-CN"/>
        </w:rPr>
      </w:pPr>
      <w:r>
        <w:rPr>
          <w:rFonts w:ascii="黑体" w:hAnsi="黑体" w:eastAsia="黑体" w:cs="宋体"/>
          <w:sz w:val="24"/>
          <w:lang w:val="zh-CN"/>
        </w:rPr>
        <w:t>1</w:t>
      </w:r>
      <w:r>
        <w:rPr>
          <w:rFonts w:hint="eastAsia" w:ascii="黑体" w:hAnsi="黑体" w:eastAsia="黑体" w:cs="宋体"/>
          <w:sz w:val="24"/>
          <w:lang w:val="zh-CN"/>
        </w:rPr>
        <w:t>.合同自双方签字盖章之日起生效。</w:t>
      </w:r>
    </w:p>
    <w:p w14:paraId="56DEFBD8">
      <w:pPr>
        <w:adjustRightInd w:val="0"/>
        <w:spacing w:line="360" w:lineRule="auto"/>
        <w:ind w:firstLine="420"/>
        <w:rPr>
          <w:rFonts w:hint="eastAsia" w:ascii="黑体" w:hAnsi="黑体" w:eastAsia="黑体" w:cs="宋体"/>
          <w:sz w:val="24"/>
          <w:lang w:val="zh-CN"/>
        </w:rPr>
      </w:pPr>
      <w:r>
        <w:rPr>
          <w:rFonts w:ascii="黑体" w:hAnsi="黑体" w:eastAsia="黑体" w:cs="宋体"/>
          <w:sz w:val="24"/>
          <w:lang w:val="zh-CN"/>
        </w:rPr>
        <w:t>2</w:t>
      </w:r>
      <w:r>
        <w:rPr>
          <w:rFonts w:hint="eastAsia" w:ascii="黑体" w:hAnsi="黑体" w:eastAsia="黑体" w:cs="宋体"/>
          <w:sz w:val="24"/>
          <w:lang w:val="zh-CN"/>
        </w:rPr>
        <w:t>.本合同一式</w:t>
      </w:r>
      <w:r>
        <w:rPr>
          <w:rFonts w:hint="eastAsia" w:ascii="黑体" w:hAnsi="黑体" w:eastAsia="黑体" w:cs="宋体"/>
          <w:sz w:val="24"/>
        </w:rPr>
        <w:t>陆</w:t>
      </w:r>
      <w:r>
        <w:rPr>
          <w:rFonts w:hint="eastAsia" w:ascii="黑体" w:hAnsi="黑体" w:eastAsia="黑体" w:cs="宋体"/>
          <w:sz w:val="24"/>
          <w:lang w:val="zh-CN"/>
        </w:rPr>
        <w:t>份，甲乙双方各执贰份，一份报送政府采购监督管理部门备案，一份报代理机构备案。</w:t>
      </w:r>
    </w:p>
    <w:p w14:paraId="43707CBD">
      <w:pPr>
        <w:adjustRightInd w:val="0"/>
        <w:spacing w:line="360" w:lineRule="auto"/>
        <w:ind w:firstLine="420"/>
        <w:rPr>
          <w:rFonts w:hint="eastAsia" w:ascii="黑体" w:hAnsi="黑体" w:eastAsia="黑体" w:cs="宋体"/>
          <w:sz w:val="24"/>
          <w:lang w:val="zh-CN"/>
        </w:rPr>
      </w:pPr>
      <w:r>
        <w:rPr>
          <w:rFonts w:ascii="黑体" w:hAnsi="黑体" w:eastAsia="黑体" w:cs="宋体"/>
          <w:sz w:val="24"/>
          <w:lang w:val="zh-CN"/>
        </w:rPr>
        <w:t>3</w:t>
      </w:r>
      <w:r>
        <w:rPr>
          <w:rFonts w:hint="eastAsia" w:ascii="黑体" w:hAnsi="黑体" w:eastAsia="黑体" w:cs="宋体"/>
          <w:sz w:val="24"/>
          <w:lang w:val="zh-CN"/>
        </w:rPr>
        <w:t>.本合同应按照中华人民共和国的现行法律进行解释。</w:t>
      </w:r>
    </w:p>
    <w:p w14:paraId="4D6E2E62">
      <w:pPr>
        <w:spacing w:line="360" w:lineRule="auto"/>
        <w:ind w:firstLine="480" w:firstLineChars="200"/>
        <w:rPr>
          <w:rFonts w:hint="eastAsia" w:ascii="黑体" w:hAnsi="黑体" w:eastAsia="黑体" w:cs="宋体"/>
          <w:sz w:val="24"/>
          <w:lang w:val="zh-CN"/>
        </w:rPr>
      </w:pPr>
    </w:p>
    <w:p w14:paraId="16F649A2">
      <w:pPr>
        <w:spacing w:line="360" w:lineRule="auto"/>
        <w:ind w:firstLine="480" w:firstLineChars="200"/>
        <w:rPr>
          <w:rFonts w:hint="eastAsia" w:ascii="黑体" w:hAnsi="黑体" w:eastAsia="黑体"/>
          <w:sz w:val="24"/>
        </w:rPr>
      </w:pPr>
    </w:p>
    <w:p w14:paraId="01739223">
      <w:pPr>
        <w:spacing w:line="360" w:lineRule="auto"/>
        <w:ind w:firstLine="480" w:firstLineChars="200"/>
        <w:rPr>
          <w:rFonts w:hint="eastAsia" w:ascii="黑体" w:hAnsi="黑体" w:eastAsia="黑体"/>
          <w:sz w:val="24"/>
        </w:rPr>
      </w:pPr>
    </w:p>
    <w:tbl>
      <w:tblPr>
        <w:tblStyle w:val="24"/>
        <w:tblW w:w="0" w:type="auto"/>
        <w:jc w:val="center"/>
        <w:tblLayout w:type="autofit"/>
        <w:tblCellMar>
          <w:top w:w="0" w:type="dxa"/>
          <w:left w:w="108" w:type="dxa"/>
          <w:bottom w:w="0" w:type="dxa"/>
          <w:right w:w="108" w:type="dxa"/>
        </w:tblCellMar>
      </w:tblPr>
      <w:tblGrid>
        <w:gridCol w:w="4263"/>
        <w:gridCol w:w="4263"/>
      </w:tblGrid>
      <w:tr w14:paraId="36F7069A">
        <w:tblPrEx>
          <w:tblCellMar>
            <w:top w:w="0" w:type="dxa"/>
            <w:left w:w="108" w:type="dxa"/>
            <w:bottom w:w="0" w:type="dxa"/>
            <w:right w:w="108" w:type="dxa"/>
          </w:tblCellMar>
        </w:tblPrEx>
        <w:trPr>
          <w:jc w:val="center"/>
        </w:trPr>
        <w:tc>
          <w:tcPr>
            <w:tcW w:w="4263" w:type="dxa"/>
          </w:tcPr>
          <w:p w14:paraId="49BA0ABA">
            <w:pPr>
              <w:spacing w:line="360" w:lineRule="auto"/>
              <w:rPr>
                <w:rFonts w:hint="eastAsia" w:ascii="黑体" w:hAnsi="黑体" w:eastAsia="黑体"/>
                <w:sz w:val="24"/>
              </w:rPr>
            </w:pPr>
            <w:r>
              <w:rPr>
                <w:rFonts w:ascii="黑体" w:hAnsi="黑体" w:eastAsia="黑体"/>
                <w:sz w:val="24"/>
              </w:rPr>
              <w:t>甲方（采购人）：（盖章）</w:t>
            </w:r>
          </w:p>
        </w:tc>
        <w:tc>
          <w:tcPr>
            <w:tcW w:w="4263" w:type="dxa"/>
          </w:tcPr>
          <w:p w14:paraId="013A5C64">
            <w:pPr>
              <w:spacing w:line="360" w:lineRule="auto"/>
              <w:rPr>
                <w:rFonts w:hint="eastAsia" w:ascii="黑体" w:hAnsi="黑体" w:eastAsia="黑体"/>
                <w:sz w:val="24"/>
              </w:rPr>
            </w:pPr>
            <w:r>
              <w:rPr>
                <w:rFonts w:ascii="黑体" w:hAnsi="黑体" w:eastAsia="黑体"/>
                <w:sz w:val="24"/>
              </w:rPr>
              <w:t>乙方（供应商）：（盖章）</w:t>
            </w:r>
          </w:p>
        </w:tc>
      </w:tr>
      <w:tr w14:paraId="65DED974">
        <w:tblPrEx>
          <w:tblCellMar>
            <w:top w:w="0" w:type="dxa"/>
            <w:left w:w="108" w:type="dxa"/>
            <w:bottom w:w="0" w:type="dxa"/>
            <w:right w:w="108" w:type="dxa"/>
          </w:tblCellMar>
        </w:tblPrEx>
        <w:trPr>
          <w:jc w:val="center"/>
        </w:trPr>
        <w:tc>
          <w:tcPr>
            <w:tcW w:w="4263" w:type="dxa"/>
          </w:tcPr>
          <w:p w14:paraId="3DC5041C">
            <w:pPr>
              <w:spacing w:line="360" w:lineRule="auto"/>
              <w:rPr>
                <w:rFonts w:hint="eastAsia" w:ascii="黑体" w:hAnsi="黑体" w:eastAsia="黑体"/>
                <w:sz w:val="24"/>
              </w:rPr>
            </w:pPr>
            <w:r>
              <w:rPr>
                <w:rFonts w:ascii="黑体" w:hAnsi="黑体" w:eastAsia="黑体"/>
                <w:sz w:val="24"/>
              </w:rPr>
              <w:t>代表人：</w:t>
            </w:r>
          </w:p>
        </w:tc>
        <w:tc>
          <w:tcPr>
            <w:tcW w:w="4263" w:type="dxa"/>
          </w:tcPr>
          <w:p w14:paraId="4A3B7406">
            <w:pPr>
              <w:spacing w:line="360" w:lineRule="auto"/>
              <w:rPr>
                <w:rFonts w:hint="eastAsia" w:ascii="黑体" w:hAnsi="黑体" w:eastAsia="黑体"/>
                <w:sz w:val="24"/>
              </w:rPr>
            </w:pPr>
            <w:r>
              <w:rPr>
                <w:rFonts w:ascii="黑体" w:hAnsi="黑体" w:eastAsia="黑体"/>
                <w:sz w:val="24"/>
              </w:rPr>
              <w:t>代表人：</w:t>
            </w:r>
          </w:p>
        </w:tc>
      </w:tr>
      <w:tr w14:paraId="50C26B1B">
        <w:tblPrEx>
          <w:tblCellMar>
            <w:top w:w="0" w:type="dxa"/>
            <w:left w:w="108" w:type="dxa"/>
            <w:bottom w:w="0" w:type="dxa"/>
            <w:right w:w="108" w:type="dxa"/>
          </w:tblCellMar>
        </w:tblPrEx>
        <w:trPr>
          <w:trHeight w:val="302" w:hRule="atLeast"/>
          <w:jc w:val="center"/>
        </w:trPr>
        <w:tc>
          <w:tcPr>
            <w:tcW w:w="4263" w:type="dxa"/>
          </w:tcPr>
          <w:p w14:paraId="314917B9">
            <w:pPr>
              <w:spacing w:line="360" w:lineRule="auto"/>
              <w:rPr>
                <w:rFonts w:hint="eastAsia" w:ascii="黑体" w:hAnsi="黑体" w:eastAsia="黑体"/>
                <w:sz w:val="24"/>
              </w:rPr>
            </w:pPr>
            <w:r>
              <w:rPr>
                <w:rFonts w:ascii="黑体" w:hAnsi="黑体" w:eastAsia="黑体"/>
                <w:sz w:val="24"/>
              </w:rPr>
              <w:t>电话：</w:t>
            </w:r>
          </w:p>
        </w:tc>
        <w:tc>
          <w:tcPr>
            <w:tcW w:w="4263" w:type="dxa"/>
          </w:tcPr>
          <w:p w14:paraId="5C1FF337">
            <w:pPr>
              <w:spacing w:line="360" w:lineRule="auto"/>
              <w:rPr>
                <w:rFonts w:hint="eastAsia" w:ascii="黑体" w:hAnsi="黑体" w:eastAsia="黑体"/>
                <w:sz w:val="24"/>
              </w:rPr>
            </w:pPr>
            <w:r>
              <w:rPr>
                <w:rFonts w:ascii="黑体" w:hAnsi="黑体" w:eastAsia="黑体"/>
                <w:sz w:val="24"/>
              </w:rPr>
              <w:t>电话：</w:t>
            </w:r>
          </w:p>
        </w:tc>
      </w:tr>
      <w:tr w14:paraId="600686F4">
        <w:tblPrEx>
          <w:tblCellMar>
            <w:top w:w="0" w:type="dxa"/>
            <w:left w:w="108" w:type="dxa"/>
            <w:bottom w:w="0" w:type="dxa"/>
            <w:right w:w="108" w:type="dxa"/>
          </w:tblCellMar>
        </w:tblPrEx>
        <w:trPr>
          <w:jc w:val="center"/>
        </w:trPr>
        <w:tc>
          <w:tcPr>
            <w:tcW w:w="4263" w:type="dxa"/>
          </w:tcPr>
          <w:p w14:paraId="4D93DAC0">
            <w:pPr>
              <w:spacing w:line="360" w:lineRule="auto"/>
              <w:rPr>
                <w:rFonts w:hint="eastAsia" w:ascii="黑体" w:hAnsi="黑体" w:eastAsia="黑体"/>
                <w:sz w:val="24"/>
              </w:rPr>
            </w:pPr>
            <w:r>
              <w:rPr>
                <w:rFonts w:ascii="黑体" w:hAnsi="黑体" w:eastAsia="黑体"/>
                <w:sz w:val="24"/>
              </w:rPr>
              <w:t>开户银行：</w:t>
            </w:r>
          </w:p>
        </w:tc>
        <w:tc>
          <w:tcPr>
            <w:tcW w:w="4263" w:type="dxa"/>
          </w:tcPr>
          <w:p w14:paraId="3C3BDFD3">
            <w:pPr>
              <w:spacing w:line="360" w:lineRule="auto"/>
              <w:rPr>
                <w:rFonts w:hint="eastAsia" w:ascii="黑体" w:hAnsi="黑体" w:eastAsia="黑体"/>
                <w:sz w:val="24"/>
              </w:rPr>
            </w:pPr>
            <w:r>
              <w:rPr>
                <w:rFonts w:ascii="黑体" w:hAnsi="黑体" w:eastAsia="黑体"/>
                <w:sz w:val="24"/>
              </w:rPr>
              <w:t>开户银行：</w:t>
            </w:r>
          </w:p>
        </w:tc>
      </w:tr>
      <w:tr w14:paraId="703E043B">
        <w:tblPrEx>
          <w:tblCellMar>
            <w:top w:w="0" w:type="dxa"/>
            <w:left w:w="108" w:type="dxa"/>
            <w:bottom w:w="0" w:type="dxa"/>
            <w:right w:w="108" w:type="dxa"/>
          </w:tblCellMar>
        </w:tblPrEx>
        <w:trPr>
          <w:trHeight w:val="80" w:hRule="atLeast"/>
          <w:jc w:val="center"/>
        </w:trPr>
        <w:tc>
          <w:tcPr>
            <w:tcW w:w="4263" w:type="dxa"/>
          </w:tcPr>
          <w:p w14:paraId="75742EA8">
            <w:pPr>
              <w:spacing w:line="360" w:lineRule="auto"/>
              <w:rPr>
                <w:rFonts w:hint="eastAsia" w:ascii="黑体" w:hAnsi="黑体" w:eastAsia="黑体"/>
                <w:sz w:val="24"/>
              </w:rPr>
            </w:pPr>
            <w:r>
              <w:rPr>
                <w:rFonts w:hint="eastAsia" w:ascii="黑体" w:hAnsi="黑体" w:eastAsia="黑体"/>
                <w:sz w:val="24"/>
                <w:lang w:eastAsia="zh-CN"/>
              </w:rPr>
              <w:t>账号</w:t>
            </w:r>
            <w:r>
              <w:rPr>
                <w:rFonts w:ascii="黑体" w:hAnsi="黑体" w:eastAsia="黑体"/>
                <w:sz w:val="24"/>
              </w:rPr>
              <w:t>：</w:t>
            </w:r>
          </w:p>
        </w:tc>
        <w:tc>
          <w:tcPr>
            <w:tcW w:w="4263" w:type="dxa"/>
          </w:tcPr>
          <w:p w14:paraId="052ED214">
            <w:pPr>
              <w:spacing w:line="360" w:lineRule="auto"/>
              <w:rPr>
                <w:rFonts w:hint="eastAsia" w:ascii="黑体" w:hAnsi="黑体" w:eastAsia="黑体"/>
                <w:sz w:val="24"/>
              </w:rPr>
            </w:pPr>
            <w:r>
              <w:rPr>
                <w:rFonts w:hint="eastAsia" w:ascii="黑体" w:hAnsi="黑体" w:eastAsia="黑体"/>
                <w:sz w:val="24"/>
                <w:lang w:eastAsia="zh-CN"/>
              </w:rPr>
              <w:t>账号</w:t>
            </w:r>
            <w:r>
              <w:rPr>
                <w:rFonts w:ascii="黑体" w:hAnsi="黑体" w:eastAsia="黑体"/>
                <w:sz w:val="24"/>
              </w:rPr>
              <w:t>：</w:t>
            </w:r>
          </w:p>
        </w:tc>
      </w:tr>
    </w:tbl>
    <w:p w14:paraId="2276AE8B">
      <w:pPr>
        <w:widowControl/>
        <w:shd w:val="clear" w:color="auto" w:fill="FFFFFF"/>
        <w:spacing w:line="440" w:lineRule="exact"/>
        <w:rPr>
          <w:rFonts w:hint="eastAsia" w:ascii="黑体" w:hAnsi="黑体" w:eastAsia="黑体" w:cs="宋体"/>
          <w:szCs w:val="21"/>
        </w:rPr>
      </w:pPr>
    </w:p>
    <w:p w14:paraId="41DA0D75">
      <w:pPr>
        <w:pStyle w:val="12"/>
        <w:adjustRightInd w:val="0"/>
        <w:snapToGrid w:val="0"/>
        <w:spacing w:line="360" w:lineRule="auto"/>
        <w:ind w:left="422" w:firstLine="210" w:firstLineChars="100"/>
        <w:rPr>
          <w:rFonts w:hint="eastAsia" w:ascii="黑体" w:hAnsi="黑体" w:eastAsia="黑体" w:cs="宋体"/>
        </w:rPr>
      </w:pPr>
      <w:r>
        <w:rPr>
          <w:rFonts w:hint="eastAsia" w:ascii="黑体" w:hAnsi="黑体" w:eastAsia="黑体" w:cs="宋体"/>
        </w:rPr>
        <w:br w:type="page"/>
      </w:r>
    </w:p>
    <w:p w14:paraId="6543192B">
      <w:pPr>
        <w:pStyle w:val="3"/>
        <w:rPr>
          <w:rFonts w:hint="eastAsia"/>
        </w:rPr>
      </w:pPr>
      <w:bookmarkStart w:id="271" w:name="_Toc30108"/>
      <w:bookmarkStart w:id="272" w:name="_Toc24800"/>
      <w:bookmarkStart w:id="273" w:name="_Toc507142122"/>
      <w:r>
        <w:rPr>
          <w:rFonts w:hint="eastAsia"/>
        </w:rPr>
        <w:t>七、 附件（响应文件格式）</w:t>
      </w:r>
      <w:bookmarkEnd w:id="271"/>
      <w:bookmarkEnd w:id="272"/>
      <w:bookmarkEnd w:id="273"/>
    </w:p>
    <w:p w14:paraId="5A297464">
      <w:pPr>
        <w:rPr>
          <w:rFonts w:hint="eastAsia" w:hAnsi="黑体" w:cs="黑体"/>
          <w:b/>
          <w:bCs/>
          <w:snapToGrid w:val="0"/>
          <w:kern w:val="0"/>
          <w:szCs w:val="24"/>
        </w:rPr>
      </w:pPr>
      <w:r>
        <w:rPr>
          <w:rFonts w:hint="eastAsia" w:hAnsi="黑体" w:cs="黑体"/>
          <w:b/>
          <w:bCs/>
          <w:snapToGrid w:val="0"/>
          <w:kern w:val="0"/>
          <w:szCs w:val="24"/>
        </w:rPr>
        <w:t xml:space="preserve"> </w:t>
      </w:r>
    </w:p>
    <w:p w14:paraId="0362FE24">
      <w:pPr>
        <w:jc w:val="center"/>
        <w:rPr>
          <w:rFonts w:hint="eastAsia" w:ascii="黑体" w:hAnsi="黑体" w:eastAsia="黑体"/>
          <w:b/>
          <w:bCs/>
          <w:snapToGrid w:val="0"/>
          <w:sz w:val="52"/>
          <w:szCs w:val="52"/>
        </w:rPr>
      </w:pPr>
      <w:bookmarkStart w:id="274" w:name="_Toc16514"/>
      <w:bookmarkStart w:id="275" w:name="_Toc149"/>
      <w:r>
        <w:rPr>
          <w:rFonts w:hint="eastAsia" w:ascii="黑体" w:hAnsi="黑体" w:eastAsia="黑体"/>
          <w:b/>
          <w:bCs/>
          <w:snapToGrid w:val="0"/>
          <w:sz w:val="52"/>
          <w:szCs w:val="52"/>
        </w:rPr>
        <w:t>响</w:t>
      </w:r>
      <w:bookmarkEnd w:id="274"/>
      <w:bookmarkEnd w:id="275"/>
    </w:p>
    <w:p w14:paraId="07BC6E71">
      <w:pPr>
        <w:jc w:val="center"/>
        <w:rPr>
          <w:rFonts w:hint="eastAsia" w:ascii="黑体" w:hAnsi="黑体" w:eastAsia="黑体"/>
          <w:b/>
          <w:bCs/>
          <w:snapToGrid w:val="0"/>
          <w:sz w:val="52"/>
          <w:szCs w:val="52"/>
        </w:rPr>
      </w:pPr>
    </w:p>
    <w:p w14:paraId="62E5A3D7">
      <w:pPr>
        <w:jc w:val="center"/>
        <w:rPr>
          <w:rFonts w:hint="eastAsia" w:ascii="黑体" w:hAnsi="黑体" w:eastAsia="黑体"/>
          <w:b/>
          <w:bCs/>
          <w:snapToGrid w:val="0"/>
          <w:sz w:val="52"/>
          <w:szCs w:val="52"/>
        </w:rPr>
      </w:pPr>
      <w:bookmarkStart w:id="276" w:name="_Toc20265"/>
      <w:bookmarkStart w:id="277" w:name="_Toc10736"/>
      <w:r>
        <w:rPr>
          <w:rFonts w:hint="eastAsia" w:ascii="黑体" w:hAnsi="黑体" w:eastAsia="黑体"/>
          <w:b/>
          <w:bCs/>
          <w:snapToGrid w:val="0"/>
          <w:sz w:val="52"/>
          <w:szCs w:val="52"/>
        </w:rPr>
        <w:t>应</w:t>
      </w:r>
      <w:bookmarkEnd w:id="276"/>
      <w:bookmarkEnd w:id="277"/>
    </w:p>
    <w:p w14:paraId="1ECB5130">
      <w:pPr>
        <w:jc w:val="center"/>
        <w:rPr>
          <w:rFonts w:hint="eastAsia" w:ascii="黑体" w:hAnsi="黑体" w:eastAsia="黑体"/>
          <w:b/>
          <w:bCs/>
          <w:snapToGrid w:val="0"/>
          <w:sz w:val="52"/>
          <w:szCs w:val="52"/>
        </w:rPr>
      </w:pPr>
    </w:p>
    <w:p w14:paraId="78F66F5B">
      <w:pPr>
        <w:jc w:val="center"/>
        <w:rPr>
          <w:rFonts w:hint="eastAsia" w:ascii="黑体" w:hAnsi="黑体" w:eastAsia="黑体"/>
          <w:b/>
          <w:bCs/>
          <w:snapToGrid w:val="0"/>
          <w:sz w:val="52"/>
          <w:szCs w:val="52"/>
        </w:rPr>
      </w:pPr>
      <w:bookmarkStart w:id="278" w:name="_Toc30649"/>
      <w:bookmarkStart w:id="279" w:name="_Toc22152"/>
      <w:r>
        <w:rPr>
          <w:rFonts w:hint="eastAsia" w:ascii="黑体" w:hAnsi="黑体" w:eastAsia="黑体"/>
          <w:b/>
          <w:bCs/>
          <w:snapToGrid w:val="0"/>
          <w:sz w:val="52"/>
          <w:szCs w:val="52"/>
        </w:rPr>
        <w:t>文</w:t>
      </w:r>
      <w:bookmarkEnd w:id="278"/>
      <w:bookmarkEnd w:id="279"/>
    </w:p>
    <w:p w14:paraId="211AFCDB">
      <w:pPr>
        <w:jc w:val="center"/>
        <w:rPr>
          <w:rFonts w:hint="eastAsia" w:ascii="黑体" w:hAnsi="黑体" w:eastAsia="黑体"/>
          <w:b/>
          <w:bCs/>
          <w:snapToGrid w:val="0"/>
          <w:sz w:val="52"/>
          <w:szCs w:val="52"/>
        </w:rPr>
      </w:pPr>
    </w:p>
    <w:p w14:paraId="23632EB5">
      <w:pPr>
        <w:jc w:val="center"/>
        <w:rPr>
          <w:rFonts w:hint="eastAsia" w:hAnsi="黑体"/>
          <w:b/>
          <w:bCs/>
          <w:snapToGrid w:val="0"/>
          <w:sz w:val="52"/>
          <w:szCs w:val="52"/>
        </w:rPr>
      </w:pPr>
      <w:bookmarkStart w:id="280" w:name="_Toc30424"/>
      <w:bookmarkStart w:id="281" w:name="_Toc12936"/>
      <w:r>
        <w:rPr>
          <w:rFonts w:hint="eastAsia" w:ascii="黑体" w:hAnsi="黑体" w:eastAsia="黑体"/>
          <w:b/>
          <w:bCs/>
          <w:snapToGrid w:val="0"/>
          <w:sz w:val="52"/>
          <w:szCs w:val="52"/>
        </w:rPr>
        <w:t>件</w:t>
      </w:r>
      <w:bookmarkEnd w:id="280"/>
      <w:bookmarkEnd w:id="281"/>
    </w:p>
    <w:p w14:paraId="2F03A4BB">
      <w:pPr>
        <w:rPr>
          <w:snapToGrid w:val="0"/>
        </w:rPr>
      </w:pPr>
    </w:p>
    <w:p w14:paraId="39D35EA5">
      <w:pPr>
        <w:rPr>
          <w:rFonts w:hint="eastAsia" w:hAnsi="黑体" w:cs="黑体"/>
          <w:bCs/>
          <w:snapToGrid w:val="0"/>
          <w:kern w:val="0"/>
          <w:sz w:val="28"/>
        </w:rPr>
      </w:pPr>
    </w:p>
    <w:p w14:paraId="7CE2A911">
      <w:pPr>
        <w:rPr>
          <w:rFonts w:hint="eastAsia" w:ascii="黑体" w:hAnsi="黑体" w:eastAsia="黑体"/>
          <w:snapToGrid w:val="0"/>
          <w:sz w:val="28"/>
          <w:szCs w:val="28"/>
        </w:rPr>
      </w:pPr>
      <w:bookmarkStart w:id="282" w:name="_Toc27643"/>
      <w:bookmarkStart w:id="283" w:name="_Toc9701"/>
      <w:r>
        <w:rPr>
          <w:rFonts w:hint="eastAsia" w:ascii="黑体" w:hAnsi="黑体" w:eastAsia="黑体"/>
          <w:snapToGrid w:val="0"/>
          <w:sz w:val="28"/>
          <w:szCs w:val="28"/>
        </w:rPr>
        <w:t>采购编号：</w:t>
      </w:r>
      <w:bookmarkEnd w:id="282"/>
      <w:bookmarkEnd w:id="283"/>
      <w:r>
        <w:rPr>
          <w:rFonts w:hint="eastAsia" w:ascii="黑体" w:hAnsi="黑体" w:eastAsia="黑体"/>
          <w:snapToGrid w:val="0"/>
          <w:sz w:val="28"/>
          <w:szCs w:val="28"/>
          <w:u w:val="single"/>
        </w:rPr>
        <w:t xml:space="preserve">                                             </w:t>
      </w:r>
    </w:p>
    <w:p w14:paraId="1E7CFC2C">
      <w:pPr>
        <w:rPr>
          <w:rFonts w:hint="eastAsia" w:ascii="黑体" w:hAnsi="黑体" w:eastAsia="黑体"/>
          <w:snapToGrid w:val="0"/>
          <w:sz w:val="28"/>
          <w:szCs w:val="28"/>
          <w:u w:val="single"/>
        </w:rPr>
      </w:pPr>
      <w:bookmarkStart w:id="284" w:name="_Toc28989"/>
      <w:bookmarkStart w:id="285" w:name="_Toc23718"/>
      <w:r>
        <w:rPr>
          <w:rFonts w:hint="eastAsia" w:ascii="黑体" w:hAnsi="黑体" w:eastAsia="黑体"/>
          <w:snapToGrid w:val="0"/>
          <w:sz w:val="28"/>
          <w:szCs w:val="28"/>
        </w:rPr>
        <w:t>项目名称：</w:t>
      </w:r>
      <w:bookmarkEnd w:id="284"/>
      <w:bookmarkEnd w:id="285"/>
      <w:r>
        <w:rPr>
          <w:rFonts w:hint="eastAsia" w:ascii="黑体" w:hAnsi="黑体" w:eastAsia="黑体"/>
          <w:snapToGrid w:val="0"/>
          <w:sz w:val="28"/>
          <w:szCs w:val="28"/>
          <w:u w:val="single"/>
        </w:rPr>
        <w:t xml:space="preserve">                                             </w:t>
      </w:r>
    </w:p>
    <w:p w14:paraId="3BE2D55D">
      <w:pPr>
        <w:rPr>
          <w:rFonts w:hint="eastAsia" w:ascii="黑体" w:hAnsi="黑体" w:eastAsia="黑体"/>
          <w:snapToGrid w:val="0"/>
          <w:sz w:val="28"/>
          <w:szCs w:val="28"/>
        </w:rPr>
      </w:pPr>
      <w:bookmarkStart w:id="286" w:name="_Toc16101"/>
      <w:bookmarkStart w:id="287" w:name="_Toc20744"/>
      <w:r>
        <w:rPr>
          <w:rFonts w:hint="eastAsia" w:ascii="黑体" w:hAnsi="黑体" w:eastAsia="黑体"/>
          <w:snapToGrid w:val="0"/>
          <w:sz w:val="28"/>
          <w:szCs w:val="28"/>
        </w:rPr>
        <w:t>供应商：</w:t>
      </w:r>
      <w:bookmarkEnd w:id="286"/>
      <w:bookmarkEnd w:id="287"/>
      <w:r>
        <w:rPr>
          <w:rFonts w:hint="eastAsia" w:ascii="黑体" w:hAnsi="黑体" w:eastAsia="黑体"/>
          <w:snapToGrid w:val="0"/>
          <w:sz w:val="28"/>
          <w:szCs w:val="28"/>
        </w:rPr>
        <w:t xml:space="preserve"> </w:t>
      </w:r>
      <w:r>
        <w:rPr>
          <w:rFonts w:hint="eastAsia" w:ascii="黑体" w:hAnsi="黑体" w:eastAsia="黑体"/>
          <w:snapToGrid w:val="0"/>
          <w:sz w:val="28"/>
          <w:szCs w:val="28"/>
          <w:u w:val="single"/>
        </w:rPr>
        <w:t xml:space="preserve">                                              </w:t>
      </w:r>
    </w:p>
    <w:p w14:paraId="08201F2A">
      <w:pPr>
        <w:rPr>
          <w:rFonts w:hint="eastAsia" w:ascii="黑体" w:hAnsi="黑体" w:eastAsia="黑体" w:cs="黑体"/>
          <w:bCs/>
          <w:snapToGrid w:val="0"/>
          <w:kern w:val="0"/>
          <w:sz w:val="32"/>
        </w:rPr>
      </w:pPr>
    </w:p>
    <w:p w14:paraId="53584195">
      <w:pPr>
        <w:jc w:val="center"/>
        <w:rPr>
          <w:rFonts w:hint="eastAsia" w:ascii="黑体" w:hAnsi="黑体" w:eastAsia="黑体"/>
          <w:sz w:val="28"/>
          <w:szCs w:val="28"/>
        </w:rPr>
      </w:pPr>
      <w:bookmarkStart w:id="288" w:name="_Toc2146"/>
      <w:bookmarkStart w:id="289" w:name="_Toc23385"/>
      <w:r>
        <w:rPr>
          <w:rFonts w:hint="eastAsia" w:ascii="黑体" w:hAnsi="黑体" w:eastAsia="黑体"/>
          <w:sz w:val="28"/>
          <w:szCs w:val="28"/>
        </w:rPr>
        <w:t xml:space="preserve"> 年  月  日</w:t>
      </w:r>
      <w:bookmarkEnd w:id="288"/>
      <w:bookmarkEnd w:id="289"/>
    </w:p>
    <w:p w14:paraId="7BD8DB39">
      <w:pPr>
        <w:rPr>
          <w:rFonts w:ascii="黑体" w:eastAsia="黑体" w:cs="黑体"/>
          <w:szCs w:val="21"/>
          <w:u w:val="single"/>
        </w:rPr>
      </w:pPr>
      <w:r>
        <w:rPr>
          <w:rFonts w:hint="eastAsia" w:ascii="黑体" w:hAnsi="黑体" w:eastAsia="黑体" w:cs="黑体"/>
          <w:sz w:val="28"/>
          <w:szCs w:val="28"/>
          <w:u w:val="single"/>
        </w:rPr>
        <w:t>注：请供应商按照以下文件的要求格式、内容，顺序制作响应文件，并请编制目录及页码，否则可能将影响对响应文件的评价。</w:t>
      </w:r>
    </w:p>
    <w:p w14:paraId="495F21B4">
      <w:pPr>
        <w:spacing w:before="19" w:line="400" w:lineRule="exact"/>
        <w:ind w:left="422"/>
        <w:rPr>
          <w:rFonts w:hint="eastAsia" w:ascii="黑体" w:hAnsi="黑体" w:eastAsia="黑体" w:cs="黑体"/>
          <w:szCs w:val="21"/>
          <w:u w:val="single"/>
        </w:rPr>
      </w:pPr>
    </w:p>
    <w:p w14:paraId="619CC3F1">
      <w:pPr>
        <w:ind w:left="422" w:firstLine="602"/>
        <w:rPr>
          <w:rFonts w:hint="eastAsia" w:ascii="黑体" w:hAnsi="黑体" w:eastAsia="黑体" w:cs="黑体"/>
          <w:b/>
          <w:sz w:val="30"/>
          <w:szCs w:val="30"/>
        </w:rPr>
      </w:pPr>
      <w:r>
        <w:rPr>
          <w:rFonts w:hint="eastAsia" w:ascii="黑体" w:hAnsi="黑体" w:eastAsia="黑体" w:cs="黑体"/>
          <w:b/>
          <w:sz w:val="30"/>
          <w:szCs w:val="30"/>
        </w:rPr>
        <w:br w:type="page"/>
      </w:r>
    </w:p>
    <w:p w14:paraId="5615CE50">
      <w:pPr>
        <w:pStyle w:val="2"/>
        <w:jc w:val="center"/>
      </w:pPr>
      <w:bookmarkStart w:id="290" w:name="_Toc18816"/>
      <w:bookmarkStart w:id="291" w:name="_Toc23717"/>
    </w:p>
    <w:p w14:paraId="1D98C422">
      <w:pPr>
        <w:pStyle w:val="2"/>
        <w:jc w:val="center"/>
        <w:rPr>
          <w:rFonts w:hint="eastAsia" w:ascii="黑体" w:hAnsi="黑体" w:eastAsia="黑体"/>
          <w:sz w:val="28"/>
          <w:szCs w:val="28"/>
        </w:rPr>
      </w:pPr>
      <w:r>
        <w:rPr>
          <w:rFonts w:hint="eastAsia" w:ascii="黑体" w:hAnsi="黑体" w:eastAsia="黑体"/>
          <w:sz w:val="28"/>
          <w:szCs w:val="28"/>
        </w:rPr>
        <w:t>评审索引表</w:t>
      </w:r>
      <w:bookmarkEnd w:id="290"/>
      <w:bookmarkEnd w:id="291"/>
    </w:p>
    <w:p w14:paraId="08A90381">
      <w:pPr>
        <w:pStyle w:val="2"/>
        <w:ind w:left="0"/>
        <w:rPr>
          <w:rFonts w:hint="eastAsia" w:ascii="黑体" w:hAnsi="黑体" w:eastAsia="黑体" w:cs="黑体"/>
          <w:szCs w:val="21"/>
        </w:rPr>
      </w:pPr>
      <w:r>
        <w:rPr>
          <w:rFonts w:hint="eastAsia" w:ascii="黑体" w:hAnsi="黑体" w:eastAsia="黑体" w:cs="黑体"/>
          <w:b/>
          <w:szCs w:val="21"/>
        </w:rPr>
        <w:t>1.供应商资格证明索引</w:t>
      </w:r>
    </w:p>
    <w:tbl>
      <w:tblPr>
        <w:tblStyle w:val="24"/>
        <w:tblW w:w="5118" w:type="dxa"/>
        <w:tblInd w:w="0" w:type="dxa"/>
        <w:tblBorders>
          <w:top w:val="single" w:color="auto" w:sz="2" w:space="0"/>
          <w:left w:val="single" w:color="auto" w:sz="2" w:space="0"/>
          <w:bottom w:val="single" w:color="auto" w:sz="2" w:space="0"/>
          <w:right w:val="single" w:color="auto" w:sz="2" w:space="0"/>
          <w:insideH w:val="none" w:color="auto" w:sz="0" w:space="0"/>
          <w:insideV w:val="none" w:color="auto" w:sz="0" w:space="0"/>
        </w:tblBorders>
        <w:tblLayout w:type="fixed"/>
        <w:tblCellMar>
          <w:top w:w="15" w:type="dxa"/>
          <w:left w:w="15" w:type="dxa"/>
          <w:bottom w:w="15" w:type="dxa"/>
          <w:right w:w="15" w:type="dxa"/>
        </w:tblCellMar>
      </w:tblPr>
      <w:tblGrid>
        <w:gridCol w:w="866"/>
        <w:gridCol w:w="1134"/>
        <w:gridCol w:w="1984"/>
        <w:gridCol w:w="1134"/>
      </w:tblGrid>
      <w:tr w14:paraId="0F5B4AB0">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c>
          <w:tcPr>
            <w:tcW w:w="866" w:type="dxa"/>
            <w:tcBorders>
              <w:top w:val="single" w:color="000000" w:sz="2" w:space="0"/>
              <w:left w:val="single" w:color="000000" w:sz="2" w:space="0"/>
              <w:bottom w:val="single" w:color="000000" w:sz="2" w:space="0"/>
              <w:right w:val="single" w:color="000000" w:sz="2" w:space="0"/>
            </w:tcBorders>
            <w:shd w:val="clear" w:color="auto" w:fill="FFFFFF"/>
            <w:noWrap/>
          </w:tcPr>
          <w:p w14:paraId="56F81359">
            <w:pPr>
              <w:pStyle w:val="2"/>
              <w:ind w:left="0"/>
              <w:rPr>
                <w:rFonts w:hint="eastAsia" w:ascii="黑体" w:hAnsi="黑体" w:eastAsia="黑体" w:cs="黑体"/>
                <w:szCs w:val="21"/>
              </w:rPr>
            </w:pPr>
            <w:r>
              <w:rPr>
                <w:rFonts w:hint="eastAsia" w:ascii="黑体" w:hAnsi="黑体" w:eastAsia="黑体" w:cs="黑体"/>
                <w:b/>
                <w:szCs w:val="21"/>
              </w:rPr>
              <w:t>序号</w:t>
            </w:r>
          </w:p>
        </w:tc>
        <w:tc>
          <w:tcPr>
            <w:tcW w:w="1134" w:type="dxa"/>
            <w:tcBorders>
              <w:top w:val="single" w:color="000000" w:sz="2" w:space="0"/>
              <w:left w:val="single" w:color="000000" w:sz="2" w:space="0"/>
              <w:bottom w:val="single" w:color="000000" w:sz="2" w:space="0"/>
              <w:right w:val="single" w:color="000000" w:sz="2" w:space="0"/>
            </w:tcBorders>
            <w:shd w:val="clear" w:color="auto" w:fill="FFFFFF"/>
            <w:noWrap/>
          </w:tcPr>
          <w:p w14:paraId="060B32F9">
            <w:pPr>
              <w:pStyle w:val="2"/>
              <w:ind w:left="0"/>
              <w:rPr>
                <w:rFonts w:hint="eastAsia" w:ascii="黑体" w:hAnsi="黑体" w:eastAsia="黑体" w:cs="黑体"/>
                <w:szCs w:val="21"/>
              </w:rPr>
            </w:pPr>
            <w:r>
              <w:rPr>
                <w:rFonts w:hint="eastAsia" w:ascii="黑体" w:hAnsi="黑体" w:eastAsia="黑体" w:cs="黑体"/>
                <w:b/>
                <w:szCs w:val="21"/>
              </w:rPr>
              <w:t>要求</w:t>
            </w:r>
          </w:p>
        </w:tc>
        <w:tc>
          <w:tcPr>
            <w:tcW w:w="1984" w:type="dxa"/>
            <w:tcBorders>
              <w:top w:val="single" w:color="000000" w:sz="2" w:space="0"/>
              <w:left w:val="single" w:color="000000" w:sz="2" w:space="0"/>
              <w:bottom w:val="single" w:color="000000" w:sz="2" w:space="0"/>
              <w:right w:val="single" w:color="000000" w:sz="2" w:space="0"/>
            </w:tcBorders>
            <w:shd w:val="clear" w:color="auto" w:fill="FFFFFF"/>
            <w:noWrap/>
          </w:tcPr>
          <w:p w14:paraId="76AF34AC">
            <w:pPr>
              <w:pStyle w:val="2"/>
              <w:ind w:left="0"/>
              <w:rPr>
                <w:rFonts w:hint="eastAsia" w:ascii="黑体" w:hAnsi="黑体" w:eastAsia="黑体" w:cs="黑体"/>
                <w:szCs w:val="21"/>
              </w:rPr>
            </w:pPr>
            <w:r>
              <w:rPr>
                <w:rFonts w:hint="eastAsia" w:ascii="黑体" w:hAnsi="黑体" w:eastAsia="黑体" w:cs="黑体"/>
                <w:b/>
                <w:szCs w:val="21"/>
              </w:rPr>
              <w:t>响应情况</w:t>
            </w:r>
          </w:p>
        </w:tc>
        <w:tc>
          <w:tcPr>
            <w:tcW w:w="1134" w:type="dxa"/>
            <w:tcBorders>
              <w:top w:val="single" w:color="000000" w:sz="2" w:space="0"/>
              <w:left w:val="single" w:color="000000" w:sz="2" w:space="0"/>
              <w:bottom w:val="single" w:color="000000" w:sz="2" w:space="0"/>
              <w:right w:val="single" w:color="000000" w:sz="2" w:space="0"/>
            </w:tcBorders>
            <w:shd w:val="clear" w:color="auto" w:fill="FFFFFF"/>
            <w:noWrap/>
          </w:tcPr>
          <w:p w14:paraId="3A84AFDB">
            <w:pPr>
              <w:pStyle w:val="2"/>
              <w:rPr>
                <w:rFonts w:hint="eastAsia" w:ascii="黑体" w:hAnsi="黑体" w:eastAsia="黑体" w:cs="黑体"/>
                <w:szCs w:val="21"/>
              </w:rPr>
            </w:pPr>
            <w:r>
              <w:rPr>
                <w:rFonts w:hint="eastAsia" w:ascii="黑体" w:hAnsi="黑体" w:eastAsia="黑体" w:cs="黑体"/>
                <w:b/>
                <w:szCs w:val="21"/>
              </w:rPr>
              <w:t>页码</w:t>
            </w:r>
          </w:p>
        </w:tc>
      </w:tr>
      <w:tr w14:paraId="477E7E17">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c>
          <w:tcPr>
            <w:tcW w:w="866" w:type="dxa"/>
            <w:tcBorders>
              <w:top w:val="single" w:color="000000" w:sz="2" w:space="0"/>
              <w:left w:val="single" w:color="000000" w:sz="2" w:space="0"/>
              <w:bottom w:val="single" w:color="000000" w:sz="2" w:space="0"/>
              <w:right w:val="single" w:color="000000" w:sz="2" w:space="0"/>
            </w:tcBorders>
            <w:shd w:val="clear" w:color="auto" w:fill="FFFFFF"/>
            <w:noWrap/>
          </w:tcPr>
          <w:p w14:paraId="3C4D0B85">
            <w:pPr>
              <w:pStyle w:val="2"/>
              <w:rPr>
                <w:rFonts w:hint="eastAsia" w:ascii="黑体" w:hAnsi="黑体" w:eastAsia="黑体" w:cs="黑体"/>
                <w:szCs w:val="21"/>
              </w:rPr>
            </w:pPr>
            <w:r>
              <w:rPr>
                <w:rFonts w:hint="eastAsia" w:ascii="黑体" w:hAnsi="黑体" w:eastAsia="黑体" w:cs="黑体"/>
                <w:szCs w:val="21"/>
              </w:rPr>
              <w:t>1</w:t>
            </w:r>
          </w:p>
        </w:tc>
        <w:tc>
          <w:tcPr>
            <w:tcW w:w="1134" w:type="dxa"/>
            <w:tcBorders>
              <w:top w:val="single" w:color="000000" w:sz="2" w:space="0"/>
              <w:left w:val="single" w:color="000000" w:sz="2" w:space="0"/>
              <w:bottom w:val="single" w:color="000000" w:sz="2" w:space="0"/>
              <w:right w:val="single" w:color="000000" w:sz="2" w:space="0"/>
            </w:tcBorders>
            <w:shd w:val="clear" w:color="auto" w:fill="FFFFFF"/>
            <w:noWrap/>
          </w:tcPr>
          <w:p w14:paraId="72BFAF07">
            <w:pPr>
              <w:pStyle w:val="2"/>
              <w:rPr>
                <w:rFonts w:hint="eastAsia" w:ascii="黑体" w:hAnsi="黑体" w:eastAsia="黑体" w:cs="黑体"/>
                <w:szCs w:val="21"/>
              </w:rPr>
            </w:pPr>
            <w:r>
              <w:rPr>
                <w:rFonts w:eastAsia="黑体" w:cs="Calibri"/>
                <w:szCs w:val="21"/>
              </w:rPr>
              <w:t> </w:t>
            </w:r>
          </w:p>
        </w:tc>
        <w:tc>
          <w:tcPr>
            <w:tcW w:w="1984" w:type="dxa"/>
            <w:tcBorders>
              <w:top w:val="single" w:color="000000" w:sz="2" w:space="0"/>
              <w:left w:val="single" w:color="000000" w:sz="2" w:space="0"/>
              <w:bottom w:val="single" w:color="000000" w:sz="2" w:space="0"/>
              <w:right w:val="single" w:color="000000" w:sz="2" w:space="0"/>
            </w:tcBorders>
            <w:shd w:val="clear" w:color="auto" w:fill="FFFFFF"/>
            <w:noWrap/>
          </w:tcPr>
          <w:p w14:paraId="3EAA84D9">
            <w:pPr>
              <w:pStyle w:val="2"/>
              <w:rPr>
                <w:rFonts w:hint="eastAsia" w:ascii="黑体" w:hAnsi="黑体" w:eastAsia="黑体" w:cs="黑体"/>
                <w:szCs w:val="21"/>
              </w:rPr>
            </w:pPr>
            <w:r>
              <w:rPr>
                <w:rFonts w:eastAsia="黑体" w:cs="Calibri"/>
                <w:szCs w:val="21"/>
              </w:rPr>
              <w:t> </w:t>
            </w:r>
          </w:p>
        </w:tc>
        <w:tc>
          <w:tcPr>
            <w:tcW w:w="1134" w:type="dxa"/>
            <w:tcBorders>
              <w:top w:val="single" w:color="000000" w:sz="2" w:space="0"/>
              <w:left w:val="single" w:color="000000" w:sz="2" w:space="0"/>
              <w:bottom w:val="single" w:color="000000" w:sz="2" w:space="0"/>
              <w:right w:val="single" w:color="000000" w:sz="2" w:space="0"/>
            </w:tcBorders>
            <w:shd w:val="clear" w:color="auto" w:fill="FFFFFF"/>
            <w:noWrap/>
          </w:tcPr>
          <w:p w14:paraId="2EB7427D">
            <w:pPr>
              <w:pStyle w:val="2"/>
              <w:rPr>
                <w:rFonts w:hint="eastAsia" w:ascii="黑体" w:hAnsi="黑体" w:eastAsia="黑体" w:cs="黑体"/>
                <w:szCs w:val="21"/>
              </w:rPr>
            </w:pPr>
            <w:r>
              <w:rPr>
                <w:rFonts w:eastAsia="黑体" w:cs="Calibri"/>
                <w:szCs w:val="21"/>
              </w:rPr>
              <w:t> </w:t>
            </w:r>
          </w:p>
        </w:tc>
      </w:tr>
      <w:tr w14:paraId="58BFB9AE">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c>
          <w:tcPr>
            <w:tcW w:w="866" w:type="dxa"/>
            <w:tcBorders>
              <w:top w:val="single" w:color="000000" w:sz="2" w:space="0"/>
              <w:left w:val="single" w:color="000000" w:sz="2" w:space="0"/>
              <w:bottom w:val="single" w:color="000000" w:sz="2" w:space="0"/>
              <w:right w:val="single" w:color="000000" w:sz="2" w:space="0"/>
            </w:tcBorders>
            <w:shd w:val="clear" w:color="auto" w:fill="FFFFFF"/>
            <w:noWrap/>
          </w:tcPr>
          <w:p w14:paraId="5AB81989">
            <w:pPr>
              <w:pStyle w:val="2"/>
              <w:rPr>
                <w:rFonts w:hint="eastAsia" w:ascii="黑体" w:hAnsi="黑体" w:eastAsia="黑体" w:cs="黑体"/>
                <w:szCs w:val="21"/>
              </w:rPr>
            </w:pPr>
            <w:r>
              <w:rPr>
                <w:rFonts w:hint="eastAsia" w:ascii="黑体" w:hAnsi="黑体" w:eastAsia="黑体" w:cs="黑体"/>
                <w:szCs w:val="21"/>
              </w:rPr>
              <w:t>2</w:t>
            </w:r>
          </w:p>
        </w:tc>
        <w:tc>
          <w:tcPr>
            <w:tcW w:w="1134" w:type="dxa"/>
            <w:tcBorders>
              <w:top w:val="single" w:color="000000" w:sz="2" w:space="0"/>
              <w:left w:val="single" w:color="000000" w:sz="2" w:space="0"/>
              <w:bottom w:val="single" w:color="000000" w:sz="2" w:space="0"/>
              <w:right w:val="single" w:color="000000" w:sz="2" w:space="0"/>
            </w:tcBorders>
            <w:shd w:val="clear" w:color="auto" w:fill="FFFFFF"/>
            <w:noWrap/>
          </w:tcPr>
          <w:p w14:paraId="63B88D29">
            <w:pPr>
              <w:pStyle w:val="2"/>
              <w:rPr>
                <w:rFonts w:hint="eastAsia" w:ascii="黑体" w:hAnsi="黑体" w:eastAsia="黑体" w:cs="黑体"/>
                <w:szCs w:val="21"/>
              </w:rPr>
            </w:pPr>
            <w:r>
              <w:rPr>
                <w:rFonts w:eastAsia="黑体" w:cs="Calibri"/>
                <w:szCs w:val="21"/>
              </w:rPr>
              <w:t> </w:t>
            </w:r>
          </w:p>
        </w:tc>
        <w:tc>
          <w:tcPr>
            <w:tcW w:w="1984" w:type="dxa"/>
            <w:tcBorders>
              <w:top w:val="single" w:color="000000" w:sz="2" w:space="0"/>
              <w:left w:val="single" w:color="000000" w:sz="2" w:space="0"/>
              <w:bottom w:val="single" w:color="000000" w:sz="2" w:space="0"/>
              <w:right w:val="single" w:color="000000" w:sz="2" w:space="0"/>
            </w:tcBorders>
            <w:shd w:val="clear" w:color="auto" w:fill="FFFFFF"/>
            <w:noWrap/>
          </w:tcPr>
          <w:p w14:paraId="3A0C496B">
            <w:pPr>
              <w:pStyle w:val="2"/>
              <w:rPr>
                <w:rFonts w:hint="eastAsia" w:ascii="黑体" w:hAnsi="黑体" w:eastAsia="黑体" w:cs="黑体"/>
                <w:szCs w:val="21"/>
              </w:rPr>
            </w:pPr>
            <w:r>
              <w:rPr>
                <w:rFonts w:eastAsia="黑体" w:cs="Calibri"/>
                <w:szCs w:val="21"/>
              </w:rPr>
              <w:t> </w:t>
            </w:r>
          </w:p>
        </w:tc>
        <w:tc>
          <w:tcPr>
            <w:tcW w:w="1134" w:type="dxa"/>
            <w:tcBorders>
              <w:top w:val="single" w:color="000000" w:sz="2" w:space="0"/>
              <w:left w:val="single" w:color="000000" w:sz="2" w:space="0"/>
              <w:bottom w:val="single" w:color="000000" w:sz="2" w:space="0"/>
              <w:right w:val="single" w:color="000000" w:sz="2" w:space="0"/>
            </w:tcBorders>
            <w:shd w:val="clear" w:color="auto" w:fill="FFFFFF"/>
            <w:noWrap/>
          </w:tcPr>
          <w:p w14:paraId="04695A74">
            <w:pPr>
              <w:pStyle w:val="2"/>
              <w:rPr>
                <w:rFonts w:hint="eastAsia" w:ascii="黑体" w:hAnsi="黑体" w:eastAsia="黑体" w:cs="黑体"/>
                <w:szCs w:val="21"/>
              </w:rPr>
            </w:pPr>
            <w:r>
              <w:rPr>
                <w:rFonts w:eastAsia="黑体" w:cs="Calibri"/>
                <w:szCs w:val="21"/>
              </w:rPr>
              <w:t> </w:t>
            </w:r>
          </w:p>
        </w:tc>
      </w:tr>
      <w:tr w14:paraId="0E97394C">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c>
          <w:tcPr>
            <w:tcW w:w="866" w:type="dxa"/>
            <w:tcBorders>
              <w:top w:val="single" w:color="000000" w:sz="2" w:space="0"/>
              <w:left w:val="single" w:color="000000" w:sz="2" w:space="0"/>
              <w:bottom w:val="single" w:color="000000" w:sz="2" w:space="0"/>
              <w:right w:val="single" w:color="000000" w:sz="2" w:space="0"/>
            </w:tcBorders>
            <w:shd w:val="clear" w:color="auto" w:fill="FFFFFF"/>
            <w:noWrap/>
          </w:tcPr>
          <w:p w14:paraId="4E432220">
            <w:pPr>
              <w:pStyle w:val="2"/>
              <w:rPr>
                <w:rFonts w:hint="eastAsia" w:ascii="黑体" w:hAnsi="黑体" w:eastAsia="黑体" w:cs="黑体"/>
                <w:szCs w:val="21"/>
              </w:rPr>
            </w:pPr>
            <w:r>
              <w:rPr>
                <w:rFonts w:hint="eastAsia" w:ascii="黑体" w:hAnsi="黑体" w:eastAsia="黑体" w:cs="黑体"/>
                <w:szCs w:val="21"/>
              </w:rPr>
              <w:t>3</w:t>
            </w:r>
          </w:p>
        </w:tc>
        <w:tc>
          <w:tcPr>
            <w:tcW w:w="1134" w:type="dxa"/>
            <w:tcBorders>
              <w:top w:val="single" w:color="000000" w:sz="2" w:space="0"/>
              <w:left w:val="single" w:color="000000" w:sz="2" w:space="0"/>
              <w:bottom w:val="single" w:color="000000" w:sz="2" w:space="0"/>
              <w:right w:val="single" w:color="000000" w:sz="2" w:space="0"/>
            </w:tcBorders>
            <w:shd w:val="clear" w:color="auto" w:fill="FFFFFF"/>
            <w:noWrap/>
          </w:tcPr>
          <w:p w14:paraId="0080FE45">
            <w:pPr>
              <w:pStyle w:val="2"/>
              <w:rPr>
                <w:rFonts w:hint="eastAsia" w:ascii="黑体" w:hAnsi="黑体" w:eastAsia="黑体" w:cs="黑体"/>
                <w:szCs w:val="21"/>
              </w:rPr>
            </w:pPr>
            <w:r>
              <w:rPr>
                <w:rFonts w:eastAsia="黑体" w:cs="Calibri"/>
                <w:szCs w:val="21"/>
              </w:rPr>
              <w:t> </w:t>
            </w:r>
          </w:p>
        </w:tc>
        <w:tc>
          <w:tcPr>
            <w:tcW w:w="1984" w:type="dxa"/>
            <w:tcBorders>
              <w:top w:val="single" w:color="000000" w:sz="2" w:space="0"/>
              <w:left w:val="single" w:color="000000" w:sz="2" w:space="0"/>
              <w:bottom w:val="single" w:color="000000" w:sz="2" w:space="0"/>
              <w:right w:val="single" w:color="000000" w:sz="2" w:space="0"/>
            </w:tcBorders>
            <w:shd w:val="clear" w:color="auto" w:fill="FFFFFF"/>
            <w:noWrap/>
          </w:tcPr>
          <w:p w14:paraId="6FA74BF8">
            <w:pPr>
              <w:pStyle w:val="2"/>
              <w:rPr>
                <w:rFonts w:hint="eastAsia" w:ascii="黑体" w:hAnsi="黑体" w:eastAsia="黑体" w:cs="黑体"/>
                <w:szCs w:val="21"/>
              </w:rPr>
            </w:pPr>
            <w:r>
              <w:rPr>
                <w:rFonts w:eastAsia="黑体" w:cs="Calibri"/>
                <w:szCs w:val="21"/>
              </w:rPr>
              <w:t> </w:t>
            </w:r>
          </w:p>
        </w:tc>
        <w:tc>
          <w:tcPr>
            <w:tcW w:w="1134" w:type="dxa"/>
            <w:tcBorders>
              <w:top w:val="single" w:color="000000" w:sz="2" w:space="0"/>
              <w:left w:val="single" w:color="000000" w:sz="2" w:space="0"/>
              <w:bottom w:val="single" w:color="000000" w:sz="2" w:space="0"/>
              <w:right w:val="single" w:color="000000" w:sz="2" w:space="0"/>
            </w:tcBorders>
            <w:shd w:val="clear" w:color="auto" w:fill="FFFFFF"/>
            <w:noWrap/>
          </w:tcPr>
          <w:p w14:paraId="001A5E10">
            <w:pPr>
              <w:pStyle w:val="2"/>
              <w:rPr>
                <w:rFonts w:hint="eastAsia" w:ascii="黑体" w:hAnsi="黑体" w:eastAsia="黑体" w:cs="黑体"/>
                <w:szCs w:val="21"/>
              </w:rPr>
            </w:pPr>
            <w:r>
              <w:rPr>
                <w:rFonts w:eastAsia="黑体" w:cs="Calibri"/>
                <w:szCs w:val="21"/>
              </w:rPr>
              <w:t> </w:t>
            </w:r>
          </w:p>
        </w:tc>
      </w:tr>
      <w:tr w14:paraId="142DA95A">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c>
          <w:tcPr>
            <w:tcW w:w="866" w:type="dxa"/>
            <w:tcBorders>
              <w:top w:val="single" w:color="000000" w:sz="2" w:space="0"/>
              <w:left w:val="single" w:color="000000" w:sz="2" w:space="0"/>
              <w:bottom w:val="single" w:color="000000" w:sz="2" w:space="0"/>
              <w:right w:val="single" w:color="000000" w:sz="2" w:space="0"/>
            </w:tcBorders>
            <w:shd w:val="clear" w:color="auto" w:fill="FFFFFF"/>
            <w:noWrap/>
          </w:tcPr>
          <w:p w14:paraId="5A7DD5E7">
            <w:pPr>
              <w:pStyle w:val="2"/>
              <w:rPr>
                <w:rFonts w:hint="eastAsia" w:ascii="黑体" w:hAnsi="黑体" w:eastAsia="黑体" w:cs="黑体"/>
                <w:szCs w:val="21"/>
              </w:rPr>
            </w:pPr>
            <w:r>
              <w:rPr>
                <w:rFonts w:hint="eastAsia" w:ascii="黑体" w:hAnsi="黑体" w:eastAsia="黑体" w:cs="黑体"/>
                <w:szCs w:val="21"/>
              </w:rPr>
              <w:t>4</w:t>
            </w:r>
          </w:p>
        </w:tc>
        <w:tc>
          <w:tcPr>
            <w:tcW w:w="1134" w:type="dxa"/>
            <w:tcBorders>
              <w:top w:val="single" w:color="000000" w:sz="2" w:space="0"/>
              <w:left w:val="single" w:color="000000" w:sz="2" w:space="0"/>
              <w:bottom w:val="single" w:color="000000" w:sz="2" w:space="0"/>
              <w:right w:val="single" w:color="000000" w:sz="2" w:space="0"/>
            </w:tcBorders>
            <w:shd w:val="clear" w:color="auto" w:fill="FFFFFF"/>
            <w:noWrap/>
          </w:tcPr>
          <w:p w14:paraId="2883D717">
            <w:pPr>
              <w:pStyle w:val="2"/>
              <w:rPr>
                <w:rFonts w:hint="eastAsia" w:ascii="黑体" w:hAnsi="黑体" w:eastAsia="黑体" w:cs="黑体"/>
                <w:szCs w:val="21"/>
              </w:rPr>
            </w:pPr>
            <w:r>
              <w:rPr>
                <w:rFonts w:eastAsia="黑体" w:cs="Calibri"/>
                <w:szCs w:val="21"/>
              </w:rPr>
              <w:t> </w:t>
            </w:r>
          </w:p>
        </w:tc>
        <w:tc>
          <w:tcPr>
            <w:tcW w:w="1984" w:type="dxa"/>
            <w:tcBorders>
              <w:top w:val="single" w:color="000000" w:sz="2" w:space="0"/>
              <w:left w:val="single" w:color="000000" w:sz="2" w:space="0"/>
              <w:bottom w:val="single" w:color="000000" w:sz="2" w:space="0"/>
              <w:right w:val="single" w:color="000000" w:sz="2" w:space="0"/>
            </w:tcBorders>
            <w:shd w:val="clear" w:color="auto" w:fill="FFFFFF"/>
            <w:noWrap/>
          </w:tcPr>
          <w:p w14:paraId="64DF670B">
            <w:pPr>
              <w:pStyle w:val="2"/>
              <w:rPr>
                <w:rFonts w:hint="eastAsia" w:ascii="黑体" w:hAnsi="黑体" w:eastAsia="黑体" w:cs="黑体"/>
                <w:szCs w:val="21"/>
              </w:rPr>
            </w:pPr>
            <w:r>
              <w:rPr>
                <w:rFonts w:eastAsia="黑体" w:cs="Calibri"/>
                <w:szCs w:val="21"/>
              </w:rPr>
              <w:t> </w:t>
            </w:r>
          </w:p>
        </w:tc>
        <w:tc>
          <w:tcPr>
            <w:tcW w:w="1134" w:type="dxa"/>
            <w:tcBorders>
              <w:top w:val="single" w:color="000000" w:sz="2" w:space="0"/>
              <w:left w:val="single" w:color="000000" w:sz="2" w:space="0"/>
              <w:bottom w:val="single" w:color="000000" w:sz="2" w:space="0"/>
              <w:right w:val="single" w:color="000000" w:sz="2" w:space="0"/>
            </w:tcBorders>
            <w:shd w:val="clear" w:color="auto" w:fill="FFFFFF"/>
            <w:noWrap/>
          </w:tcPr>
          <w:p w14:paraId="6980FB18">
            <w:pPr>
              <w:pStyle w:val="2"/>
              <w:rPr>
                <w:rFonts w:hint="eastAsia" w:ascii="黑体" w:hAnsi="黑体" w:eastAsia="黑体" w:cs="黑体"/>
                <w:szCs w:val="21"/>
              </w:rPr>
            </w:pPr>
            <w:r>
              <w:rPr>
                <w:rFonts w:eastAsia="黑体" w:cs="Calibri"/>
                <w:szCs w:val="21"/>
              </w:rPr>
              <w:t> </w:t>
            </w:r>
          </w:p>
        </w:tc>
      </w:tr>
    </w:tbl>
    <w:p w14:paraId="7F3AFDC7">
      <w:pPr>
        <w:pStyle w:val="2"/>
        <w:rPr>
          <w:rFonts w:hint="eastAsia" w:ascii="黑体" w:hAnsi="黑体" w:eastAsia="黑体" w:cs="黑体"/>
          <w:szCs w:val="21"/>
        </w:rPr>
      </w:pPr>
      <w:r>
        <w:rPr>
          <w:rFonts w:eastAsia="黑体" w:cs="Calibri"/>
          <w:szCs w:val="21"/>
        </w:rPr>
        <w:t> </w:t>
      </w:r>
    </w:p>
    <w:p w14:paraId="1526B07C">
      <w:pPr>
        <w:pStyle w:val="2"/>
        <w:rPr>
          <w:rFonts w:hint="eastAsia" w:ascii="黑体" w:hAnsi="黑体" w:eastAsia="黑体" w:cs="黑体"/>
          <w:szCs w:val="21"/>
        </w:rPr>
      </w:pPr>
      <w:r>
        <w:rPr>
          <w:rFonts w:eastAsia="黑体" w:cs="Calibri"/>
          <w:szCs w:val="21"/>
        </w:rPr>
        <w:t> </w:t>
      </w:r>
    </w:p>
    <w:p w14:paraId="084D3BD3">
      <w:pPr>
        <w:pStyle w:val="2"/>
        <w:ind w:left="0"/>
        <w:rPr>
          <w:rFonts w:hint="eastAsia" w:ascii="黑体" w:hAnsi="黑体" w:eastAsia="黑体" w:cs="黑体"/>
          <w:szCs w:val="21"/>
        </w:rPr>
      </w:pPr>
      <w:r>
        <w:rPr>
          <w:rFonts w:hint="eastAsia" w:ascii="黑体" w:hAnsi="黑体" w:eastAsia="黑体" w:cs="黑体"/>
          <w:b/>
          <w:szCs w:val="21"/>
        </w:rPr>
        <w:t>2.评分细则索引</w:t>
      </w:r>
      <w:r>
        <w:rPr>
          <w:rStyle w:val="36"/>
          <w:rFonts w:ascii="Calibri" w:hAnsi="Calibri" w:eastAsia="黑体" w:cs="Calibri"/>
          <w:szCs w:val="21"/>
        </w:rPr>
        <w:t> </w:t>
      </w:r>
      <w:r>
        <w:rPr>
          <w:rFonts w:eastAsia="黑体" w:cs="Calibri"/>
          <w:szCs w:val="21"/>
        </w:rPr>
        <w:t> </w:t>
      </w:r>
      <w:r>
        <w:rPr>
          <w:rStyle w:val="36"/>
          <w:rFonts w:ascii="Calibri" w:hAnsi="Calibri" w:eastAsia="黑体" w:cs="Calibri"/>
          <w:szCs w:val="21"/>
        </w:rPr>
        <w:t> </w:t>
      </w:r>
    </w:p>
    <w:tbl>
      <w:tblPr>
        <w:tblStyle w:val="24"/>
        <w:tblW w:w="5118" w:type="dxa"/>
        <w:tblInd w:w="0" w:type="dxa"/>
        <w:tblBorders>
          <w:top w:val="single" w:color="auto" w:sz="2" w:space="0"/>
          <w:left w:val="single" w:color="auto" w:sz="2" w:space="0"/>
          <w:bottom w:val="single" w:color="auto" w:sz="2" w:space="0"/>
          <w:right w:val="single" w:color="auto" w:sz="2" w:space="0"/>
          <w:insideH w:val="none" w:color="auto" w:sz="0" w:space="0"/>
          <w:insideV w:val="none" w:color="auto" w:sz="0" w:space="0"/>
        </w:tblBorders>
        <w:tblLayout w:type="fixed"/>
        <w:tblCellMar>
          <w:top w:w="15" w:type="dxa"/>
          <w:left w:w="15" w:type="dxa"/>
          <w:bottom w:w="15" w:type="dxa"/>
          <w:right w:w="15" w:type="dxa"/>
        </w:tblCellMar>
      </w:tblPr>
      <w:tblGrid>
        <w:gridCol w:w="866"/>
        <w:gridCol w:w="1134"/>
        <w:gridCol w:w="1984"/>
        <w:gridCol w:w="1134"/>
      </w:tblGrid>
      <w:tr w14:paraId="250330F2">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c>
          <w:tcPr>
            <w:tcW w:w="866" w:type="dxa"/>
            <w:tcBorders>
              <w:top w:val="single" w:color="000000" w:sz="2" w:space="0"/>
              <w:left w:val="single" w:color="000000" w:sz="2" w:space="0"/>
              <w:bottom w:val="single" w:color="000000" w:sz="2" w:space="0"/>
              <w:right w:val="single" w:color="000000" w:sz="2" w:space="0"/>
            </w:tcBorders>
            <w:shd w:val="clear" w:color="auto" w:fill="FFFFFF"/>
            <w:noWrap/>
          </w:tcPr>
          <w:p w14:paraId="15FCB8AA">
            <w:pPr>
              <w:pStyle w:val="2"/>
              <w:ind w:left="0"/>
              <w:rPr>
                <w:rFonts w:hint="eastAsia" w:ascii="黑体" w:hAnsi="黑体" w:eastAsia="黑体" w:cs="黑体"/>
                <w:szCs w:val="21"/>
              </w:rPr>
            </w:pPr>
            <w:r>
              <w:rPr>
                <w:rFonts w:hint="eastAsia" w:ascii="黑体" w:hAnsi="黑体" w:eastAsia="黑体" w:cs="黑体"/>
                <w:b/>
                <w:szCs w:val="21"/>
              </w:rPr>
              <w:t>序号</w:t>
            </w:r>
          </w:p>
        </w:tc>
        <w:tc>
          <w:tcPr>
            <w:tcW w:w="1134" w:type="dxa"/>
            <w:tcBorders>
              <w:top w:val="single" w:color="000000" w:sz="2" w:space="0"/>
              <w:left w:val="single" w:color="000000" w:sz="2" w:space="0"/>
              <w:bottom w:val="single" w:color="000000" w:sz="2" w:space="0"/>
              <w:right w:val="single" w:color="000000" w:sz="2" w:space="0"/>
            </w:tcBorders>
            <w:shd w:val="clear" w:color="auto" w:fill="FFFFFF"/>
            <w:noWrap/>
          </w:tcPr>
          <w:p w14:paraId="1B450F47">
            <w:pPr>
              <w:pStyle w:val="2"/>
              <w:ind w:left="0"/>
              <w:rPr>
                <w:rFonts w:hint="eastAsia" w:ascii="黑体" w:hAnsi="黑体" w:eastAsia="黑体" w:cs="黑体"/>
                <w:szCs w:val="21"/>
              </w:rPr>
            </w:pPr>
            <w:r>
              <w:rPr>
                <w:rFonts w:hint="eastAsia" w:ascii="黑体" w:hAnsi="黑体" w:eastAsia="黑体" w:cs="黑体"/>
                <w:b/>
                <w:szCs w:val="21"/>
              </w:rPr>
              <w:t>评审因素</w:t>
            </w:r>
          </w:p>
        </w:tc>
        <w:tc>
          <w:tcPr>
            <w:tcW w:w="1984" w:type="dxa"/>
            <w:tcBorders>
              <w:top w:val="single" w:color="000000" w:sz="2" w:space="0"/>
              <w:left w:val="single" w:color="000000" w:sz="2" w:space="0"/>
              <w:bottom w:val="single" w:color="000000" w:sz="2" w:space="0"/>
              <w:right w:val="single" w:color="000000" w:sz="2" w:space="0"/>
            </w:tcBorders>
            <w:shd w:val="clear" w:color="auto" w:fill="FFFFFF"/>
            <w:noWrap/>
          </w:tcPr>
          <w:p w14:paraId="4367CF24">
            <w:pPr>
              <w:pStyle w:val="2"/>
              <w:ind w:left="0"/>
              <w:rPr>
                <w:rFonts w:hint="eastAsia" w:ascii="黑体" w:hAnsi="黑体" w:eastAsia="黑体" w:cs="黑体"/>
                <w:szCs w:val="21"/>
              </w:rPr>
            </w:pPr>
            <w:r>
              <w:rPr>
                <w:rFonts w:hint="eastAsia" w:ascii="黑体" w:hAnsi="黑体" w:eastAsia="黑体" w:cs="黑体"/>
                <w:b/>
                <w:szCs w:val="21"/>
              </w:rPr>
              <w:t>响应情况</w:t>
            </w:r>
          </w:p>
        </w:tc>
        <w:tc>
          <w:tcPr>
            <w:tcW w:w="1134" w:type="dxa"/>
            <w:tcBorders>
              <w:top w:val="single" w:color="000000" w:sz="2" w:space="0"/>
              <w:left w:val="single" w:color="000000" w:sz="2" w:space="0"/>
              <w:bottom w:val="single" w:color="000000" w:sz="2" w:space="0"/>
              <w:right w:val="single" w:color="000000" w:sz="2" w:space="0"/>
            </w:tcBorders>
            <w:shd w:val="clear" w:color="auto" w:fill="FFFFFF"/>
            <w:noWrap/>
          </w:tcPr>
          <w:p w14:paraId="00826256">
            <w:pPr>
              <w:pStyle w:val="2"/>
              <w:rPr>
                <w:rFonts w:hint="eastAsia" w:ascii="黑体" w:hAnsi="黑体" w:eastAsia="黑体" w:cs="黑体"/>
                <w:szCs w:val="21"/>
              </w:rPr>
            </w:pPr>
            <w:r>
              <w:rPr>
                <w:rFonts w:hint="eastAsia" w:ascii="黑体" w:hAnsi="黑体" w:eastAsia="黑体" w:cs="黑体"/>
                <w:b/>
                <w:szCs w:val="21"/>
              </w:rPr>
              <w:t>页码</w:t>
            </w:r>
          </w:p>
        </w:tc>
      </w:tr>
      <w:tr w14:paraId="61A05EFF">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c>
          <w:tcPr>
            <w:tcW w:w="866" w:type="dxa"/>
            <w:tcBorders>
              <w:top w:val="single" w:color="000000" w:sz="2" w:space="0"/>
              <w:left w:val="single" w:color="000000" w:sz="2" w:space="0"/>
              <w:bottom w:val="single" w:color="000000" w:sz="2" w:space="0"/>
              <w:right w:val="single" w:color="000000" w:sz="2" w:space="0"/>
            </w:tcBorders>
            <w:shd w:val="clear" w:color="auto" w:fill="FFFFFF"/>
            <w:noWrap/>
          </w:tcPr>
          <w:p w14:paraId="06797422">
            <w:pPr>
              <w:pStyle w:val="2"/>
              <w:rPr>
                <w:rFonts w:hint="eastAsia" w:ascii="黑体" w:hAnsi="黑体" w:eastAsia="黑体" w:cs="黑体"/>
                <w:szCs w:val="21"/>
              </w:rPr>
            </w:pPr>
            <w:r>
              <w:rPr>
                <w:rFonts w:hint="eastAsia" w:ascii="黑体" w:hAnsi="黑体" w:eastAsia="黑体" w:cs="黑体"/>
                <w:szCs w:val="21"/>
              </w:rPr>
              <w:t>1</w:t>
            </w:r>
          </w:p>
        </w:tc>
        <w:tc>
          <w:tcPr>
            <w:tcW w:w="1134" w:type="dxa"/>
            <w:tcBorders>
              <w:top w:val="single" w:color="000000" w:sz="2" w:space="0"/>
              <w:left w:val="single" w:color="000000" w:sz="2" w:space="0"/>
              <w:bottom w:val="single" w:color="000000" w:sz="2" w:space="0"/>
              <w:right w:val="single" w:color="000000" w:sz="2" w:space="0"/>
            </w:tcBorders>
            <w:shd w:val="clear" w:color="auto" w:fill="FFFFFF"/>
            <w:noWrap/>
          </w:tcPr>
          <w:p w14:paraId="7C68EE83">
            <w:pPr>
              <w:pStyle w:val="2"/>
              <w:rPr>
                <w:rFonts w:hint="eastAsia" w:ascii="黑体" w:hAnsi="黑体" w:eastAsia="黑体" w:cs="黑体"/>
                <w:szCs w:val="21"/>
              </w:rPr>
            </w:pPr>
            <w:r>
              <w:rPr>
                <w:rFonts w:eastAsia="黑体" w:cs="Calibri"/>
                <w:szCs w:val="21"/>
              </w:rPr>
              <w:t> </w:t>
            </w:r>
          </w:p>
        </w:tc>
        <w:tc>
          <w:tcPr>
            <w:tcW w:w="1984" w:type="dxa"/>
            <w:tcBorders>
              <w:top w:val="single" w:color="000000" w:sz="2" w:space="0"/>
              <w:left w:val="single" w:color="000000" w:sz="2" w:space="0"/>
              <w:bottom w:val="single" w:color="000000" w:sz="2" w:space="0"/>
              <w:right w:val="single" w:color="000000" w:sz="2" w:space="0"/>
            </w:tcBorders>
            <w:shd w:val="clear" w:color="auto" w:fill="FFFFFF"/>
            <w:noWrap/>
          </w:tcPr>
          <w:p w14:paraId="60931BF3">
            <w:pPr>
              <w:pStyle w:val="2"/>
              <w:rPr>
                <w:rFonts w:hint="eastAsia" w:ascii="黑体" w:hAnsi="黑体" w:eastAsia="黑体" w:cs="黑体"/>
                <w:szCs w:val="21"/>
              </w:rPr>
            </w:pPr>
            <w:r>
              <w:rPr>
                <w:rFonts w:eastAsia="黑体" w:cs="Calibri"/>
                <w:szCs w:val="21"/>
              </w:rPr>
              <w:t> </w:t>
            </w:r>
          </w:p>
        </w:tc>
        <w:tc>
          <w:tcPr>
            <w:tcW w:w="1134" w:type="dxa"/>
            <w:tcBorders>
              <w:top w:val="single" w:color="000000" w:sz="2" w:space="0"/>
              <w:left w:val="single" w:color="000000" w:sz="2" w:space="0"/>
              <w:bottom w:val="single" w:color="000000" w:sz="2" w:space="0"/>
              <w:right w:val="single" w:color="000000" w:sz="2" w:space="0"/>
            </w:tcBorders>
            <w:shd w:val="clear" w:color="auto" w:fill="FFFFFF"/>
            <w:noWrap/>
          </w:tcPr>
          <w:p w14:paraId="06A4215B">
            <w:pPr>
              <w:pStyle w:val="2"/>
              <w:rPr>
                <w:rFonts w:hint="eastAsia" w:ascii="黑体" w:hAnsi="黑体" w:eastAsia="黑体" w:cs="黑体"/>
                <w:szCs w:val="21"/>
              </w:rPr>
            </w:pPr>
            <w:r>
              <w:rPr>
                <w:rFonts w:eastAsia="黑体" w:cs="Calibri"/>
                <w:szCs w:val="21"/>
              </w:rPr>
              <w:t> </w:t>
            </w:r>
          </w:p>
        </w:tc>
      </w:tr>
      <w:tr w14:paraId="515DE385">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c>
          <w:tcPr>
            <w:tcW w:w="866" w:type="dxa"/>
            <w:tcBorders>
              <w:top w:val="single" w:color="000000" w:sz="2" w:space="0"/>
              <w:left w:val="single" w:color="000000" w:sz="2" w:space="0"/>
              <w:bottom w:val="single" w:color="000000" w:sz="2" w:space="0"/>
              <w:right w:val="single" w:color="000000" w:sz="2" w:space="0"/>
            </w:tcBorders>
            <w:shd w:val="clear" w:color="auto" w:fill="FFFFFF"/>
            <w:noWrap/>
          </w:tcPr>
          <w:p w14:paraId="60694CA7">
            <w:pPr>
              <w:pStyle w:val="2"/>
              <w:rPr>
                <w:rFonts w:hint="eastAsia" w:ascii="黑体" w:hAnsi="黑体" w:eastAsia="黑体" w:cs="黑体"/>
                <w:szCs w:val="21"/>
              </w:rPr>
            </w:pPr>
            <w:r>
              <w:rPr>
                <w:rFonts w:hint="eastAsia" w:ascii="黑体" w:hAnsi="黑体" w:eastAsia="黑体" w:cs="黑体"/>
                <w:szCs w:val="21"/>
              </w:rPr>
              <w:t>2</w:t>
            </w:r>
          </w:p>
        </w:tc>
        <w:tc>
          <w:tcPr>
            <w:tcW w:w="1134" w:type="dxa"/>
            <w:tcBorders>
              <w:top w:val="single" w:color="000000" w:sz="2" w:space="0"/>
              <w:left w:val="single" w:color="000000" w:sz="2" w:space="0"/>
              <w:bottom w:val="single" w:color="000000" w:sz="2" w:space="0"/>
              <w:right w:val="single" w:color="000000" w:sz="2" w:space="0"/>
            </w:tcBorders>
            <w:shd w:val="clear" w:color="auto" w:fill="FFFFFF"/>
            <w:noWrap/>
          </w:tcPr>
          <w:p w14:paraId="42AE91B6">
            <w:pPr>
              <w:pStyle w:val="2"/>
              <w:rPr>
                <w:rFonts w:hint="eastAsia" w:ascii="黑体" w:hAnsi="黑体" w:eastAsia="黑体" w:cs="黑体"/>
                <w:szCs w:val="21"/>
              </w:rPr>
            </w:pPr>
            <w:r>
              <w:rPr>
                <w:rFonts w:eastAsia="黑体" w:cs="Calibri"/>
                <w:szCs w:val="21"/>
              </w:rPr>
              <w:t> </w:t>
            </w:r>
          </w:p>
        </w:tc>
        <w:tc>
          <w:tcPr>
            <w:tcW w:w="1984" w:type="dxa"/>
            <w:tcBorders>
              <w:top w:val="single" w:color="000000" w:sz="2" w:space="0"/>
              <w:left w:val="single" w:color="000000" w:sz="2" w:space="0"/>
              <w:bottom w:val="single" w:color="000000" w:sz="2" w:space="0"/>
              <w:right w:val="single" w:color="000000" w:sz="2" w:space="0"/>
            </w:tcBorders>
            <w:shd w:val="clear" w:color="auto" w:fill="FFFFFF"/>
            <w:noWrap/>
          </w:tcPr>
          <w:p w14:paraId="3E18D44D">
            <w:pPr>
              <w:pStyle w:val="2"/>
              <w:rPr>
                <w:rFonts w:hint="eastAsia" w:ascii="黑体" w:hAnsi="黑体" w:eastAsia="黑体" w:cs="黑体"/>
                <w:szCs w:val="21"/>
              </w:rPr>
            </w:pPr>
            <w:r>
              <w:rPr>
                <w:rFonts w:eastAsia="黑体" w:cs="Calibri"/>
                <w:szCs w:val="21"/>
              </w:rPr>
              <w:t> </w:t>
            </w:r>
          </w:p>
        </w:tc>
        <w:tc>
          <w:tcPr>
            <w:tcW w:w="1134" w:type="dxa"/>
            <w:tcBorders>
              <w:top w:val="single" w:color="000000" w:sz="2" w:space="0"/>
              <w:left w:val="single" w:color="000000" w:sz="2" w:space="0"/>
              <w:bottom w:val="single" w:color="000000" w:sz="2" w:space="0"/>
              <w:right w:val="single" w:color="000000" w:sz="2" w:space="0"/>
            </w:tcBorders>
            <w:shd w:val="clear" w:color="auto" w:fill="FFFFFF"/>
            <w:noWrap/>
          </w:tcPr>
          <w:p w14:paraId="59955800">
            <w:pPr>
              <w:pStyle w:val="2"/>
              <w:rPr>
                <w:rFonts w:hint="eastAsia" w:ascii="黑体" w:hAnsi="黑体" w:eastAsia="黑体" w:cs="黑体"/>
                <w:szCs w:val="21"/>
              </w:rPr>
            </w:pPr>
            <w:r>
              <w:rPr>
                <w:rFonts w:eastAsia="黑体" w:cs="Calibri"/>
                <w:szCs w:val="21"/>
              </w:rPr>
              <w:t> </w:t>
            </w:r>
          </w:p>
        </w:tc>
      </w:tr>
      <w:tr w14:paraId="0CB8CAF9">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c>
          <w:tcPr>
            <w:tcW w:w="866" w:type="dxa"/>
            <w:tcBorders>
              <w:top w:val="single" w:color="000000" w:sz="2" w:space="0"/>
              <w:left w:val="single" w:color="000000" w:sz="2" w:space="0"/>
              <w:bottom w:val="single" w:color="000000" w:sz="2" w:space="0"/>
              <w:right w:val="single" w:color="000000" w:sz="2" w:space="0"/>
            </w:tcBorders>
            <w:shd w:val="clear" w:color="auto" w:fill="FFFFFF"/>
            <w:noWrap/>
          </w:tcPr>
          <w:p w14:paraId="19EE5842">
            <w:pPr>
              <w:pStyle w:val="2"/>
              <w:rPr>
                <w:rFonts w:hint="eastAsia" w:ascii="黑体" w:hAnsi="黑体" w:eastAsia="黑体" w:cs="黑体"/>
                <w:szCs w:val="21"/>
              </w:rPr>
            </w:pPr>
            <w:r>
              <w:rPr>
                <w:rFonts w:hint="eastAsia" w:ascii="黑体" w:hAnsi="黑体" w:eastAsia="黑体" w:cs="黑体"/>
                <w:szCs w:val="21"/>
              </w:rPr>
              <w:t>3</w:t>
            </w:r>
          </w:p>
        </w:tc>
        <w:tc>
          <w:tcPr>
            <w:tcW w:w="1134" w:type="dxa"/>
            <w:tcBorders>
              <w:top w:val="single" w:color="000000" w:sz="2" w:space="0"/>
              <w:left w:val="single" w:color="000000" w:sz="2" w:space="0"/>
              <w:bottom w:val="single" w:color="000000" w:sz="2" w:space="0"/>
              <w:right w:val="single" w:color="000000" w:sz="2" w:space="0"/>
            </w:tcBorders>
            <w:shd w:val="clear" w:color="auto" w:fill="FFFFFF"/>
            <w:noWrap/>
          </w:tcPr>
          <w:p w14:paraId="67BCA7E0">
            <w:pPr>
              <w:pStyle w:val="2"/>
              <w:rPr>
                <w:rFonts w:hint="eastAsia" w:ascii="黑体" w:hAnsi="黑体" w:eastAsia="黑体" w:cs="黑体"/>
                <w:szCs w:val="21"/>
              </w:rPr>
            </w:pPr>
            <w:r>
              <w:rPr>
                <w:rFonts w:eastAsia="黑体" w:cs="Calibri"/>
                <w:szCs w:val="21"/>
              </w:rPr>
              <w:t> </w:t>
            </w:r>
          </w:p>
        </w:tc>
        <w:tc>
          <w:tcPr>
            <w:tcW w:w="1984" w:type="dxa"/>
            <w:tcBorders>
              <w:top w:val="single" w:color="000000" w:sz="2" w:space="0"/>
              <w:left w:val="single" w:color="000000" w:sz="2" w:space="0"/>
              <w:bottom w:val="single" w:color="000000" w:sz="2" w:space="0"/>
              <w:right w:val="single" w:color="000000" w:sz="2" w:space="0"/>
            </w:tcBorders>
            <w:shd w:val="clear" w:color="auto" w:fill="FFFFFF"/>
            <w:noWrap/>
          </w:tcPr>
          <w:p w14:paraId="4B813CA7">
            <w:pPr>
              <w:pStyle w:val="2"/>
              <w:rPr>
                <w:rFonts w:hint="eastAsia" w:ascii="黑体" w:hAnsi="黑体" w:eastAsia="黑体" w:cs="黑体"/>
                <w:szCs w:val="21"/>
              </w:rPr>
            </w:pPr>
            <w:r>
              <w:rPr>
                <w:rFonts w:eastAsia="黑体" w:cs="Calibri"/>
                <w:szCs w:val="21"/>
              </w:rPr>
              <w:t> </w:t>
            </w:r>
          </w:p>
        </w:tc>
        <w:tc>
          <w:tcPr>
            <w:tcW w:w="1134" w:type="dxa"/>
            <w:tcBorders>
              <w:top w:val="single" w:color="000000" w:sz="2" w:space="0"/>
              <w:left w:val="single" w:color="000000" w:sz="2" w:space="0"/>
              <w:bottom w:val="single" w:color="000000" w:sz="2" w:space="0"/>
              <w:right w:val="single" w:color="000000" w:sz="2" w:space="0"/>
            </w:tcBorders>
            <w:shd w:val="clear" w:color="auto" w:fill="FFFFFF"/>
            <w:noWrap/>
          </w:tcPr>
          <w:p w14:paraId="3800AB4F">
            <w:pPr>
              <w:pStyle w:val="2"/>
              <w:rPr>
                <w:rFonts w:hint="eastAsia" w:ascii="黑体" w:hAnsi="黑体" w:eastAsia="黑体" w:cs="黑体"/>
                <w:szCs w:val="21"/>
              </w:rPr>
            </w:pPr>
            <w:r>
              <w:rPr>
                <w:rFonts w:eastAsia="黑体" w:cs="Calibri"/>
                <w:szCs w:val="21"/>
              </w:rPr>
              <w:t> </w:t>
            </w:r>
          </w:p>
        </w:tc>
      </w:tr>
      <w:tr w14:paraId="364B7E78">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c>
          <w:tcPr>
            <w:tcW w:w="866" w:type="dxa"/>
            <w:tcBorders>
              <w:top w:val="single" w:color="000000" w:sz="2" w:space="0"/>
              <w:left w:val="single" w:color="000000" w:sz="2" w:space="0"/>
              <w:bottom w:val="single" w:color="000000" w:sz="2" w:space="0"/>
              <w:right w:val="single" w:color="000000" w:sz="2" w:space="0"/>
            </w:tcBorders>
            <w:shd w:val="clear" w:color="auto" w:fill="FFFFFF"/>
            <w:noWrap/>
          </w:tcPr>
          <w:p w14:paraId="284F5AB2">
            <w:pPr>
              <w:pStyle w:val="2"/>
              <w:rPr>
                <w:rFonts w:hint="eastAsia" w:ascii="黑体" w:hAnsi="黑体" w:eastAsia="黑体" w:cs="黑体"/>
                <w:szCs w:val="21"/>
              </w:rPr>
            </w:pPr>
            <w:r>
              <w:rPr>
                <w:rFonts w:hint="eastAsia" w:ascii="黑体" w:hAnsi="黑体" w:eastAsia="黑体" w:cs="黑体"/>
                <w:szCs w:val="21"/>
              </w:rPr>
              <w:t>4</w:t>
            </w:r>
          </w:p>
        </w:tc>
        <w:tc>
          <w:tcPr>
            <w:tcW w:w="1134" w:type="dxa"/>
            <w:tcBorders>
              <w:top w:val="single" w:color="000000" w:sz="2" w:space="0"/>
              <w:left w:val="single" w:color="000000" w:sz="2" w:space="0"/>
              <w:bottom w:val="single" w:color="000000" w:sz="2" w:space="0"/>
              <w:right w:val="single" w:color="000000" w:sz="2" w:space="0"/>
            </w:tcBorders>
            <w:shd w:val="clear" w:color="auto" w:fill="FFFFFF"/>
            <w:noWrap/>
          </w:tcPr>
          <w:p w14:paraId="075726E6">
            <w:pPr>
              <w:pStyle w:val="2"/>
              <w:rPr>
                <w:rFonts w:hint="eastAsia" w:ascii="黑体" w:hAnsi="黑体" w:eastAsia="黑体" w:cs="黑体"/>
                <w:szCs w:val="21"/>
              </w:rPr>
            </w:pPr>
            <w:r>
              <w:rPr>
                <w:rFonts w:eastAsia="黑体" w:cs="Calibri"/>
                <w:szCs w:val="21"/>
              </w:rPr>
              <w:t> </w:t>
            </w:r>
          </w:p>
        </w:tc>
        <w:tc>
          <w:tcPr>
            <w:tcW w:w="1984" w:type="dxa"/>
            <w:tcBorders>
              <w:top w:val="single" w:color="000000" w:sz="2" w:space="0"/>
              <w:left w:val="single" w:color="000000" w:sz="2" w:space="0"/>
              <w:bottom w:val="single" w:color="000000" w:sz="2" w:space="0"/>
              <w:right w:val="single" w:color="000000" w:sz="2" w:space="0"/>
            </w:tcBorders>
            <w:shd w:val="clear" w:color="auto" w:fill="FFFFFF"/>
            <w:noWrap/>
          </w:tcPr>
          <w:p w14:paraId="357BFCED">
            <w:pPr>
              <w:pStyle w:val="2"/>
              <w:rPr>
                <w:rFonts w:hint="eastAsia" w:ascii="黑体" w:hAnsi="黑体" w:eastAsia="黑体" w:cs="黑体"/>
                <w:szCs w:val="21"/>
              </w:rPr>
            </w:pPr>
            <w:r>
              <w:rPr>
                <w:rFonts w:eastAsia="黑体" w:cs="Calibri"/>
                <w:szCs w:val="21"/>
              </w:rPr>
              <w:t> </w:t>
            </w:r>
          </w:p>
        </w:tc>
        <w:tc>
          <w:tcPr>
            <w:tcW w:w="1134" w:type="dxa"/>
            <w:tcBorders>
              <w:top w:val="single" w:color="000000" w:sz="2" w:space="0"/>
              <w:left w:val="single" w:color="000000" w:sz="2" w:space="0"/>
              <w:bottom w:val="single" w:color="000000" w:sz="2" w:space="0"/>
              <w:right w:val="single" w:color="000000" w:sz="2" w:space="0"/>
            </w:tcBorders>
            <w:shd w:val="clear" w:color="auto" w:fill="FFFFFF"/>
            <w:noWrap/>
          </w:tcPr>
          <w:p w14:paraId="70A2F2DA">
            <w:pPr>
              <w:pStyle w:val="2"/>
              <w:rPr>
                <w:rFonts w:hint="eastAsia" w:ascii="黑体" w:hAnsi="黑体" w:eastAsia="黑体" w:cs="黑体"/>
                <w:szCs w:val="21"/>
              </w:rPr>
            </w:pPr>
            <w:r>
              <w:rPr>
                <w:rFonts w:eastAsia="黑体" w:cs="Calibri"/>
                <w:szCs w:val="21"/>
              </w:rPr>
              <w:t> </w:t>
            </w:r>
          </w:p>
        </w:tc>
      </w:tr>
    </w:tbl>
    <w:p w14:paraId="093FA361">
      <w:pPr>
        <w:pStyle w:val="19"/>
        <w:spacing w:line="324" w:lineRule="atLeast"/>
        <w:ind w:left="422"/>
        <w:rPr>
          <w:rFonts w:hint="eastAsia" w:ascii="黑体" w:hAnsi="黑体" w:eastAsia="黑体" w:cs="黑体"/>
          <w:sz w:val="21"/>
          <w:szCs w:val="21"/>
        </w:rPr>
      </w:pPr>
      <w:r>
        <w:rPr>
          <w:rFonts w:ascii="Calibri" w:hAnsi="Calibri" w:eastAsia="黑体" w:cs="Calibri"/>
          <w:sz w:val="21"/>
          <w:szCs w:val="21"/>
        </w:rPr>
        <w:t> </w:t>
      </w:r>
    </w:p>
    <w:p w14:paraId="696B7549">
      <w:pPr>
        <w:pStyle w:val="19"/>
        <w:adjustRightInd w:val="0"/>
        <w:snapToGrid w:val="0"/>
        <w:spacing w:line="360" w:lineRule="auto"/>
        <w:ind w:left="422"/>
        <w:rPr>
          <w:rFonts w:hint="eastAsia" w:ascii="黑体" w:hAnsi="黑体" w:eastAsia="黑体" w:cs="黑体"/>
          <w:sz w:val="21"/>
          <w:szCs w:val="21"/>
        </w:rPr>
      </w:pPr>
      <w:r>
        <w:rPr>
          <w:rFonts w:ascii="Calibri" w:hAnsi="Calibri" w:eastAsia="黑体" w:cs="Calibri"/>
          <w:sz w:val="21"/>
          <w:szCs w:val="21"/>
        </w:rPr>
        <w:t> </w:t>
      </w:r>
    </w:p>
    <w:p w14:paraId="5A7F626F">
      <w:pPr>
        <w:pStyle w:val="19"/>
        <w:adjustRightInd w:val="0"/>
        <w:snapToGrid w:val="0"/>
        <w:spacing w:line="360" w:lineRule="auto"/>
        <w:ind w:left="422"/>
        <w:rPr>
          <w:rFonts w:hint="eastAsia" w:ascii="黑体" w:hAnsi="黑体" w:eastAsia="黑体" w:cs="黑体"/>
          <w:sz w:val="21"/>
          <w:szCs w:val="21"/>
        </w:rPr>
      </w:pPr>
      <w:r>
        <w:rPr>
          <w:rFonts w:ascii="Calibri" w:hAnsi="Calibri" w:eastAsia="黑体" w:cs="Calibri"/>
          <w:sz w:val="21"/>
          <w:szCs w:val="21"/>
        </w:rPr>
        <w:t> </w:t>
      </w:r>
    </w:p>
    <w:p w14:paraId="63F03242">
      <w:pPr>
        <w:spacing w:before="19" w:line="400" w:lineRule="exact"/>
        <w:ind w:left="422"/>
        <w:rPr>
          <w:rFonts w:hint="eastAsia" w:ascii="黑体" w:hAnsi="黑体" w:eastAsia="黑体" w:cs="黑体"/>
          <w:szCs w:val="21"/>
          <w:u w:val="single"/>
        </w:rPr>
      </w:pPr>
    </w:p>
    <w:p w14:paraId="10C50A70">
      <w:pPr>
        <w:ind w:left="422" w:firstLine="602"/>
        <w:jc w:val="center"/>
        <w:rPr>
          <w:rFonts w:hint="eastAsia" w:ascii="黑体" w:hAnsi="黑体" w:eastAsia="黑体" w:cs="黑体"/>
          <w:b/>
          <w:sz w:val="30"/>
          <w:szCs w:val="30"/>
        </w:rPr>
      </w:pPr>
    </w:p>
    <w:p w14:paraId="722E12D9">
      <w:pPr>
        <w:ind w:left="422"/>
        <w:rPr>
          <w:rFonts w:hint="eastAsia" w:ascii="黑体" w:hAnsi="黑体" w:eastAsia="黑体" w:cs="黑体"/>
        </w:rPr>
      </w:pPr>
    </w:p>
    <w:p w14:paraId="6C95F675">
      <w:pPr>
        <w:ind w:left="422"/>
        <w:rPr>
          <w:rFonts w:hint="eastAsia" w:ascii="黑体" w:hAnsi="黑体" w:eastAsia="黑体" w:cs="黑体"/>
        </w:rPr>
      </w:pPr>
    </w:p>
    <w:p w14:paraId="501CC86F">
      <w:pPr>
        <w:ind w:left="422" w:firstLine="560"/>
        <w:jc w:val="center"/>
        <w:rPr>
          <w:rFonts w:hint="eastAsia" w:ascii="黑体" w:hAnsi="黑体" w:eastAsia="黑体" w:cs="黑体"/>
          <w:sz w:val="28"/>
          <w:szCs w:val="28"/>
        </w:rPr>
      </w:pPr>
    </w:p>
    <w:p w14:paraId="7B4233BF">
      <w:pPr>
        <w:ind w:left="422" w:firstLine="560"/>
        <w:jc w:val="center"/>
        <w:rPr>
          <w:rFonts w:hint="eastAsia" w:ascii="黑体" w:hAnsi="黑体" w:eastAsia="黑体" w:cs="黑体"/>
          <w:sz w:val="28"/>
          <w:szCs w:val="28"/>
          <w:lang w:val="zh-CN"/>
        </w:rPr>
      </w:pPr>
    </w:p>
    <w:p w14:paraId="35C81608">
      <w:pPr>
        <w:spacing w:before="19" w:line="400" w:lineRule="exact"/>
        <w:ind w:left="1680" w:leftChars="800"/>
        <w:rPr>
          <w:rFonts w:hint="eastAsia" w:ascii="黑体" w:hAnsi="黑体" w:eastAsia="黑体" w:cs="黑体"/>
          <w:szCs w:val="21"/>
          <w:u w:val="single"/>
        </w:rPr>
      </w:pPr>
    </w:p>
    <w:p w14:paraId="5801FD42">
      <w:pPr>
        <w:pStyle w:val="2"/>
        <w:jc w:val="center"/>
        <w:rPr>
          <w:rFonts w:hint="eastAsia" w:ascii="黑体" w:hAnsi="黑体" w:eastAsia="黑体"/>
          <w:sz w:val="28"/>
          <w:szCs w:val="28"/>
        </w:rPr>
      </w:pPr>
      <w:r>
        <w:rPr>
          <w:rFonts w:hint="eastAsia"/>
        </w:rPr>
        <w:br w:type="page"/>
      </w:r>
      <w:bookmarkStart w:id="292" w:name="_Toc8852"/>
      <w:bookmarkStart w:id="293" w:name="_Toc24568"/>
      <w:bookmarkStart w:id="294" w:name="_Toc19117"/>
      <w:bookmarkStart w:id="295" w:name="_Toc6745"/>
      <w:bookmarkStart w:id="296" w:name="_Toc462045835"/>
      <w:bookmarkStart w:id="297" w:name="_Toc401840461"/>
      <w:bookmarkStart w:id="298" w:name="_Toc289873233"/>
      <w:bookmarkStart w:id="299" w:name="_Toc507142123"/>
      <w:bookmarkStart w:id="300" w:name="_Toc450570279"/>
      <w:r>
        <w:rPr>
          <w:rFonts w:hint="eastAsia" w:ascii="黑体" w:hAnsi="黑体" w:eastAsia="黑体"/>
          <w:sz w:val="28"/>
          <w:szCs w:val="28"/>
        </w:rPr>
        <w:t>磋商文件组成</w:t>
      </w:r>
      <w:bookmarkEnd w:id="292"/>
      <w:bookmarkEnd w:id="293"/>
      <w:bookmarkEnd w:id="294"/>
      <w:bookmarkEnd w:id="295"/>
    </w:p>
    <w:p w14:paraId="5F5DAA56">
      <w:pPr>
        <w:snapToGrid w:val="0"/>
        <w:spacing w:before="19" w:line="400" w:lineRule="exact"/>
        <w:ind w:left="422" w:firstLine="420" w:firstLineChars="200"/>
        <w:rPr>
          <w:rFonts w:hint="eastAsia" w:ascii="黑体" w:hAnsi="黑体" w:eastAsia="黑体" w:cs="黑体"/>
          <w:szCs w:val="21"/>
        </w:rPr>
      </w:pPr>
    </w:p>
    <w:p w14:paraId="275C8B85">
      <w:pPr>
        <w:snapToGrid w:val="0"/>
        <w:spacing w:before="19" w:line="400" w:lineRule="exact"/>
        <w:ind w:left="422" w:firstLine="420" w:firstLineChars="200"/>
        <w:rPr>
          <w:rFonts w:hint="eastAsia" w:ascii="黑体" w:hAnsi="黑体" w:eastAsia="黑体" w:cs="黑体"/>
          <w:szCs w:val="21"/>
        </w:rPr>
      </w:pPr>
      <w:bookmarkStart w:id="301" w:name="_Toc12981"/>
      <w:bookmarkStart w:id="302" w:name="_Toc28547"/>
      <w:r>
        <w:rPr>
          <w:rFonts w:hint="eastAsia" w:ascii="黑体" w:hAnsi="黑体" w:eastAsia="黑体" w:cs="黑体"/>
          <w:szCs w:val="21"/>
        </w:rPr>
        <w:t>一、磋商申请及声明(格式附后)</w:t>
      </w:r>
      <w:bookmarkEnd w:id="301"/>
      <w:bookmarkEnd w:id="302"/>
    </w:p>
    <w:p w14:paraId="61491502">
      <w:pPr>
        <w:snapToGrid w:val="0"/>
        <w:spacing w:before="19" w:line="400" w:lineRule="exact"/>
        <w:ind w:left="422" w:firstLine="420" w:firstLineChars="200"/>
        <w:rPr>
          <w:rFonts w:hint="eastAsia" w:ascii="黑体" w:hAnsi="黑体" w:eastAsia="黑体" w:cs="黑体"/>
          <w:szCs w:val="21"/>
        </w:rPr>
      </w:pPr>
      <w:bookmarkStart w:id="303" w:name="_Toc20903"/>
      <w:bookmarkStart w:id="304" w:name="_Toc5926"/>
      <w:r>
        <w:rPr>
          <w:rFonts w:hint="eastAsia" w:ascii="黑体" w:hAnsi="黑体" w:eastAsia="黑体" w:cs="黑体"/>
          <w:szCs w:val="21"/>
        </w:rPr>
        <w:t>二、法定代表人授权委托书(格式附后)</w:t>
      </w:r>
      <w:bookmarkEnd w:id="303"/>
      <w:bookmarkEnd w:id="304"/>
      <w:bookmarkStart w:id="305" w:name="_Toc17175"/>
      <w:bookmarkStart w:id="306" w:name="_Toc14415"/>
    </w:p>
    <w:p w14:paraId="3FBBACC2">
      <w:pPr>
        <w:snapToGrid w:val="0"/>
        <w:spacing w:before="19" w:line="400" w:lineRule="exact"/>
        <w:ind w:left="422" w:firstLine="420" w:firstLineChars="200"/>
        <w:rPr>
          <w:rFonts w:hint="eastAsia" w:ascii="黑体" w:hAnsi="黑体" w:eastAsia="黑体" w:cs="黑体"/>
          <w:szCs w:val="21"/>
        </w:rPr>
      </w:pPr>
      <w:r>
        <w:rPr>
          <w:rFonts w:hint="eastAsia" w:ascii="黑体" w:hAnsi="黑体" w:eastAsia="黑体" w:cs="黑体"/>
          <w:szCs w:val="21"/>
        </w:rPr>
        <w:t>三、报价表(格式附后)</w:t>
      </w:r>
    </w:p>
    <w:p w14:paraId="74722F87">
      <w:pPr>
        <w:snapToGrid w:val="0"/>
        <w:spacing w:before="19" w:line="400" w:lineRule="exact"/>
        <w:ind w:left="422" w:firstLine="420" w:firstLineChars="200"/>
        <w:rPr>
          <w:rFonts w:hint="eastAsia" w:ascii="黑体" w:hAnsi="黑体" w:eastAsia="黑体" w:cs="黑体"/>
          <w:szCs w:val="21"/>
        </w:rPr>
      </w:pPr>
      <w:r>
        <w:rPr>
          <w:rFonts w:hint="eastAsia" w:ascii="黑体" w:hAnsi="黑体" w:eastAsia="黑体" w:cs="黑体"/>
          <w:szCs w:val="21"/>
        </w:rPr>
        <w:t>四、分项报价表(格式附后)</w:t>
      </w:r>
    </w:p>
    <w:p w14:paraId="2B652919">
      <w:pPr>
        <w:snapToGrid w:val="0"/>
        <w:spacing w:before="19" w:line="400" w:lineRule="exact"/>
        <w:ind w:left="422" w:firstLine="420" w:firstLineChars="200"/>
        <w:rPr>
          <w:rFonts w:hint="eastAsia" w:ascii="黑体" w:hAnsi="黑体" w:eastAsia="黑体" w:cs="黑体"/>
          <w:szCs w:val="21"/>
        </w:rPr>
      </w:pPr>
      <w:r>
        <w:rPr>
          <w:rFonts w:hint="eastAsia" w:ascii="黑体" w:hAnsi="黑体" w:eastAsia="黑体" w:cs="黑体"/>
          <w:szCs w:val="21"/>
        </w:rPr>
        <w:t>五、</w:t>
      </w:r>
      <w:bookmarkEnd w:id="305"/>
      <w:bookmarkEnd w:id="306"/>
      <w:r>
        <w:rPr>
          <w:rFonts w:hint="eastAsia" w:ascii="黑体" w:hAnsi="黑体" w:eastAsia="黑体" w:cs="黑体"/>
          <w:szCs w:val="21"/>
        </w:rPr>
        <w:t>商务条款偏离表(格式附后)</w:t>
      </w:r>
    </w:p>
    <w:p w14:paraId="62E669EA">
      <w:pPr>
        <w:snapToGrid w:val="0"/>
        <w:spacing w:before="19" w:line="400" w:lineRule="exact"/>
        <w:ind w:left="422" w:firstLine="420" w:firstLineChars="200"/>
        <w:rPr>
          <w:rFonts w:hint="eastAsia" w:ascii="黑体" w:hAnsi="黑体" w:eastAsia="黑体" w:cs="黑体"/>
          <w:szCs w:val="21"/>
        </w:rPr>
      </w:pPr>
      <w:r>
        <w:rPr>
          <w:rFonts w:hint="eastAsia" w:ascii="黑体" w:hAnsi="黑体" w:eastAsia="黑体" w:cs="黑体"/>
          <w:szCs w:val="21"/>
        </w:rPr>
        <w:t>六、技术条款偏离表(格式附后)</w:t>
      </w:r>
    </w:p>
    <w:p w14:paraId="3C7A1AF0">
      <w:pPr>
        <w:snapToGrid w:val="0"/>
        <w:spacing w:before="19" w:line="400" w:lineRule="exact"/>
        <w:ind w:left="422" w:firstLine="420" w:firstLineChars="200"/>
        <w:rPr>
          <w:rFonts w:hint="eastAsia" w:ascii="黑体" w:hAnsi="黑体" w:eastAsia="黑体" w:cs="黑体"/>
          <w:szCs w:val="21"/>
        </w:rPr>
      </w:pPr>
      <w:r>
        <w:rPr>
          <w:rFonts w:hint="eastAsia" w:ascii="黑体" w:hAnsi="黑体" w:eastAsia="黑体" w:cs="黑体"/>
          <w:szCs w:val="21"/>
        </w:rPr>
        <w:t>七、无重大违法记录声明(格式附后)</w:t>
      </w:r>
    </w:p>
    <w:p w14:paraId="3368365D">
      <w:pPr>
        <w:snapToGrid w:val="0"/>
        <w:spacing w:before="19" w:line="400" w:lineRule="exact"/>
        <w:ind w:left="422" w:firstLine="420" w:firstLineChars="200"/>
        <w:rPr>
          <w:rFonts w:hint="eastAsia" w:ascii="黑体" w:hAnsi="黑体" w:eastAsia="黑体" w:cs="黑体"/>
          <w:szCs w:val="21"/>
        </w:rPr>
      </w:pPr>
      <w:r>
        <w:rPr>
          <w:rFonts w:hint="eastAsia" w:ascii="黑体" w:hAnsi="黑体" w:eastAsia="黑体" w:cs="黑体"/>
          <w:szCs w:val="21"/>
        </w:rPr>
        <w:t>八、具备履行合同所必需的设备和专业技术能力的声明格式及证明材料(格式附后)</w:t>
      </w:r>
    </w:p>
    <w:p w14:paraId="3FFA6B12">
      <w:pPr>
        <w:snapToGrid w:val="0"/>
        <w:spacing w:before="19" w:line="400" w:lineRule="exact"/>
        <w:ind w:left="422" w:firstLine="420" w:firstLineChars="200"/>
        <w:rPr>
          <w:rFonts w:hint="eastAsia" w:ascii="黑体" w:hAnsi="黑体" w:eastAsia="黑体" w:cs="黑体"/>
          <w:szCs w:val="21"/>
        </w:rPr>
      </w:pPr>
      <w:r>
        <w:rPr>
          <w:rFonts w:hint="eastAsia" w:ascii="黑体" w:hAnsi="黑体" w:eastAsia="黑体" w:cs="黑体"/>
          <w:szCs w:val="21"/>
        </w:rPr>
        <w:t>九、业绩（按评分表逐项编写，格式自拟）</w:t>
      </w:r>
    </w:p>
    <w:p w14:paraId="30F81078">
      <w:pPr>
        <w:snapToGrid w:val="0"/>
        <w:spacing w:before="19" w:line="400" w:lineRule="exact"/>
        <w:ind w:left="422" w:firstLine="420" w:firstLineChars="200"/>
        <w:rPr>
          <w:rFonts w:hint="eastAsia" w:ascii="黑体" w:hAnsi="黑体" w:eastAsia="黑体" w:cs="黑体"/>
          <w:szCs w:val="21"/>
        </w:rPr>
      </w:pPr>
      <w:r>
        <w:rPr>
          <w:rFonts w:hint="eastAsia" w:ascii="黑体" w:hAnsi="黑体" w:eastAsia="黑体" w:cs="黑体"/>
          <w:szCs w:val="21"/>
        </w:rPr>
        <w:t>十、人员配备（按评分表逐项编写，格式自拟）</w:t>
      </w:r>
    </w:p>
    <w:p w14:paraId="1247631D">
      <w:pPr>
        <w:snapToGrid w:val="0"/>
        <w:spacing w:before="19" w:line="400" w:lineRule="exact"/>
        <w:ind w:left="422" w:firstLine="420" w:firstLineChars="200"/>
        <w:rPr>
          <w:rFonts w:hint="eastAsia" w:ascii="黑体" w:hAnsi="黑体" w:eastAsia="黑体" w:cs="黑体"/>
          <w:szCs w:val="21"/>
        </w:rPr>
      </w:pPr>
      <w:r>
        <w:rPr>
          <w:rFonts w:hint="eastAsia" w:ascii="黑体" w:hAnsi="黑体" w:eastAsia="黑体" w:cs="黑体"/>
          <w:szCs w:val="21"/>
        </w:rPr>
        <w:t>十一、主要设备（按评分表逐项编写，格式自拟）</w:t>
      </w:r>
    </w:p>
    <w:p w14:paraId="6ABE0900">
      <w:pPr>
        <w:snapToGrid w:val="0"/>
        <w:spacing w:before="19" w:line="400" w:lineRule="exact"/>
        <w:ind w:left="422" w:firstLine="420" w:firstLineChars="200"/>
        <w:rPr>
          <w:rFonts w:hint="eastAsia" w:ascii="黑体" w:hAnsi="黑体" w:eastAsia="黑体" w:cs="黑体"/>
          <w:szCs w:val="21"/>
        </w:rPr>
      </w:pPr>
      <w:r>
        <w:rPr>
          <w:rFonts w:hint="eastAsia" w:ascii="黑体" w:hAnsi="黑体" w:eastAsia="黑体" w:cs="黑体"/>
          <w:szCs w:val="21"/>
        </w:rPr>
        <w:t>十二、被普查人员分配计划（按评分表逐项编写，格式自拟）</w:t>
      </w:r>
    </w:p>
    <w:p w14:paraId="099B0C91">
      <w:pPr>
        <w:snapToGrid w:val="0"/>
        <w:spacing w:before="19" w:line="400" w:lineRule="exact"/>
        <w:ind w:left="422" w:firstLine="420" w:firstLineChars="200"/>
        <w:rPr>
          <w:rFonts w:hint="eastAsia" w:ascii="黑体" w:hAnsi="黑体" w:eastAsia="黑体" w:cs="黑体"/>
          <w:szCs w:val="21"/>
        </w:rPr>
      </w:pPr>
      <w:r>
        <w:rPr>
          <w:rFonts w:hint="eastAsia" w:ascii="黑体" w:hAnsi="黑体" w:eastAsia="黑体" w:cs="黑体"/>
          <w:szCs w:val="21"/>
        </w:rPr>
        <w:t>十三、整体方案（按评分表逐项编写，格式自拟）</w:t>
      </w:r>
    </w:p>
    <w:p w14:paraId="39236B09">
      <w:pPr>
        <w:snapToGrid w:val="0"/>
        <w:spacing w:before="19" w:line="400" w:lineRule="exact"/>
        <w:ind w:left="422" w:firstLine="420" w:firstLineChars="200"/>
        <w:rPr>
          <w:rFonts w:hint="eastAsia" w:ascii="黑体" w:hAnsi="黑体" w:eastAsia="黑体" w:cs="黑体"/>
          <w:szCs w:val="21"/>
        </w:rPr>
      </w:pPr>
      <w:r>
        <w:rPr>
          <w:rFonts w:hint="eastAsia" w:ascii="黑体" w:hAnsi="黑体" w:eastAsia="黑体" w:cs="黑体"/>
          <w:szCs w:val="21"/>
        </w:rPr>
        <w:t>十四、服务承诺（按评分表逐项编写，格式自拟）</w:t>
      </w:r>
    </w:p>
    <w:p w14:paraId="379CAB0E">
      <w:pPr>
        <w:snapToGrid w:val="0"/>
        <w:spacing w:before="19" w:line="400" w:lineRule="exact"/>
        <w:ind w:left="422" w:firstLine="420" w:firstLineChars="200"/>
        <w:rPr>
          <w:rFonts w:hint="eastAsia" w:ascii="黑体" w:hAnsi="黑体" w:eastAsia="黑体" w:cs="黑体"/>
          <w:szCs w:val="21"/>
        </w:rPr>
      </w:pPr>
      <w:bookmarkStart w:id="307" w:name="_Toc16409"/>
      <w:bookmarkStart w:id="308" w:name="_Toc25694"/>
      <w:r>
        <w:rPr>
          <w:rFonts w:hint="eastAsia" w:ascii="黑体" w:hAnsi="黑体" w:eastAsia="黑体" w:cs="黑体"/>
          <w:szCs w:val="21"/>
        </w:rPr>
        <w:t>十五、供应商的资格证明材料</w:t>
      </w:r>
      <w:bookmarkEnd w:id="307"/>
      <w:bookmarkEnd w:id="308"/>
    </w:p>
    <w:p w14:paraId="105AFB4D">
      <w:pPr>
        <w:snapToGrid w:val="0"/>
        <w:spacing w:before="19" w:line="400" w:lineRule="exact"/>
        <w:ind w:left="422" w:firstLine="420" w:firstLineChars="200"/>
        <w:rPr>
          <w:rFonts w:hint="eastAsia" w:ascii="黑体" w:hAnsi="黑体" w:eastAsia="黑体" w:cs="黑体"/>
          <w:szCs w:val="21"/>
        </w:rPr>
      </w:pPr>
      <w:r>
        <w:rPr>
          <w:rFonts w:hint="eastAsia" w:ascii="黑体" w:hAnsi="黑体" w:eastAsia="黑体" w:cs="黑体"/>
          <w:szCs w:val="21"/>
        </w:rPr>
        <w:t xml:space="preserve">(一)供应商基本情况表 </w:t>
      </w:r>
    </w:p>
    <w:p w14:paraId="0D6769D4">
      <w:pPr>
        <w:snapToGrid w:val="0"/>
        <w:spacing w:before="19" w:line="400" w:lineRule="exact"/>
        <w:ind w:left="840" w:leftChars="400"/>
        <w:rPr>
          <w:rFonts w:hint="eastAsia" w:ascii="黑体" w:hAnsi="黑体" w:eastAsia="黑体" w:cs="黑体"/>
          <w:szCs w:val="21"/>
        </w:rPr>
      </w:pPr>
      <w:r>
        <w:rPr>
          <w:rFonts w:hint="eastAsia" w:ascii="黑体" w:hAnsi="黑体" w:eastAsia="黑体" w:cs="黑体"/>
          <w:szCs w:val="21"/>
        </w:rPr>
        <w:t>(二)参加政府采购活动的供应商应当具备</w:t>
      </w:r>
      <w:r>
        <w:rPr>
          <w:rFonts w:hint="eastAsia" w:ascii="黑体" w:hAnsi="黑体" w:eastAsia="黑体" w:cs="黑体"/>
          <w:szCs w:val="21"/>
          <w:lang w:eastAsia="zh-CN"/>
        </w:rPr>
        <w:t>《中华人民共和国政府采购法》</w:t>
      </w:r>
      <w:r>
        <w:rPr>
          <w:rFonts w:hint="eastAsia" w:ascii="黑体" w:hAnsi="黑体" w:eastAsia="黑体" w:cs="黑体"/>
          <w:szCs w:val="21"/>
        </w:rPr>
        <w:t>第二十二条第一款规定的条件，提供承诺书；</w:t>
      </w:r>
    </w:p>
    <w:p w14:paraId="5353ADFA">
      <w:pPr>
        <w:snapToGrid w:val="0"/>
        <w:spacing w:before="19" w:line="400" w:lineRule="exact"/>
        <w:ind w:left="422" w:firstLine="285" w:firstLineChars="136"/>
        <w:rPr>
          <w:rFonts w:hint="eastAsia" w:ascii="黑体" w:hAnsi="黑体" w:eastAsia="黑体" w:cs="黑体"/>
          <w:szCs w:val="21"/>
        </w:rPr>
      </w:pPr>
      <w:r>
        <w:rPr>
          <w:rFonts w:hint="eastAsia" w:ascii="黑体" w:hAnsi="黑体" w:eastAsia="黑体" w:cs="黑体"/>
          <w:szCs w:val="21"/>
        </w:rPr>
        <w:t>（三)符合采购文件要求的供应商特定资格条件的证明材料。</w:t>
      </w:r>
    </w:p>
    <w:p w14:paraId="4C461FFE">
      <w:pPr>
        <w:snapToGrid w:val="0"/>
        <w:spacing w:before="19" w:line="400" w:lineRule="exact"/>
        <w:ind w:left="422" w:firstLine="285" w:firstLineChars="136"/>
        <w:rPr>
          <w:rFonts w:hint="eastAsia" w:ascii="黑体" w:hAnsi="黑体" w:eastAsia="黑体" w:cs="黑体"/>
          <w:szCs w:val="21"/>
        </w:rPr>
      </w:pPr>
      <w:r>
        <w:rPr>
          <w:rFonts w:hint="eastAsia" w:ascii="黑体" w:hAnsi="黑体" w:eastAsia="黑体" w:cs="黑体"/>
          <w:szCs w:val="21"/>
        </w:rPr>
        <w:t>（四）其他特殊/专业资质文件要求。</w:t>
      </w:r>
    </w:p>
    <w:p w14:paraId="39463AC0">
      <w:pPr>
        <w:snapToGrid w:val="0"/>
        <w:spacing w:before="19" w:line="400" w:lineRule="exact"/>
        <w:ind w:left="422" w:firstLine="420" w:firstLineChars="200"/>
        <w:rPr>
          <w:rFonts w:hint="eastAsia" w:ascii="黑体" w:hAnsi="黑体" w:eastAsia="黑体" w:cs="黑体"/>
          <w:szCs w:val="21"/>
        </w:rPr>
      </w:pPr>
      <w:r>
        <w:rPr>
          <w:rFonts w:hint="eastAsia" w:ascii="黑体" w:hAnsi="黑体" w:eastAsia="黑体" w:cs="黑体"/>
          <w:szCs w:val="21"/>
        </w:rPr>
        <w:t>十六、南京市政府采购供应商信用记录表暨信用承诺书</w:t>
      </w:r>
    </w:p>
    <w:p w14:paraId="5648ABAB">
      <w:pPr>
        <w:snapToGrid w:val="0"/>
        <w:spacing w:before="19" w:line="400" w:lineRule="exact"/>
        <w:ind w:left="422" w:firstLine="420" w:firstLineChars="200"/>
        <w:rPr>
          <w:rFonts w:hint="eastAsia" w:ascii="黑体" w:hAnsi="黑体" w:eastAsia="黑体" w:cs="黑体"/>
          <w:szCs w:val="21"/>
        </w:rPr>
      </w:pPr>
      <w:bookmarkStart w:id="309" w:name="_Toc3526"/>
      <w:bookmarkStart w:id="310" w:name="_Toc7696"/>
      <w:r>
        <w:rPr>
          <w:rFonts w:hint="eastAsia" w:ascii="黑体" w:hAnsi="黑体" w:eastAsia="黑体" w:cs="黑体"/>
          <w:szCs w:val="21"/>
        </w:rPr>
        <w:t>十七、提供符合政府采购政策的证明材料附件</w:t>
      </w:r>
      <w:bookmarkEnd w:id="309"/>
      <w:bookmarkEnd w:id="310"/>
    </w:p>
    <w:p w14:paraId="3CEEA9BF">
      <w:pPr>
        <w:snapToGrid w:val="0"/>
        <w:spacing w:before="19" w:line="400" w:lineRule="exact"/>
        <w:ind w:left="422" w:firstLine="420" w:firstLineChars="200"/>
        <w:rPr>
          <w:rFonts w:hint="eastAsia" w:ascii="黑体" w:hAnsi="黑体" w:eastAsia="黑体" w:cs="黑体"/>
          <w:szCs w:val="21"/>
        </w:rPr>
      </w:pPr>
      <w:bookmarkStart w:id="311" w:name="_Toc20871"/>
      <w:bookmarkStart w:id="312" w:name="_Toc5205"/>
      <w:r>
        <w:rPr>
          <w:rFonts w:hint="eastAsia" w:ascii="黑体" w:hAnsi="黑体" w:eastAsia="黑体" w:cs="黑体"/>
          <w:szCs w:val="21"/>
        </w:rPr>
        <w:t>十八、供应商须知前附表要求的其他响应资料</w:t>
      </w:r>
      <w:bookmarkEnd w:id="311"/>
      <w:bookmarkEnd w:id="312"/>
    </w:p>
    <w:p w14:paraId="2AF2CA12">
      <w:pPr>
        <w:snapToGrid w:val="0"/>
        <w:spacing w:before="19" w:line="400" w:lineRule="exact"/>
        <w:ind w:left="422" w:firstLine="420" w:firstLineChars="200"/>
        <w:rPr>
          <w:rFonts w:hint="eastAsia" w:ascii="黑体" w:hAnsi="黑体" w:eastAsia="黑体" w:cs="黑体"/>
          <w:szCs w:val="21"/>
        </w:rPr>
      </w:pPr>
      <w:bookmarkStart w:id="313" w:name="_Toc14552"/>
      <w:bookmarkStart w:id="314" w:name="_Toc1769"/>
      <w:r>
        <w:rPr>
          <w:rFonts w:hint="eastAsia" w:ascii="黑体" w:hAnsi="黑体" w:eastAsia="黑体" w:cs="黑体"/>
          <w:szCs w:val="21"/>
        </w:rPr>
        <w:t>十九、供应商认为需提供的其他资料</w:t>
      </w:r>
      <w:bookmarkEnd w:id="313"/>
      <w:bookmarkEnd w:id="314"/>
    </w:p>
    <w:p w14:paraId="3F3EEB88"/>
    <w:p w14:paraId="6BDE95D2">
      <w:pPr>
        <w:widowControl/>
        <w:jc w:val="left"/>
        <w:rPr>
          <w:rFonts w:hint="eastAsia" w:ascii="宋体" w:hAnsi="宋体"/>
          <w:b/>
          <w:bCs/>
          <w:szCs w:val="22"/>
          <w:lang w:val="zh-CN"/>
        </w:rPr>
      </w:pPr>
      <w:bookmarkStart w:id="315" w:name="_Toc534273677"/>
      <w:bookmarkStart w:id="316" w:name="_Toc22179_WPSOffice_Level1"/>
      <w:bookmarkStart w:id="317" w:name="_Toc534273800"/>
      <w:bookmarkStart w:id="318" w:name="_Toc59003609"/>
      <w:r>
        <w:rPr>
          <w:rFonts w:hint="eastAsia" w:ascii="宋体" w:hAnsi="宋体"/>
          <w:b/>
          <w:bCs/>
          <w:szCs w:val="22"/>
          <w:lang w:val="zh-CN"/>
        </w:rPr>
        <w:br w:type="page"/>
      </w:r>
    </w:p>
    <w:p w14:paraId="55269C30">
      <w:pPr>
        <w:pStyle w:val="6"/>
        <w:spacing w:line="360" w:lineRule="auto"/>
        <w:rPr>
          <w:rFonts w:hint="eastAsia" w:ascii="黑体" w:hAnsi="黑体" w:eastAsia="黑体" w:cs="宋体"/>
          <w:b w:val="0"/>
          <w:sz w:val="21"/>
          <w:szCs w:val="21"/>
        </w:rPr>
      </w:pPr>
      <w:r>
        <w:rPr>
          <w:rFonts w:hint="eastAsia" w:ascii="黑体" w:hAnsi="黑体" w:eastAsia="黑体" w:cs="宋体"/>
          <w:b w:val="0"/>
          <w:sz w:val="21"/>
          <w:szCs w:val="21"/>
        </w:rPr>
        <w:t>附件一</w:t>
      </w:r>
      <w:bookmarkEnd w:id="315"/>
      <w:bookmarkEnd w:id="316"/>
      <w:bookmarkEnd w:id="317"/>
      <w:bookmarkEnd w:id="318"/>
      <w:r>
        <w:rPr>
          <w:rFonts w:hint="eastAsia" w:ascii="黑体" w:hAnsi="黑体" w:eastAsia="黑体" w:cs="宋体"/>
          <w:b w:val="0"/>
          <w:sz w:val="21"/>
          <w:szCs w:val="21"/>
        </w:rPr>
        <w:t>、磋商申请及声明</w:t>
      </w:r>
    </w:p>
    <w:p w14:paraId="4542C3DD">
      <w:pPr>
        <w:ind w:left="422" w:firstLine="720"/>
        <w:jc w:val="center"/>
        <w:rPr>
          <w:rFonts w:hint="eastAsia" w:ascii="黑体" w:hAnsi="黑体" w:eastAsia="黑体" w:cs="宋体"/>
          <w:b/>
          <w:sz w:val="36"/>
          <w:szCs w:val="36"/>
        </w:rPr>
      </w:pPr>
    </w:p>
    <w:p w14:paraId="2D60DABD">
      <w:pPr>
        <w:ind w:left="422" w:firstLine="720"/>
        <w:jc w:val="center"/>
        <w:rPr>
          <w:rFonts w:hint="eastAsia" w:ascii="黑体" w:hAnsi="黑体" w:eastAsia="黑体" w:cs="宋体"/>
          <w:b/>
          <w:sz w:val="36"/>
          <w:szCs w:val="36"/>
        </w:rPr>
      </w:pPr>
      <w:r>
        <w:rPr>
          <w:rFonts w:hint="eastAsia" w:ascii="黑体" w:hAnsi="黑体" w:eastAsia="黑体" w:cs="宋体"/>
          <w:b/>
          <w:sz w:val="36"/>
          <w:szCs w:val="36"/>
        </w:rPr>
        <w:t>磋商申请及声明</w:t>
      </w:r>
    </w:p>
    <w:p w14:paraId="77B45C40"/>
    <w:p w14:paraId="5D43EA0D">
      <w:pPr>
        <w:autoSpaceDE w:val="0"/>
        <w:autoSpaceDN w:val="0"/>
        <w:adjustRightInd w:val="0"/>
        <w:spacing w:line="360" w:lineRule="auto"/>
        <w:ind w:left="422"/>
        <w:rPr>
          <w:rFonts w:hint="eastAsia" w:ascii="黑体" w:hAnsi="黑体" w:eastAsia="黑体" w:cs="宋体"/>
          <w:szCs w:val="21"/>
          <w:u w:val="single"/>
        </w:rPr>
      </w:pPr>
      <w:r>
        <w:rPr>
          <w:rFonts w:hint="eastAsia" w:ascii="黑体" w:hAnsi="黑体" w:eastAsia="黑体" w:cs="宋体"/>
          <w:szCs w:val="21"/>
          <w:lang w:val="zh-CN"/>
        </w:rPr>
        <w:t>致：</w:t>
      </w:r>
      <w:r>
        <w:rPr>
          <w:rFonts w:hint="eastAsia" w:ascii="黑体" w:hAnsi="黑体" w:eastAsia="黑体" w:cs="宋体"/>
          <w:szCs w:val="21"/>
          <w:u w:val="single"/>
        </w:rPr>
        <w:t xml:space="preserve">                        </w:t>
      </w:r>
    </w:p>
    <w:p w14:paraId="1176D6A8">
      <w:pPr>
        <w:spacing w:line="276" w:lineRule="auto"/>
        <w:ind w:left="210" w:leftChars="100" w:firstLine="210" w:firstLineChars="100"/>
        <w:rPr>
          <w:rFonts w:hint="eastAsia" w:ascii="黑体" w:hAnsi="黑体" w:eastAsia="黑体"/>
          <w:szCs w:val="21"/>
          <w:lang w:val="zh-CN"/>
        </w:rPr>
      </w:pPr>
      <w:r>
        <w:rPr>
          <w:rFonts w:ascii="黑体" w:hAnsi="黑体" w:eastAsia="黑体"/>
          <w:szCs w:val="21"/>
          <w:lang w:val="zh-CN"/>
        </w:rPr>
        <w:t>根据贵方号采购文件，正式授权下述签字人(姓名和职务)代表（供应商名称），提交响应文件并参加磋商。</w:t>
      </w:r>
    </w:p>
    <w:p w14:paraId="1715AE05">
      <w:pPr>
        <w:spacing w:line="276" w:lineRule="auto"/>
        <w:ind w:left="422" w:firstLine="420" w:firstLineChars="200"/>
        <w:rPr>
          <w:rFonts w:hint="eastAsia" w:ascii="黑体" w:hAnsi="黑体" w:eastAsia="黑体"/>
          <w:szCs w:val="21"/>
        </w:rPr>
      </w:pPr>
      <w:r>
        <w:rPr>
          <w:rFonts w:ascii="黑体" w:hAnsi="黑体" w:eastAsia="黑体"/>
          <w:szCs w:val="21"/>
        </w:rPr>
        <w:t>据此函，签字人兹宣布同意如下：</w:t>
      </w:r>
    </w:p>
    <w:p w14:paraId="35C1B821">
      <w:pPr>
        <w:spacing w:line="276" w:lineRule="auto"/>
        <w:ind w:left="422" w:firstLine="420" w:firstLineChars="200"/>
        <w:rPr>
          <w:rFonts w:hint="eastAsia" w:ascii="黑体" w:hAnsi="黑体" w:eastAsia="黑体"/>
          <w:szCs w:val="21"/>
        </w:rPr>
      </w:pPr>
      <w:r>
        <w:rPr>
          <w:rFonts w:ascii="黑体" w:hAnsi="黑体" w:eastAsia="黑体"/>
          <w:szCs w:val="21"/>
        </w:rPr>
        <w:t>1.</w:t>
      </w:r>
      <w:r>
        <w:rPr>
          <w:rFonts w:hint="eastAsia" w:ascii="黑体" w:hAnsi="黑体" w:eastAsia="黑体"/>
          <w:szCs w:val="21"/>
        </w:rPr>
        <w:t>根据已收到的《》磋商文件，遵照规定，我单位经现场考察和认真研究上述磋商文件后，愿以门诊眼保健基础筛查服务为</w:t>
      </w:r>
      <w:r>
        <w:rPr>
          <w:rFonts w:ascii="黑体" w:hAnsi="黑体" w:eastAsia="黑体"/>
          <w:szCs w:val="21"/>
        </w:rPr>
        <w:t>省市医保部门批准收费价格的</w:t>
      </w:r>
      <w:r>
        <w:rPr>
          <w:rFonts w:hint="eastAsia" w:ascii="黑体" w:hAnsi="黑体" w:eastAsia="黑体"/>
          <w:szCs w:val="21"/>
          <w:u w:val="single"/>
        </w:rPr>
        <w:t xml:space="preserve">      </w:t>
      </w:r>
      <w:r>
        <w:rPr>
          <w:rFonts w:hint="eastAsia" w:ascii="黑体" w:hAnsi="黑体" w:eastAsia="黑体"/>
          <w:szCs w:val="21"/>
        </w:rPr>
        <w:t>%；其他视功能辅助检查筛查及拓展服务为</w:t>
      </w:r>
      <w:r>
        <w:rPr>
          <w:rFonts w:ascii="黑体" w:hAnsi="黑体" w:eastAsia="黑体"/>
          <w:szCs w:val="21"/>
        </w:rPr>
        <w:t>省市医保部门批准收费价格的</w:t>
      </w:r>
      <w:r>
        <w:rPr>
          <w:rFonts w:hint="eastAsia" w:ascii="黑体" w:hAnsi="黑体" w:eastAsia="黑体"/>
          <w:szCs w:val="21"/>
          <w:u w:val="single"/>
        </w:rPr>
        <w:t xml:space="preserve">      </w:t>
      </w:r>
      <w:r>
        <w:rPr>
          <w:rFonts w:hint="eastAsia" w:ascii="黑体" w:hAnsi="黑体" w:eastAsia="黑体"/>
          <w:szCs w:val="21"/>
        </w:rPr>
        <w:t>%作为磋商报价。</w:t>
      </w:r>
    </w:p>
    <w:p w14:paraId="63C19A4F">
      <w:pPr>
        <w:spacing w:line="276" w:lineRule="auto"/>
        <w:ind w:left="422" w:firstLine="420" w:firstLineChars="200"/>
        <w:rPr>
          <w:rFonts w:hint="eastAsia" w:ascii="黑体" w:hAnsi="黑体" w:eastAsia="黑体"/>
          <w:szCs w:val="21"/>
        </w:rPr>
      </w:pPr>
      <w:r>
        <w:rPr>
          <w:rFonts w:ascii="黑体" w:hAnsi="黑体" w:eastAsia="黑体"/>
          <w:szCs w:val="21"/>
        </w:rPr>
        <w:t>2.我们完全理解贵方不一定要接受最低报价的磋商或收到的任何磋商。</w:t>
      </w:r>
    </w:p>
    <w:p w14:paraId="1549BE1D">
      <w:pPr>
        <w:spacing w:line="276" w:lineRule="auto"/>
        <w:ind w:left="422" w:firstLine="420" w:firstLineChars="200"/>
        <w:rPr>
          <w:rFonts w:hint="eastAsia" w:ascii="黑体" w:hAnsi="黑体" w:eastAsia="黑体"/>
          <w:szCs w:val="21"/>
        </w:rPr>
      </w:pPr>
      <w:r>
        <w:rPr>
          <w:rFonts w:ascii="黑体" w:hAnsi="黑体" w:eastAsia="黑体"/>
          <w:szCs w:val="21"/>
        </w:rPr>
        <w:t>3.我们已详细审核全部磋商文件及其有效补充文件，我们知道必须放弃提出含糊不清或误解的问题的权利。</w:t>
      </w:r>
      <w:r>
        <w:rPr>
          <w:rFonts w:hint="eastAsia" w:ascii="黑体" w:hAnsi="黑体" w:eastAsia="黑体"/>
          <w:szCs w:val="21"/>
        </w:rPr>
        <w:t>提交响应文件后，不对磋商文件本身提出质疑。否则，属于不诚信和故意扰乱政府采购活动行为，我们将无条件接受处罚。</w:t>
      </w:r>
    </w:p>
    <w:p w14:paraId="490F2A36">
      <w:pPr>
        <w:spacing w:line="276" w:lineRule="auto"/>
        <w:ind w:left="422" w:firstLine="420" w:firstLineChars="200"/>
        <w:rPr>
          <w:rFonts w:hint="eastAsia" w:ascii="黑体" w:hAnsi="黑体" w:eastAsia="黑体"/>
          <w:szCs w:val="21"/>
        </w:rPr>
      </w:pPr>
      <w:r>
        <w:rPr>
          <w:rFonts w:ascii="黑体" w:hAnsi="黑体" w:eastAsia="黑体"/>
          <w:szCs w:val="21"/>
        </w:rPr>
        <w:t>4.我们同意从规定的磋商日期起遵循本磋商文件，并在规定的磋商有效期期满之前均具有约束力。</w:t>
      </w:r>
    </w:p>
    <w:p w14:paraId="65D344FD">
      <w:pPr>
        <w:spacing w:line="276" w:lineRule="auto"/>
        <w:ind w:left="422" w:firstLine="420" w:firstLineChars="200"/>
        <w:rPr>
          <w:rFonts w:hint="eastAsia" w:ascii="黑体" w:hAnsi="黑体" w:eastAsia="黑体"/>
          <w:szCs w:val="21"/>
        </w:rPr>
      </w:pPr>
      <w:r>
        <w:rPr>
          <w:rFonts w:hint="eastAsia" w:ascii="黑体" w:hAnsi="黑体" w:eastAsia="黑体"/>
          <w:szCs w:val="21"/>
        </w:rPr>
        <w:t>5</w:t>
      </w:r>
      <w:r>
        <w:rPr>
          <w:rFonts w:ascii="黑体" w:hAnsi="黑体" w:eastAsia="黑体"/>
          <w:szCs w:val="21"/>
        </w:rPr>
        <w:t>.同意向贵方提供贵方可能要求的与磋商有关的任何证据或资料。</w:t>
      </w:r>
    </w:p>
    <w:p w14:paraId="750A82E9">
      <w:pPr>
        <w:spacing w:line="276" w:lineRule="auto"/>
        <w:ind w:left="422" w:firstLine="420" w:firstLineChars="200"/>
        <w:rPr>
          <w:rFonts w:hint="eastAsia" w:ascii="黑体" w:hAnsi="黑体" w:eastAsia="黑体"/>
          <w:szCs w:val="21"/>
        </w:rPr>
      </w:pPr>
      <w:r>
        <w:rPr>
          <w:rFonts w:hint="eastAsia" w:ascii="黑体" w:hAnsi="黑体" w:eastAsia="黑体"/>
          <w:szCs w:val="21"/>
        </w:rPr>
        <w:t>6</w:t>
      </w:r>
      <w:r>
        <w:rPr>
          <w:rFonts w:ascii="黑体" w:hAnsi="黑体" w:eastAsia="黑体"/>
          <w:szCs w:val="21"/>
        </w:rPr>
        <w:t>.一旦我方成交，我方将根据磋商文件的规定，严格履行合同，并保证于承诺的时间完成货物的启动、调试等服务，交付采购人验收、使用。</w:t>
      </w:r>
    </w:p>
    <w:p w14:paraId="2F4D1F27">
      <w:pPr>
        <w:spacing w:line="276" w:lineRule="auto"/>
        <w:ind w:left="422" w:firstLine="420" w:firstLineChars="200"/>
        <w:rPr>
          <w:rFonts w:hint="eastAsia" w:ascii="黑体" w:hAnsi="黑体" w:eastAsia="黑体"/>
          <w:szCs w:val="21"/>
        </w:rPr>
      </w:pPr>
      <w:r>
        <w:rPr>
          <w:rFonts w:hint="eastAsia" w:ascii="黑体" w:hAnsi="黑体" w:eastAsia="黑体"/>
          <w:szCs w:val="21"/>
        </w:rPr>
        <w:t>7</w:t>
      </w:r>
      <w:r>
        <w:rPr>
          <w:rFonts w:ascii="黑体" w:hAnsi="黑体" w:eastAsia="黑体"/>
          <w:szCs w:val="21"/>
        </w:rPr>
        <w:t>.我方将严格遵守《中华人民共和国政府采购法》第七十七条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3CB0F468">
      <w:pPr>
        <w:spacing w:line="276" w:lineRule="auto"/>
        <w:ind w:left="422" w:firstLine="420" w:firstLineChars="200"/>
        <w:rPr>
          <w:rFonts w:hint="eastAsia" w:ascii="黑体" w:hAnsi="黑体" w:eastAsia="黑体"/>
          <w:szCs w:val="21"/>
        </w:rPr>
      </w:pPr>
      <w:r>
        <w:rPr>
          <w:rFonts w:ascii="黑体" w:hAnsi="黑体" w:eastAsia="黑体"/>
          <w:szCs w:val="21"/>
        </w:rPr>
        <w:t>（1）提供虚假材料谋取中标、成交的；</w:t>
      </w:r>
    </w:p>
    <w:p w14:paraId="6B9D206E">
      <w:pPr>
        <w:spacing w:line="276" w:lineRule="auto"/>
        <w:ind w:left="422" w:firstLine="420" w:firstLineChars="200"/>
        <w:rPr>
          <w:rFonts w:hint="eastAsia" w:ascii="黑体" w:hAnsi="黑体" w:eastAsia="黑体"/>
          <w:szCs w:val="21"/>
        </w:rPr>
      </w:pPr>
      <w:r>
        <w:rPr>
          <w:rFonts w:ascii="黑体" w:hAnsi="黑体" w:eastAsia="黑体"/>
          <w:szCs w:val="21"/>
        </w:rPr>
        <w:t>（2）采取不正当手段诋毁、排挤其他供应商的；</w:t>
      </w:r>
    </w:p>
    <w:p w14:paraId="05F21653">
      <w:pPr>
        <w:spacing w:line="276" w:lineRule="auto"/>
        <w:ind w:left="422" w:firstLine="420" w:firstLineChars="200"/>
        <w:rPr>
          <w:rFonts w:hint="eastAsia" w:ascii="黑体" w:hAnsi="黑体" w:eastAsia="黑体"/>
          <w:szCs w:val="21"/>
        </w:rPr>
      </w:pPr>
      <w:r>
        <w:rPr>
          <w:rFonts w:ascii="黑体" w:hAnsi="黑体" w:eastAsia="黑体"/>
          <w:szCs w:val="21"/>
        </w:rPr>
        <w:t>（3）与采购人、其它供应商或者采购代理机构恶意串通的；</w:t>
      </w:r>
    </w:p>
    <w:p w14:paraId="334F1318">
      <w:pPr>
        <w:spacing w:line="276" w:lineRule="auto"/>
        <w:ind w:left="422" w:firstLine="420" w:firstLineChars="200"/>
        <w:rPr>
          <w:rFonts w:hint="eastAsia" w:ascii="黑体" w:hAnsi="黑体" w:eastAsia="黑体"/>
          <w:szCs w:val="21"/>
        </w:rPr>
      </w:pPr>
      <w:r>
        <w:rPr>
          <w:rFonts w:ascii="黑体" w:hAnsi="黑体" w:eastAsia="黑体"/>
          <w:szCs w:val="21"/>
        </w:rPr>
        <w:t>（4）向采购人、采购代理机构行贿或者提供其他不正当利益的；</w:t>
      </w:r>
    </w:p>
    <w:p w14:paraId="7B9C483F">
      <w:pPr>
        <w:spacing w:line="276" w:lineRule="auto"/>
        <w:ind w:left="422" w:firstLine="420" w:firstLineChars="200"/>
        <w:rPr>
          <w:rFonts w:hint="eastAsia" w:ascii="黑体" w:hAnsi="黑体" w:eastAsia="黑体"/>
          <w:szCs w:val="21"/>
        </w:rPr>
      </w:pPr>
      <w:r>
        <w:rPr>
          <w:rFonts w:ascii="黑体" w:hAnsi="黑体" w:eastAsia="黑体"/>
          <w:szCs w:val="21"/>
        </w:rPr>
        <w:t>（5）在采购过程中与采购人进行协商磋商的；</w:t>
      </w:r>
    </w:p>
    <w:p w14:paraId="358C927F">
      <w:pPr>
        <w:spacing w:line="276" w:lineRule="auto"/>
        <w:ind w:left="422" w:firstLine="420" w:firstLineChars="200"/>
        <w:rPr>
          <w:rFonts w:hint="eastAsia" w:ascii="黑体" w:hAnsi="黑体" w:eastAsia="黑体"/>
          <w:szCs w:val="21"/>
        </w:rPr>
      </w:pPr>
      <w:r>
        <w:rPr>
          <w:rFonts w:ascii="黑体" w:hAnsi="黑体" w:eastAsia="黑体"/>
          <w:szCs w:val="21"/>
        </w:rPr>
        <w:t>（6）拒绝有关部门监督检查或提供虚假情况的。</w:t>
      </w:r>
    </w:p>
    <w:p w14:paraId="6CDCE47B">
      <w:pPr>
        <w:spacing w:line="276" w:lineRule="auto"/>
        <w:ind w:left="422" w:firstLine="420" w:firstLineChars="200"/>
        <w:rPr>
          <w:rFonts w:hint="eastAsia" w:ascii="黑体" w:hAnsi="黑体" w:eastAsia="黑体"/>
          <w:szCs w:val="21"/>
        </w:rPr>
      </w:pPr>
      <w:bookmarkStart w:id="319" w:name="_Toc59003610"/>
      <w:bookmarkStart w:id="320" w:name="_Toc534273678"/>
      <w:bookmarkStart w:id="321" w:name="_Toc504044381"/>
      <w:bookmarkStart w:id="322" w:name="_Toc490133029"/>
      <w:bookmarkStart w:id="323" w:name="_Toc534273801"/>
      <w:bookmarkStart w:id="324" w:name="_Toc19241_WPSOffice_Level1"/>
      <w:bookmarkStart w:id="325" w:name="_Toc504056869"/>
      <w:bookmarkStart w:id="326" w:name="_Toc504573084"/>
      <w:r>
        <w:rPr>
          <w:rFonts w:hint="eastAsia" w:ascii="黑体" w:hAnsi="黑体" w:eastAsia="黑体"/>
          <w:szCs w:val="21"/>
        </w:rPr>
        <w:t>8.满足《中华人民共和国政府采购法》第二十二条规定：</w:t>
      </w:r>
    </w:p>
    <w:p w14:paraId="7136346C">
      <w:pPr>
        <w:spacing w:line="276" w:lineRule="auto"/>
        <w:ind w:left="422" w:firstLine="420" w:firstLineChars="200"/>
        <w:rPr>
          <w:rFonts w:hint="eastAsia" w:ascii="黑体" w:hAnsi="黑体" w:eastAsia="黑体"/>
          <w:szCs w:val="21"/>
        </w:rPr>
      </w:pPr>
      <w:r>
        <w:rPr>
          <w:rFonts w:hint="eastAsia" w:ascii="黑体" w:hAnsi="黑体" w:eastAsia="黑体"/>
          <w:szCs w:val="21"/>
        </w:rPr>
        <w:t>（1）具有独立承担民事责任的能力；</w:t>
      </w:r>
    </w:p>
    <w:p w14:paraId="4786093F">
      <w:pPr>
        <w:spacing w:line="276" w:lineRule="auto"/>
        <w:ind w:left="422" w:firstLine="420" w:firstLineChars="200"/>
        <w:rPr>
          <w:rFonts w:hint="eastAsia" w:ascii="黑体" w:hAnsi="黑体" w:eastAsia="黑体"/>
          <w:szCs w:val="21"/>
        </w:rPr>
      </w:pPr>
      <w:r>
        <w:rPr>
          <w:rFonts w:hint="eastAsia" w:ascii="黑体" w:hAnsi="黑体" w:eastAsia="黑体"/>
          <w:szCs w:val="21"/>
        </w:rPr>
        <w:t>（2）具有良好的商业信誉和健全的2024年度财务会计制度；</w:t>
      </w:r>
    </w:p>
    <w:p w14:paraId="7C1D9305">
      <w:pPr>
        <w:spacing w:line="276" w:lineRule="auto"/>
        <w:ind w:left="422" w:firstLine="420" w:firstLineChars="200"/>
        <w:rPr>
          <w:rFonts w:hint="eastAsia" w:ascii="黑体" w:hAnsi="黑体" w:eastAsia="黑体"/>
          <w:szCs w:val="21"/>
        </w:rPr>
      </w:pPr>
      <w:r>
        <w:rPr>
          <w:rFonts w:hint="eastAsia" w:ascii="黑体" w:hAnsi="黑体" w:eastAsia="黑体"/>
          <w:szCs w:val="21"/>
        </w:rPr>
        <w:t>（3）具有履行合同所必须的设备和专业技术能力；</w:t>
      </w:r>
    </w:p>
    <w:p w14:paraId="159E1E8E">
      <w:pPr>
        <w:spacing w:line="276" w:lineRule="auto"/>
        <w:ind w:left="422" w:firstLine="420" w:firstLineChars="200"/>
        <w:rPr>
          <w:rFonts w:hint="eastAsia" w:ascii="黑体" w:hAnsi="黑体" w:eastAsia="黑体"/>
          <w:szCs w:val="21"/>
        </w:rPr>
      </w:pPr>
      <w:r>
        <w:rPr>
          <w:rFonts w:hint="eastAsia" w:ascii="黑体" w:hAnsi="黑体" w:eastAsia="黑体"/>
          <w:szCs w:val="21"/>
        </w:rPr>
        <w:t>（4）有依法缴纳税收和社会保障资金的良好记录；</w:t>
      </w:r>
    </w:p>
    <w:p w14:paraId="6E06EB40">
      <w:pPr>
        <w:spacing w:line="276" w:lineRule="auto"/>
        <w:ind w:left="422" w:firstLine="420" w:firstLineChars="200"/>
        <w:rPr>
          <w:rFonts w:hint="eastAsia" w:ascii="黑体" w:hAnsi="黑体" w:eastAsia="黑体"/>
          <w:szCs w:val="21"/>
        </w:rPr>
      </w:pPr>
      <w:r>
        <w:rPr>
          <w:rFonts w:hint="eastAsia" w:ascii="黑体" w:hAnsi="黑体" w:eastAsia="黑体"/>
          <w:szCs w:val="21"/>
        </w:rPr>
        <w:t>（5）参加政府采购活动前三年内，在经营活动中没有重大违法记录；</w:t>
      </w:r>
    </w:p>
    <w:p w14:paraId="1A7BE2E6">
      <w:pPr>
        <w:spacing w:line="276" w:lineRule="auto"/>
        <w:ind w:left="422" w:firstLine="420" w:firstLineChars="200"/>
        <w:rPr>
          <w:rFonts w:hint="eastAsia" w:ascii="黑体" w:hAnsi="黑体" w:eastAsia="黑体"/>
          <w:szCs w:val="21"/>
        </w:rPr>
      </w:pPr>
      <w:r>
        <w:rPr>
          <w:rFonts w:hint="eastAsia" w:ascii="黑体" w:hAnsi="黑体" w:eastAsia="黑体"/>
          <w:szCs w:val="21"/>
        </w:rPr>
        <w:t>（6）法律、行政法规规定的其他条件：无</w:t>
      </w:r>
    </w:p>
    <w:p w14:paraId="1DBC53B8">
      <w:pPr>
        <w:rPr>
          <w:rFonts w:hint="eastAsia" w:ascii="黑体" w:hAnsi="黑体" w:eastAsia="黑体"/>
        </w:rPr>
      </w:pPr>
    </w:p>
    <w:p w14:paraId="5CE47C3B">
      <w:pPr>
        <w:spacing w:line="276" w:lineRule="auto"/>
        <w:ind w:left="422" w:firstLine="420" w:firstLineChars="200"/>
        <w:rPr>
          <w:rFonts w:hint="eastAsia" w:ascii="黑体" w:hAnsi="黑体" w:eastAsia="黑体"/>
          <w:szCs w:val="21"/>
        </w:rPr>
      </w:pPr>
      <w:r>
        <w:rPr>
          <w:rFonts w:hint="eastAsia" w:ascii="黑体" w:hAnsi="黑体" w:eastAsia="黑体"/>
          <w:szCs w:val="21"/>
        </w:rPr>
        <w:t>9</w:t>
      </w:r>
      <w:r>
        <w:rPr>
          <w:rFonts w:ascii="黑体" w:hAnsi="黑体" w:eastAsia="黑体"/>
          <w:szCs w:val="21"/>
        </w:rPr>
        <w:t>.与本磋商有关的正式通讯地址为：</w:t>
      </w:r>
    </w:p>
    <w:p w14:paraId="447EBABA">
      <w:pPr>
        <w:tabs>
          <w:tab w:val="center" w:pos="4153"/>
        </w:tabs>
        <w:spacing w:line="276" w:lineRule="auto"/>
        <w:ind w:left="422" w:firstLine="525" w:firstLineChars="250"/>
        <w:rPr>
          <w:rFonts w:hint="eastAsia" w:ascii="黑体" w:hAnsi="黑体" w:eastAsia="黑体" w:cs="宋体"/>
          <w:szCs w:val="21"/>
        </w:rPr>
      </w:pPr>
      <w:r>
        <w:rPr>
          <w:rFonts w:hint="eastAsia" w:ascii="黑体" w:hAnsi="黑体" w:eastAsia="黑体" w:cs="宋体"/>
          <w:szCs w:val="21"/>
        </w:rPr>
        <w:t>供应商名称（盖章）：</w:t>
      </w:r>
      <w:r>
        <w:rPr>
          <w:rFonts w:hint="eastAsia" w:ascii="黑体" w:hAnsi="黑体" w:eastAsia="黑体" w:cs="宋体"/>
          <w:szCs w:val="21"/>
        </w:rPr>
        <w:tab/>
      </w:r>
    </w:p>
    <w:p w14:paraId="4CCE3C80">
      <w:pPr>
        <w:spacing w:line="276" w:lineRule="auto"/>
        <w:ind w:left="422" w:firstLine="525" w:firstLineChars="250"/>
        <w:rPr>
          <w:rFonts w:hint="eastAsia" w:ascii="黑体" w:hAnsi="黑体" w:eastAsia="黑体" w:cs="宋体"/>
          <w:szCs w:val="21"/>
        </w:rPr>
      </w:pPr>
      <w:r>
        <w:rPr>
          <w:rFonts w:hint="eastAsia" w:ascii="黑体" w:hAnsi="黑体" w:eastAsia="黑体" w:cs="宋体"/>
          <w:szCs w:val="21"/>
        </w:rPr>
        <w:t>地址：</w:t>
      </w:r>
    </w:p>
    <w:p w14:paraId="1EF3C68E">
      <w:pPr>
        <w:spacing w:line="276" w:lineRule="auto"/>
        <w:ind w:left="422" w:firstLine="525" w:firstLineChars="250"/>
        <w:rPr>
          <w:rFonts w:hint="eastAsia" w:ascii="黑体" w:hAnsi="黑体" w:eastAsia="黑体" w:cs="宋体"/>
          <w:szCs w:val="21"/>
        </w:rPr>
      </w:pPr>
      <w:r>
        <w:rPr>
          <w:rFonts w:hint="eastAsia" w:ascii="黑体" w:hAnsi="黑体" w:eastAsia="黑体" w:cs="宋体"/>
          <w:szCs w:val="21"/>
        </w:rPr>
        <w:t>联系电话：</w:t>
      </w:r>
    </w:p>
    <w:p w14:paraId="0914F714">
      <w:pPr>
        <w:spacing w:line="276" w:lineRule="auto"/>
        <w:ind w:left="422" w:firstLine="525" w:firstLineChars="250"/>
        <w:rPr>
          <w:rFonts w:hint="eastAsia" w:ascii="黑体" w:hAnsi="黑体" w:eastAsia="黑体" w:cs="宋体"/>
          <w:szCs w:val="21"/>
        </w:rPr>
      </w:pPr>
      <w:r>
        <w:rPr>
          <w:rFonts w:hint="eastAsia" w:ascii="黑体" w:hAnsi="黑体" w:eastAsia="黑体" w:cs="宋体"/>
          <w:szCs w:val="21"/>
        </w:rPr>
        <w:t>传真：</w:t>
      </w:r>
    </w:p>
    <w:p w14:paraId="0457644E">
      <w:pPr>
        <w:spacing w:line="276" w:lineRule="auto"/>
        <w:ind w:left="422" w:firstLine="525" w:firstLineChars="250"/>
        <w:rPr>
          <w:rFonts w:hint="eastAsia" w:ascii="黑体" w:hAnsi="黑体" w:eastAsia="黑体" w:cs="宋体"/>
          <w:szCs w:val="21"/>
        </w:rPr>
      </w:pPr>
      <w:r>
        <w:rPr>
          <w:rFonts w:hint="eastAsia" w:ascii="黑体" w:hAnsi="黑体" w:eastAsia="黑体" w:cs="宋体"/>
          <w:szCs w:val="21"/>
        </w:rPr>
        <w:t>开户银行：</w:t>
      </w:r>
    </w:p>
    <w:p w14:paraId="27AFB3FE">
      <w:pPr>
        <w:spacing w:line="276" w:lineRule="auto"/>
        <w:ind w:left="422" w:firstLine="525" w:firstLineChars="250"/>
        <w:rPr>
          <w:rFonts w:hint="eastAsia" w:ascii="黑体" w:hAnsi="黑体" w:eastAsia="黑体" w:cs="宋体"/>
          <w:szCs w:val="21"/>
        </w:rPr>
      </w:pPr>
      <w:r>
        <w:rPr>
          <w:rFonts w:hint="eastAsia" w:ascii="黑体" w:hAnsi="黑体" w:eastAsia="黑体" w:cs="宋体"/>
          <w:szCs w:val="21"/>
          <w:lang w:eastAsia="zh-CN"/>
        </w:rPr>
        <w:t>账号</w:t>
      </w:r>
      <w:r>
        <w:rPr>
          <w:rFonts w:hint="eastAsia" w:ascii="黑体" w:hAnsi="黑体" w:eastAsia="黑体" w:cs="宋体"/>
          <w:szCs w:val="21"/>
        </w:rPr>
        <w:t>：</w:t>
      </w:r>
    </w:p>
    <w:p w14:paraId="1A98DED5">
      <w:pPr>
        <w:spacing w:line="276" w:lineRule="auto"/>
        <w:ind w:left="422" w:firstLine="525" w:firstLineChars="250"/>
        <w:rPr>
          <w:rFonts w:hint="eastAsia" w:ascii="黑体" w:hAnsi="黑体" w:eastAsia="黑体" w:cs="宋体"/>
          <w:szCs w:val="21"/>
        </w:rPr>
      </w:pPr>
      <w:r>
        <w:rPr>
          <w:rFonts w:hint="eastAsia" w:ascii="黑体" w:hAnsi="黑体" w:eastAsia="黑体" w:cs="宋体"/>
          <w:szCs w:val="21"/>
        </w:rPr>
        <w:t>供应商授权代表姓名（签字）：</w:t>
      </w:r>
    </w:p>
    <w:p w14:paraId="75A956C2">
      <w:pPr>
        <w:spacing w:line="276" w:lineRule="auto"/>
        <w:ind w:left="422" w:firstLine="525" w:firstLineChars="250"/>
        <w:rPr>
          <w:rFonts w:hint="eastAsia" w:ascii="黑体" w:hAnsi="黑体" w:eastAsia="黑体" w:cs="宋体"/>
          <w:szCs w:val="21"/>
        </w:rPr>
      </w:pPr>
      <w:r>
        <w:rPr>
          <w:rFonts w:hint="eastAsia" w:ascii="黑体" w:hAnsi="黑体" w:eastAsia="黑体" w:cs="宋体"/>
          <w:szCs w:val="21"/>
        </w:rPr>
        <w:t>联系电话</w:t>
      </w:r>
      <w:bookmarkStart w:id="345" w:name="_GoBack"/>
      <w:r>
        <w:rPr>
          <w:rFonts w:ascii="黑体" w:hAnsi="黑体" w:eastAsia="黑体" w:cs="宋体"/>
          <w:szCs w:val="21"/>
        </w:rPr>
        <w:t>:</w:t>
      </w:r>
      <w:bookmarkEnd w:id="345"/>
      <w:r>
        <w:rPr>
          <w:rFonts w:ascii="黑体" w:hAnsi="黑体" w:eastAsia="黑体" w:cs="宋体"/>
          <w:szCs w:val="21"/>
        </w:rPr>
        <w:t xml:space="preserve"> </w:t>
      </w:r>
    </w:p>
    <w:p w14:paraId="7C725851">
      <w:pPr>
        <w:spacing w:line="276" w:lineRule="auto"/>
        <w:ind w:left="422" w:firstLine="525" w:firstLineChars="250"/>
        <w:rPr>
          <w:rFonts w:hint="eastAsia" w:ascii="宋体" w:hAnsi="宋体" w:cs="宋体"/>
          <w:szCs w:val="21"/>
        </w:rPr>
      </w:pPr>
      <w:r>
        <w:rPr>
          <w:rFonts w:hint="eastAsia" w:ascii="黑体" w:hAnsi="黑体" w:eastAsia="黑体" w:cs="宋体"/>
          <w:szCs w:val="21"/>
        </w:rPr>
        <w:t>日期：年月日</w:t>
      </w:r>
    </w:p>
    <w:p w14:paraId="49B327C4">
      <w:pPr>
        <w:spacing w:line="360" w:lineRule="auto"/>
        <w:ind w:left="422"/>
        <w:rPr>
          <w:rFonts w:hint="eastAsia" w:ascii="黑体" w:hAnsi="黑体" w:eastAsia="黑体"/>
          <w:b/>
          <w:bCs/>
          <w:szCs w:val="22"/>
          <w:lang w:val="zh-CN"/>
        </w:rPr>
      </w:pPr>
    </w:p>
    <w:p w14:paraId="79096C48">
      <w:pPr>
        <w:spacing w:line="360" w:lineRule="auto"/>
        <w:ind w:left="422"/>
        <w:rPr>
          <w:rFonts w:hint="eastAsia" w:ascii="黑体" w:hAnsi="黑体" w:eastAsia="黑体"/>
          <w:b/>
          <w:bCs/>
          <w:szCs w:val="22"/>
          <w:lang w:val="zh-CN"/>
        </w:rPr>
      </w:pPr>
    </w:p>
    <w:p w14:paraId="798BFD70">
      <w:pPr>
        <w:spacing w:line="360" w:lineRule="auto"/>
        <w:ind w:left="422"/>
        <w:rPr>
          <w:rFonts w:hint="eastAsia" w:ascii="黑体" w:hAnsi="黑体" w:eastAsia="黑体"/>
          <w:b/>
          <w:bCs/>
          <w:szCs w:val="22"/>
          <w:lang w:val="zh-CN"/>
        </w:rPr>
      </w:pPr>
    </w:p>
    <w:p w14:paraId="0A86B87D">
      <w:pPr>
        <w:spacing w:line="360" w:lineRule="auto"/>
        <w:ind w:left="422"/>
        <w:rPr>
          <w:rFonts w:hint="eastAsia" w:ascii="黑体" w:hAnsi="黑体" w:eastAsia="黑体"/>
          <w:b/>
          <w:bCs/>
          <w:szCs w:val="22"/>
          <w:lang w:val="zh-CN"/>
        </w:rPr>
      </w:pPr>
    </w:p>
    <w:p w14:paraId="6D603E31">
      <w:pPr>
        <w:spacing w:line="360" w:lineRule="auto"/>
        <w:ind w:left="422"/>
        <w:rPr>
          <w:rFonts w:hint="eastAsia" w:ascii="黑体" w:hAnsi="黑体" w:eastAsia="黑体"/>
          <w:b/>
          <w:bCs/>
          <w:szCs w:val="22"/>
          <w:lang w:val="zh-CN"/>
        </w:rPr>
      </w:pPr>
    </w:p>
    <w:p w14:paraId="203ED324">
      <w:pPr>
        <w:spacing w:line="360" w:lineRule="auto"/>
        <w:ind w:left="422"/>
        <w:rPr>
          <w:rFonts w:hint="eastAsia" w:ascii="黑体" w:hAnsi="黑体" w:eastAsia="黑体"/>
          <w:b/>
          <w:bCs/>
          <w:szCs w:val="22"/>
          <w:lang w:val="zh-CN"/>
        </w:rPr>
      </w:pPr>
    </w:p>
    <w:p w14:paraId="2536D0F0">
      <w:pPr>
        <w:spacing w:line="360" w:lineRule="auto"/>
        <w:ind w:left="422"/>
        <w:rPr>
          <w:rFonts w:hint="eastAsia" w:ascii="黑体" w:hAnsi="黑体" w:eastAsia="黑体"/>
          <w:b/>
          <w:bCs/>
          <w:szCs w:val="22"/>
          <w:lang w:val="zh-CN"/>
        </w:rPr>
      </w:pPr>
    </w:p>
    <w:p w14:paraId="42FA5E41">
      <w:pPr>
        <w:spacing w:line="360" w:lineRule="auto"/>
        <w:ind w:left="422"/>
        <w:rPr>
          <w:rFonts w:hint="eastAsia" w:ascii="黑体" w:hAnsi="黑体" w:eastAsia="黑体"/>
          <w:b/>
          <w:bCs/>
          <w:szCs w:val="22"/>
          <w:lang w:val="zh-CN"/>
        </w:rPr>
      </w:pPr>
    </w:p>
    <w:p w14:paraId="19FEC001">
      <w:pPr>
        <w:spacing w:line="360" w:lineRule="auto"/>
        <w:ind w:left="422"/>
        <w:rPr>
          <w:rFonts w:hint="eastAsia" w:ascii="黑体" w:hAnsi="黑体" w:eastAsia="黑体"/>
          <w:b/>
          <w:bCs/>
          <w:szCs w:val="22"/>
          <w:lang w:val="zh-CN"/>
        </w:rPr>
      </w:pPr>
    </w:p>
    <w:p w14:paraId="5D18986A">
      <w:pPr>
        <w:spacing w:line="360" w:lineRule="auto"/>
        <w:ind w:left="422"/>
        <w:rPr>
          <w:rFonts w:hint="eastAsia" w:ascii="黑体" w:hAnsi="黑体" w:eastAsia="黑体"/>
          <w:b/>
          <w:bCs/>
          <w:szCs w:val="22"/>
          <w:lang w:val="zh-CN"/>
        </w:rPr>
      </w:pPr>
    </w:p>
    <w:p w14:paraId="139C013D">
      <w:pPr>
        <w:spacing w:line="360" w:lineRule="auto"/>
        <w:ind w:left="422"/>
        <w:rPr>
          <w:rFonts w:hint="eastAsia" w:ascii="黑体" w:hAnsi="黑体" w:eastAsia="黑体"/>
          <w:b/>
          <w:bCs/>
          <w:szCs w:val="22"/>
          <w:lang w:val="zh-CN"/>
        </w:rPr>
      </w:pPr>
    </w:p>
    <w:p w14:paraId="62E835C2">
      <w:pPr>
        <w:spacing w:line="360" w:lineRule="auto"/>
        <w:ind w:left="422"/>
        <w:rPr>
          <w:rFonts w:hint="eastAsia" w:ascii="黑体" w:hAnsi="黑体" w:eastAsia="黑体"/>
          <w:b/>
          <w:bCs/>
          <w:szCs w:val="22"/>
          <w:lang w:val="zh-CN"/>
        </w:rPr>
      </w:pPr>
    </w:p>
    <w:p w14:paraId="016340F3">
      <w:pPr>
        <w:spacing w:line="360" w:lineRule="auto"/>
        <w:ind w:left="422"/>
        <w:rPr>
          <w:rFonts w:hint="eastAsia" w:ascii="黑体" w:hAnsi="黑体" w:eastAsia="黑体"/>
          <w:b/>
          <w:bCs/>
          <w:szCs w:val="22"/>
          <w:lang w:val="zh-CN"/>
        </w:rPr>
      </w:pPr>
    </w:p>
    <w:p w14:paraId="57BF6C37">
      <w:pPr>
        <w:spacing w:line="360" w:lineRule="auto"/>
        <w:ind w:left="422"/>
        <w:rPr>
          <w:rFonts w:hint="eastAsia" w:ascii="黑体" w:hAnsi="黑体" w:eastAsia="黑体"/>
          <w:b/>
          <w:bCs/>
          <w:szCs w:val="22"/>
          <w:lang w:val="zh-CN"/>
        </w:rPr>
      </w:pPr>
    </w:p>
    <w:p w14:paraId="65A74DD3">
      <w:pPr>
        <w:spacing w:line="360" w:lineRule="auto"/>
        <w:ind w:left="422"/>
        <w:rPr>
          <w:rFonts w:hint="eastAsia" w:ascii="黑体" w:hAnsi="黑体" w:eastAsia="黑体"/>
          <w:b/>
          <w:bCs/>
          <w:szCs w:val="22"/>
          <w:lang w:val="zh-CN"/>
        </w:rPr>
      </w:pPr>
    </w:p>
    <w:p w14:paraId="5E6186C5">
      <w:pPr>
        <w:spacing w:line="360" w:lineRule="auto"/>
        <w:ind w:left="422"/>
        <w:rPr>
          <w:rFonts w:hint="eastAsia" w:ascii="黑体" w:hAnsi="黑体" w:eastAsia="黑体"/>
          <w:b/>
          <w:bCs/>
          <w:szCs w:val="22"/>
          <w:lang w:val="zh-CN"/>
        </w:rPr>
      </w:pPr>
    </w:p>
    <w:p w14:paraId="5E7C1BB7">
      <w:pPr>
        <w:spacing w:line="360" w:lineRule="auto"/>
        <w:ind w:left="422"/>
        <w:rPr>
          <w:rFonts w:hint="eastAsia" w:ascii="黑体" w:hAnsi="黑体" w:eastAsia="黑体"/>
          <w:b/>
          <w:bCs/>
          <w:szCs w:val="22"/>
          <w:lang w:val="zh-CN"/>
        </w:rPr>
      </w:pPr>
    </w:p>
    <w:p w14:paraId="5A4027C0">
      <w:pPr>
        <w:spacing w:line="360" w:lineRule="auto"/>
        <w:ind w:left="422"/>
        <w:rPr>
          <w:rFonts w:hint="eastAsia" w:ascii="黑体" w:hAnsi="黑体" w:eastAsia="黑体"/>
          <w:b/>
          <w:bCs/>
          <w:szCs w:val="22"/>
          <w:lang w:val="zh-CN"/>
        </w:rPr>
      </w:pPr>
    </w:p>
    <w:p w14:paraId="6A41DCA5">
      <w:pPr>
        <w:spacing w:line="360" w:lineRule="auto"/>
        <w:ind w:left="422"/>
        <w:rPr>
          <w:rFonts w:hint="eastAsia" w:ascii="黑体" w:hAnsi="黑体" w:eastAsia="黑体"/>
          <w:b/>
          <w:bCs/>
          <w:szCs w:val="22"/>
          <w:lang w:val="zh-CN"/>
        </w:rPr>
      </w:pPr>
    </w:p>
    <w:p w14:paraId="7BBA955B">
      <w:pPr>
        <w:spacing w:line="360" w:lineRule="auto"/>
        <w:ind w:left="422"/>
        <w:rPr>
          <w:rFonts w:hint="eastAsia" w:ascii="黑体" w:hAnsi="黑体" w:eastAsia="黑体"/>
          <w:b/>
          <w:bCs/>
          <w:szCs w:val="22"/>
          <w:lang w:val="zh-CN"/>
        </w:rPr>
      </w:pPr>
    </w:p>
    <w:p w14:paraId="4000C815">
      <w:pPr>
        <w:spacing w:line="360" w:lineRule="auto"/>
        <w:ind w:left="422"/>
        <w:rPr>
          <w:rFonts w:hint="eastAsia" w:ascii="黑体" w:hAnsi="黑体" w:eastAsia="黑体"/>
          <w:b/>
          <w:bCs/>
          <w:szCs w:val="22"/>
          <w:lang w:val="zh-CN"/>
        </w:rPr>
      </w:pPr>
    </w:p>
    <w:p w14:paraId="7908A990">
      <w:pPr>
        <w:spacing w:line="360" w:lineRule="auto"/>
        <w:ind w:left="422"/>
        <w:rPr>
          <w:rFonts w:hint="eastAsia" w:ascii="黑体" w:hAnsi="黑体" w:eastAsia="黑体"/>
          <w:b/>
          <w:bCs/>
          <w:szCs w:val="22"/>
          <w:lang w:val="zh-CN"/>
        </w:rPr>
      </w:pPr>
    </w:p>
    <w:p w14:paraId="5C5DF4A5">
      <w:pPr>
        <w:pStyle w:val="6"/>
        <w:spacing w:line="360" w:lineRule="auto"/>
        <w:rPr>
          <w:rFonts w:hint="eastAsia" w:ascii="黑体" w:hAnsi="黑体" w:eastAsia="黑体" w:cs="宋体"/>
          <w:b w:val="0"/>
          <w:sz w:val="21"/>
          <w:szCs w:val="21"/>
        </w:rPr>
      </w:pPr>
      <w:r>
        <w:rPr>
          <w:rFonts w:hint="eastAsia" w:ascii="黑体" w:hAnsi="黑体" w:eastAsia="黑体" w:cs="宋体"/>
          <w:b w:val="0"/>
          <w:sz w:val="21"/>
          <w:szCs w:val="21"/>
        </w:rPr>
        <w:t>附件二、法定代表人授权书</w:t>
      </w:r>
      <w:bookmarkEnd w:id="319"/>
      <w:bookmarkEnd w:id="320"/>
      <w:bookmarkEnd w:id="321"/>
      <w:bookmarkEnd w:id="322"/>
      <w:bookmarkEnd w:id="323"/>
      <w:bookmarkEnd w:id="324"/>
      <w:bookmarkEnd w:id="325"/>
      <w:bookmarkEnd w:id="326"/>
    </w:p>
    <w:p w14:paraId="1B7F372F">
      <w:pPr>
        <w:spacing w:line="360" w:lineRule="auto"/>
        <w:ind w:left="422"/>
        <w:rPr>
          <w:rFonts w:hint="eastAsia" w:ascii="黑体" w:hAnsi="黑体" w:eastAsia="黑体"/>
          <w:b/>
          <w:bCs/>
          <w:szCs w:val="22"/>
          <w:lang w:val="zh-CN"/>
        </w:rPr>
      </w:pPr>
    </w:p>
    <w:p w14:paraId="7A74C65C">
      <w:pPr>
        <w:ind w:left="422" w:firstLine="720"/>
        <w:jc w:val="center"/>
        <w:rPr>
          <w:rFonts w:hint="eastAsia" w:ascii="黑体" w:hAnsi="黑体" w:eastAsia="黑体" w:cs="宋体"/>
          <w:b/>
          <w:sz w:val="36"/>
          <w:szCs w:val="36"/>
        </w:rPr>
      </w:pPr>
      <w:r>
        <w:rPr>
          <w:rFonts w:hint="eastAsia" w:ascii="黑体" w:hAnsi="黑体" w:eastAsia="黑体" w:cs="宋体"/>
          <w:b/>
          <w:sz w:val="36"/>
          <w:szCs w:val="36"/>
        </w:rPr>
        <w:t>法定代表人授权书</w:t>
      </w:r>
    </w:p>
    <w:p w14:paraId="6CEAB1C7">
      <w:pPr>
        <w:autoSpaceDE w:val="0"/>
        <w:autoSpaceDN w:val="0"/>
        <w:adjustRightInd w:val="0"/>
        <w:spacing w:line="360" w:lineRule="auto"/>
        <w:ind w:left="422"/>
        <w:rPr>
          <w:rFonts w:hint="eastAsia" w:ascii="宋体" w:hAnsi="宋体" w:cs="宋体"/>
          <w:szCs w:val="21"/>
          <w:lang w:val="zh-CN"/>
        </w:rPr>
      </w:pPr>
    </w:p>
    <w:p w14:paraId="02B310F7">
      <w:pPr>
        <w:autoSpaceDE w:val="0"/>
        <w:autoSpaceDN w:val="0"/>
        <w:adjustRightInd w:val="0"/>
        <w:spacing w:line="360" w:lineRule="auto"/>
        <w:rPr>
          <w:rFonts w:hint="eastAsia" w:ascii="宋体" w:hAnsi="宋体" w:cs="宋体"/>
          <w:szCs w:val="21"/>
          <w:lang w:val="zh-CN"/>
        </w:rPr>
      </w:pPr>
      <w:r>
        <w:rPr>
          <w:rFonts w:hint="eastAsia" w:ascii="宋体" w:hAnsi="宋体" w:cs="宋体"/>
          <w:szCs w:val="21"/>
          <w:u w:val="single"/>
        </w:rPr>
        <w:t xml:space="preserve">                         </w:t>
      </w:r>
      <w:r>
        <w:rPr>
          <w:rFonts w:hint="eastAsia" w:ascii="宋体" w:hAnsi="宋体" w:cs="宋体"/>
          <w:szCs w:val="21"/>
          <w:lang w:val="zh-CN"/>
        </w:rPr>
        <w:t>：</w:t>
      </w:r>
    </w:p>
    <w:p w14:paraId="2A9E75F9">
      <w:pPr>
        <w:autoSpaceDE w:val="0"/>
        <w:autoSpaceDN w:val="0"/>
        <w:adjustRightInd w:val="0"/>
        <w:spacing w:line="360" w:lineRule="auto"/>
        <w:ind w:left="422" w:firstLine="420" w:firstLineChars="200"/>
        <w:rPr>
          <w:rFonts w:hint="eastAsia" w:ascii="黑体" w:hAnsi="黑体" w:eastAsia="黑体" w:cs="宋体"/>
          <w:szCs w:val="21"/>
          <w:lang w:val="zh-CN"/>
        </w:rPr>
      </w:pPr>
      <w:r>
        <w:rPr>
          <w:rFonts w:hint="eastAsia" w:ascii="黑体" w:hAnsi="黑体" w:eastAsia="黑体" w:cs="宋体"/>
          <w:szCs w:val="21"/>
          <w:lang w:val="zh-CN"/>
        </w:rPr>
        <w:t>本授权书声明：注册于（供应商住址）的（供应商名称）法定代表人（法定代表人姓名、职务）代表本公司授权在下面签字的（供应商代表姓名、职务）为本公司的合法代理人，就贵方组织的项目名称，项目编号：竞争性磋商，以本公司名义处理一切与之有关的事务。</w:t>
      </w:r>
    </w:p>
    <w:p w14:paraId="1C20ABAD">
      <w:pPr>
        <w:autoSpaceDE w:val="0"/>
        <w:autoSpaceDN w:val="0"/>
        <w:adjustRightInd w:val="0"/>
        <w:spacing w:line="360" w:lineRule="auto"/>
        <w:ind w:left="422" w:firstLine="420" w:firstLineChars="200"/>
        <w:rPr>
          <w:rFonts w:hint="eastAsia" w:ascii="黑体" w:hAnsi="黑体" w:eastAsia="黑体" w:cs="宋体"/>
          <w:szCs w:val="21"/>
          <w:lang w:val="zh-CN"/>
        </w:rPr>
      </w:pPr>
      <w:r>
        <w:rPr>
          <w:rFonts w:hint="eastAsia" w:ascii="黑体" w:hAnsi="黑体" w:eastAsia="黑体" w:cs="宋体"/>
          <w:szCs w:val="21"/>
          <w:lang w:val="zh-CN"/>
        </w:rPr>
        <w:t>本授权书于年月日签字或签章生效，特此声明。</w:t>
      </w:r>
    </w:p>
    <w:p w14:paraId="2C66CAA4">
      <w:pPr>
        <w:autoSpaceDE w:val="0"/>
        <w:autoSpaceDN w:val="0"/>
        <w:adjustRightInd w:val="0"/>
        <w:spacing w:line="360" w:lineRule="auto"/>
        <w:ind w:left="422" w:firstLine="420" w:firstLineChars="200"/>
        <w:rPr>
          <w:rFonts w:hint="eastAsia" w:ascii="黑体" w:hAnsi="黑体" w:eastAsia="黑体" w:cs="宋体"/>
          <w:szCs w:val="21"/>
          <w:lang w:val="zh-CN"/>
        </w:rPr>
      </w:pPr>
      <w:r>
        <w:rPr>
          <w:rFonts w:hint="eastAsia" w:ascii="黑体" w:hAnsi="黑体" w:eastAsia="黑体" w:cs="宋体"/>
          <w:szCs w:val="21"/>
          <w:lang w:val="zh-CN"/>
        </w:rPr>
        <w:t>法定代表人签字或签章：</w:t>
      </w:r>
    </w:p>
    <w:p w14:paraId="7E78B14B">
      <w:pPr>
        <w:autoSpaceDE w:val="0"/>
        <w:autoSpaceDN w:val="0"/>
        <w:adjustRightInd w:val="0"/>
        <w:spacing w:line="360" w:lineRule="auto"/>
        <w:ind w:left="422" w:firstLine="420" w:firstLineChars="200"/>
        <w:rPr>
          <w:rFonts w:hint="eastAsia" w:ascii="黑体" w:hAnsi="黑体" w:eastAsia="黑体" w:cs="宋体"/>
          <w:szCs w:val="21"/>
          <w:lang w:val="zh-CN"/>
        </w:rPr>
      </w:pPr>
      <w:r>
        <w:rPr>
          <w:rFonts w:hint="eastAsia" w:ascii="黑体" w:hAnsi="黑体" w:eastAsia="黑体" w:cs="宋体"/>
          <w:szCs w:val="21"/>
          <w:lang w:val="zh-CN"/>
        </w:rPr>
        <w:t>被授权人签字：</w:t>
      </w:r>
    </w:p>
    <w:p w14:paraId="77368187">
      <w:pPr>
        <w:autoSpaceDE w:val="0"/>
        <w:autoSpaceDN w:val="0"/>
        <w:adjustRightInd w:val="0"/>
        <w:spacing w:line="360" w:lineRule="auto"/>
        <w:ind w:left="422" w:firstLine="420" w:firstLineChars="200"/>
        <w:rPr>
          <w:rFonts w:hint="eastAsia" w:ascii="黑体" w:hAnsi="黑体" w:eastAsia="黑体" w:cs="宋体"/>
          <w:szCs w:val="21"/>
          <w:lang w:val="zh-CN"/>
        </w:rPr>
      </w:pPr>
      <w:r>
        <w:rPr>
          <w:rFonts w:hint="eastAsia" w:ascii="黑体" w:hAnsi="黑体" w:eastAsia="黑体" w:cs="宋体"/>
          <w:szCs w:val="21"/>
        </w:rPr>
        <w:t>供应商盖章：</w:t>
      </w:r>
    </w:p>
    <w:p w14:paraId="01141ED8">
      <w:pPr>
        <w:tabs>
          <w:tab w:val="left" w:pos="1440"/>
        </w:tabs>
        <w:autoSpaceDE w:val="0"/>
        <w:autoSpaceDN w:val="0"/>
        <w:adjustRightInd w:val="0"/>
        <w:spacing w:line="360" w:lineRule="auto"/>
        <w:ind w:left="422" w:firstLine="420" w:firstLineChars="200"/>
        <w:rPr>
          <w:rFonts w:hint="eastAsia" w:ascii="黑体" w:hAnsi="黑体" w:eastAsia="黑体" w:cs="宋体"/>
          <w:szCs w:val="21"/>
          <w:lang w:val="zh-CN"/>
        </w:rPr>
      </w:pPr>
      <w:r>
        <w:rPr>
          <w:rFonts w:hint="eastAsia" w:ascii="黑体" w:hAnsi="黑体" w:eastAsia="黑体" w:cs="宋体"/>
          <w:szCs w:val="21"/>
          <w:lang w:val="zh-CN"/>
        </w:rPr>
        <w:t>日期：年月日</w:t>
      </w:r>
    </w:p>
    <w:p w14:paraId="7BEFEF40">
      <w:pPr>
        <w:autoSpaceDE w:val="0"/>
        <w:autoSpaceDN w:val="0"/>
        <w:adjustRightInd w:val="0"/>
        <w:spacing w:line="360" w:lineRule="auto"/>
        <w:ind w:left="422"/>
        <w:rPr>
          <w:rFonts w:hint="eastAsia" w:ascii="宋体" w:hAnsi="宋体" w:cs="宋体"/>
          <w:szCs w:val="21"/>
          <w:lang w:val="zh-CN"/>
        </w:rPr>
      </w:pPr>
    </w:p>
    <w:p w14:paraId="3EBA5F97">
      <w:pPr>
        <w:autoSpaceDE w:val="0"/>
        <w:autoSpaceDN w:val="0"/>
        <w:adjustRightInd w:val="0"/>
        <w:spacing w:line="360" w:lineRule="auto"/>
        <w:ind w:left="422"/>
        <w:rPr>
          <w:rFonts w:hint="eastAsia" w:ascii="黑体" w:hAnsi="黑体" w:eastAsia="黑体" w:cs="宋体"/>
          <w:b/>
          <w:szCs w:val="21"/>
          <w:lang w:val="zh-CN"/>
        </w:rPr>
      </w:pPr>
      <w:r>
        <w:rPr>
          <w:rFonts w:hint="eastAsia" w:ascii="黑体" w:hAnsi="黑体" w:eastAsia="黑体" w:cs="宋体"/>
          <w:b/>
          <w:kern w:val="0"/>
          <w:szCs w:val="21"/>
        </w:rPr>
        <w:t>被授权人</w:t>
      </w:r>
      <w:r>
        <w:rPr>
          <w:rFonts w:hint="eastAsia" w:ascii="黑体" w:hAnsi="黑体" w:eastAsia="黑体" w:cs="宋体"/>
          <w:b/>
          <w:kern w:val="0"/>
          <w:szCs w:val="21"/>
          <w:lang w:val="zh-CN"/>
        </w:rPr>
        <w:t>的身份证明文件的复印件：</w:t>
      </w:r>
    </w:p>
    <w:p w14:paraId="0EF1F41B">
      <w:pPr>
        <w:ind w:left="422"/>
        <w:rPr>
          <w:rFonts w:hint="eastAsia" w:ascii="黑体" w:hAnsi="黑体" w:eastAsia="黑体" w:cs="黑体"/>
          <w:szCs w:val="21"/>
        </w:rPr>
      </w:pPr>
    </w:p>
    <w:p w14:paraId="732E77E3"/>
    <w:p w14:paraId="58BA35A0">
      <w:pPr>
        <w:ind w:left="422"/>
        <w:rPr>
          <w:rFonts w:hint="eastAsia" w:ascii="黑体" w:hAnsi="黑体" w:eastAsia="黑体" w:cs="黑体"/>
          <w:szCs w:val="21"/>
        </w:rPr>
      </w:pPr>
    </w:p>
    <w:p w14:paraId="7AA82632"/>
    <w:p w14:paraId="1FCE3BA9">
      <w:pPr>
        <w:ind w:left="422"/>
        <w:rPr>
          <w:rFonts w:hint="eastAsia" w:ascii="黑体" w:hAnsi="黑体" w:eastAsia="黑体" w:cs="黑体"/>
          <w:szCs w:val="21"/>
        </w:rPr>
      </w:pPr>
    </w:p>
    <w:p w14:paraId="45D380A9"/>
    <w:p w14:paraId="5DFBAB0F">
      <w:pPr>
        <w:ind w:left="422"/>
        <w:rPr>
          <w:rFonts w:hint="eastAsia" w:ascii="黑体" w:hAnsi="黑体" w:eastAsia="黑体" w:cs="黑体"/>
          <w:szCs w:val="21"/>
        </w:rPr>
      </w:pPr>
    </w:p>
    <w:p w14:paraId="1ADE4C39"/>
    <w:p w14:paraId="5D1EDE27">
      <w:pPr>
        <w:ind w:left="422"/>
        <w:rPr>
          <w:rFonts w:hint="eastAsia" w:ascii="黑体" w:hAnsi="黑体" w:eastAsia="黑体" w:cs="黑体"/>
          <w:szCs w:val="21"/>
        </w:rPr>
      </w:pPr>
    </w:p>
    <w:p w14:paraId="043D67E5"/>
    <w:p w14:paraId="42C77AFB">
      <w:pPr>
        <w:ind w:left="422"/>
        <w:rPr>
          <w:rFonts w:hint="eastAsia" w:ascii="黑体" w:hAnsi="黑体" w:eastAsia="黑体" w:cs="黑体"/>
          <w:szCs w:val="21"/>
        </w:rPr>
      </w:pPr>
    </w:p>
    <w:p w14:paraId="79C5D143"/>
    <w:p w14:paraId="34F9EEA0">
      <w:pPr>
        <w:ind w:left="422"/>
        <w:rPr>
          <w:rFonts w:hint="eastAsia" w:ascii="黑体" w:hAnsi="黑体" w:eastAsia="黑体" w:cs="黑体"/>
          <w:szCs w:val="21"/>
        </w:rPr>
      </w:pPr>
    </w:p>
    <w:p w14:paraId="7344508E"/>
    <w:p w14:paraId="39B25E1A">
      <w:pPr>
        <w:pStyle w:val="6"/>
        <w:spacing w:line="360" w:lineRule="auto"/>
        <w:rPr>
          <w:rFonts w:hint="eastAsia" w:ascii="黑体" w:hAnsi="黑体" w:eastAsia="黑体" w:cs="宋体"/>
          <w:b w:val="0"/>
          <w:sz w:val="21"/>
          <w:szCs w:val="21"/>
        </w:rPr>
      </w:pPr>
      <w:bookmarkStart w:id="327" w:name="_Toc59003611"/>
      <w:r>
        <w:rPr>
          <w:rFonts w:hint="eastAsia" w:ascii="黑体" w:hAnsi="黑体" w:eastAsia="黑体" w:cs="宋体"/>
          <w:b w:val="0"/>
          <w:sz w:val="21"/>
          <w:szCs w:val="21"/>
        </w:rPr>
        <w:t>附件三、报价表</w:t>
      </w:r>
      <w:bookmarkEnd w:id="327"/>
    </w:p>
    <w:p w14:paraId="0AD0DA33">
      <w:pPr>
        <w:autoSpaceDE w:val="0"/>
        <w:autoSpaceDN w:val="0"/>
        <w:adjustRightInd w:val="0"/>
        <w:ind w:left="422"/>
        <w:rPr>
          <w:rFonts w:hint="eastAsia" w:ascii="宋体" w:hAnsi="宋体" w:cs="宋体"/>
          <w:b/>
          <w:szCs w:val="21"/>
          <w:lang w:val="zh-CN"/>
        </w:rPr>
      </w:pPr>
    </w:p>
    <w:p w14:paraId="094F8656">
      <w:pPr>
        <w:ind w:left="422" w:firstLine="2880" w:firstLineChars="800"/>
        <w:rPr>
          <w:rFonts w:hint="eastAsia" w:ascii="黑体" w:hAnsi="黑体" w:eastAsia="黑体" w:cs="宋体"/>
          <w:b/>
          <w:sz w:val="36"/>
          <w:szCs w:val="36"/>
        </w:rPr>
      </w:pPr>
      <w:r>
        <w:rPr>
          <w:rFonts w:hint="eastAsia" w:ascii="黑体" w:hAnsi="黑体" w:eastAsia="黑体" w:cs="宋体"/>
          <w:b/>
          <w:sz w:val="36"/>
          <w:szCs w:val="36"/>
        </w:rPr>
        <w:t>报价表</w:t>
      </w:r>
    </w:p>
    <w:p w14:paraId="4AE1405F">
      <w:pPr>
        <w:widowControl/>
        <w:shd w:val="clear" w:color="auto" w:fill="FFFFFF"/>
        <w:spacing w:line="360" w:lineRule="auto"/>
        <w:ind w:left="422"/>
        <w:jc w:val="center"/>
        <w:rPr>
          <w:rFonts w:hint="eastAsia" w:ascii="宋体" w:hAnsi="宋体" w:cs="宋体"/>
          <w:kern w:val="0"/>
          <w:szCs w:val="21"/>
        </w:rPr>
      </w:pPr>
    </w:p>
    <w:p w14:paraId="3E6F6004">
      <w:pPr>
        <w:pStyle w:val="7"/>
        <w:spacing w:line="440" w:lineRule="exact"/>
        <w:ind w:firstLine="417" w:firstLineChars="199"/>
        <w:rPr>
          <w:rFonts w:hint="eastAsia" w:ascii="黑体" w:hAnsi="黑体" w:eastAsia="黑体"/>
          <w:szCs w:val="21"/>
        </w:rPr>
      </w:pPr>
      <w:r>
        <w:rPr>
          <w:rFonts w:hint="eastAsia" w:ascii="黑体" w:hAnsi="黑体" w:eastAsia="黑体" w:cs="宋体"/>
          <w:szCs w:val="21"/>
        </w:rPr>
        <w:t>项目名称：                                           项目编号：</w:t>
      </w:r>
    </w:p>
    <w:tbl>
      <w:tblPr>
        <w:tblStyle w:val="24"/>
        <w:tblW w:w="534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64"/>
        <w:gridCol w:w="4988"/>
        <w:gridCol w:w="1599"/>
      </w:tblGrid>
      <w:tr w14:paraId="748CB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5" w:hRule="atLeast"/>
          <w:jc w:val="center"/>
        </w:trPr>
        <w:tc>
          <w:tcPr>
            <w:tcW w:w="1515" w:type="pct"/>
            <w:vAlign w:val="center"/>
          </w:tcPr>
          <w:p w14:paraId="51C35BAF">
            <w:pPr>
              <w:pStyle w:val="9"/>
              <w:rPr>
                <w:rFonts w:hint="eastAsia"/>
              </w:rPr>
            </w:pPr>
            <w:r>
              <w:t>磋商报价</w:t>
            </w:r>
          </w:p>
        </w:tc>
        <w:tc>
          <w:tcPr>
            <w:tcW w:w="2639" w:type="pct"/>
            <w:vAlign w:val="center"/>
          </w:tcPr>
          <w:p w14:paraId="5AEC259A">
            <w:pPr>
              <w:pStyle w:val="9"/>
              <w:rPr>
                <w:rFonts w:hint="eastAsia"/>
              </w:rPr>
            </w:pPr>
            <w:r>
              <w:rPr>
                <w:rFonts w:hint="eastAsia"/>
                <w:lang w:val="en-US"/>
              </w:rPr>
              <w:t>（1）门诊眼保健基础筛查服务</w:t>
            </w:r>
            <w:r>
              <w:rPr>
                <w:rFonts w:hint="eastAsia"/>
              </w:rPr>
              <w:t>为</w:t>
            </w:r>
            <w:r>
              <w:t>省市医保部门批准收费价格的</w:t>
            </w:r>
            <w:r>
              <w:rPr>
                <w:rFonts w:hint="eastAsia"/>
                <w:u w:val="single"/>
              </w:rPr>
              <w:t xml:space="preserve">      </w:t>
            </w:r>
            <w:r>
              <w:rPr>
                <w:rFonts w:hint="eastAsia"/>
              </w:rPr>
              <w:t>%（小写，小数点后保留两位）的费率报价；</w:t>
            </w:r>
          </w:p>
          <w:p w14:paraId="1772A585">
            <w:pPr>
              <w:pStyle w:val="9"/>
              <w:rPr>
                <w:rFonts w:hint="eastAsia"/>
              </w:rPr>
            </w:pPr>
            <w:r>
              <w:rPr>
                <w:rFonts w:hint="eastAsia"/>
              </w:rPr>
              <w:t>（2）</w:t>
            </w:r>
            <w:r>
              <w:rPr>
                <w:rFonts w:hint="eastAsia"/>
                <w:lang w:val="en-US"/>
              </w:rPr>
              <w:t>其他视功能辅助检查筛查及拓展服务</w:t>
            </w:r>
            <w:r>
              <w:rPr>
                <w:rFonts w:hint="eastAsia"/>
              </w:rPr>
              <w:t>为</w:t>
            </w:r>
            <w:r>
              <w:t>省市医保部门批准收费价格的</w:t>
            </w:r>
            <w:r>
              <w:rPr>
                <w:rFonts w:hint="eastAsia"/>
                <w:u w:val="single"/>
              </w:rPr>
              <w:t xml:space="preserve">      </w:t>
            </w:r>
            <w:r>
              <w:rPr>
                <w:rFonts w:hint="eastAsia"/>
              </w:rPr>
              <w:t>%（小写，小数点后保留两位）的费率报价。</w:t>
            </w:r>
          </w:p>
        </w:tc>
        <w:tc>
          <w:tcPr>
            <w:tcW w:w="846" w:type="pct"/>
            <w:vAlign w:val="center"/>
          </w:tcPr>
          <w:p w14:paraId="24448AC7">
            <w:pPr>
              <w:pStyle w:val="9"/>
              <w:rPr>
                <w:rFonts w:hint="eastAsia"/>
              </w:rPr>
            </w:pPr>
            <w:r>
              <w:rPr>
                <w:rFonts w:hint="eastAsia"/>
              </w:rPr>
              <w:t>备注</w:t>
            </w:r>
          </w:p>
        </w:tc>
      </w:tr>
      <w:tr w14:paraId="376DC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515" w:type="pct"/>
            <w:vAlign w:val="center"/>
          </w:tcPr>
          <w:p w14:paraId="55126AF5">
            <w:pPr>
              <w:pStyle w:val="9"/>
              <w:rPr>
                <w:rFonts w:hint="eastAsia"/>
              </w:rPr>
            </w:pPr>
            <w:r>
              <w:t>响应文件份数</w:t>
            </w:r>
          </w:p>
        </w:tc>
        <w:tc>
          <w:tcPr>
            <w:tcW w:w="2639" w:type="pct"/>
            <w:vAlign w:val="center"/>
          </w:tcPr>
          <w:p w14:paraId="3E9E2C05">
            <w:pPr>
              <w:pStyle w:val="9"/>
              <w:rPr>
                <w:rFonts w:hint="eastAsia"/>
              </w:rPr>
            </w:pPr>
            <w:r>
              <w:t>正本：份              副本：份</w:t>
            </w:r>
          </w:p>
        </w:tc>
        <w:tc>
          <w:tcPr>
            <w:tcW w:w="846" w:type="pct"/>
            <w:vAlign w:val="center"/>
          </w:tcPr>
          <w:p w14:paraId="550B8EB0">
            <w:pPr>
              <w:pStyle w:val="9"/>
              <w:rPr>
                <w:rFonts w:hint="eastAsia"/>
              </w:rPr>
            </w:pPr>
          </w:p>
        </w:tc>
      </w:tr>
      <w:tr w14:paraId="2E069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15" w:type="pct"/>
            <w:vAlign w:val="center"/>
          </w:tcPr>
          <w:p w14:paraId="0A2D9DF4">
            <w:pPr>
              <w:pStyle w:val="9"/>
              <w:rPr>
                <w:rFonts w:hint="eastAsia"/>
              </w:rPr>
            </w:pPr>
            <w:r>
              <w:t>其它</w:t>
            </w:r>
          </w:p>
        </w:tc>
        <w:tc>
          <w:tcPr>
            <w:tcW w:w="2639" w:type="pct"/>
            <w:vAlign w:val="center"/>
          </w:tcPr>
          <w:p w14:paraId="13114507">
            <w:pPr>
              <w:pStyle w:val="9"/>
              <w:rPr>
                <w:rFonts w:hint="eastAsia"/>
                <w:bCs/>
              </w:rPr>
            </w:pPr>
            <w:r>
              <w:t>（如有优惠条件须在此注明）</w:t>
            </w:r>
          </w:p>
        </w:tc>
        <w:tc>
          <w:tcPr>
            <w:tcW w:w="846" w:type="pct"/>
            <w:vAlign w:val="center"/>
          </w:tcPr>
          <w:p w14:paraId="1891D78A">
            <w:pPr>
              <w:pStyle w:val="9"/>
              <w:rPr>
                <w:rFonts w:hint="eastAsia"/>
              </w:rPr>
            </w:pPr>
          </w:p>
        </w:tc>
      </w:tr>
      <w:tr w14:paraId="2300D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15" w:type="pct"/>
            <w:vAlign w:val="center"/>
          </w:tcPr>
          <w:p w14:paraId="4D4B5749">
            <w:pPr>
              <w:pStyle w:val="9"/>
              <w:rPr>
                <w:rFonts w:hint="eastAsia"/>
              </w:rPr>
            </w:pPr>
            <w:r>
              <w:rPr>
                <w:rFonts w:hint="eastAsia"/>
              </w:rPr>
              <w:t>供应商是否属于小微型企业</w:t>
            </w:r>
          </w:p>
        </w:tc>
        <w:tc>
          <w:tcPr>
            <w:tcW w:w="2639" w:type="pct"/>
            <w:vAlign w:val="center"/>
          </w:tcPr>
          <w:p w14:paraId="5E607A56">
            <w:pPr>
              <w:pStyle w:val="9"/>
              <w:rPr>
                <w:rFonts w:hint="eastAsia"/>
              </w:rPr>
            </w:pPr>
          </w:p>
        </w:tc>
        <w:tc>
          <w:tcPr>
            <w:tcW w:w="846" w:type="pct"/>
            <w:vAlign w:val="center"/>
          </w:tcPr>
          <w:p w14:paraId="364227E2">
            <w:pPr>
              <w:pStyle w:val="9"/>
              <w:rPr>
                <w:rFonts w:hint="eastAsia"/>
              </w:rPr>
            </w:pPr>
            <w:r>
              <w:rPr>
                <w:rFonts w:hint="eastAsia"/>
              </w:rPr>
              <w:t>填写“是”或“否</w:t>
            </w:r>
          </w:p>
        </w:tc>
      </w:tr>
    </w:tbl>
    <w:p w14:paraId="738ACF2B">
      <w:pPr>
        <w:widowControl/>
        <w:shd w:val="clear" w:color="auto" w:fill="FFFFFF"/>
        <w:spacing w:line="360" w:lineRule="auto"/>
        <w:ind w:left="422"/>
        <w:jc w:val="left"/>
        <w:rPr>
          <w:rFonts w:hint="eastAsia" w:ascii="黑体" w:hAnsi="黑体" w:eastAsia="黑体" w:cs="宋体"/>
          <w:kern w:val="0"/>
          <w:szCs w:val="21"/>
        </w:rPr>
      </w:pPr>
    </w:p>
    <w:p w14:paraId="2F3AA221">
      <w:pPr>
        <w:ind w:left="422"/>
        <w:rPr>
          <w:rFonts w:hint="eastAsia" w:ascii="黑体" w:hAnsi="黑体" w:eastAsia="黑体"/>
        </w:rPr>
      </w:pPr>
    </w:p>
    <w:p w14:paraId="776A890D">
      <w:pPr>
        <w:ind w:left="422"/>
        <w:rPr>
          <w:rFonts w:hint="eastAsia" w:ascii="黑体" w:hAnsi="黑体" w:eastAsia="黑体"/>
        </w:rPr>
      </w:pPr>
    </w:p>
    <w:p w14:paraId="4D18B959">
      <w:pPr>
        <w:ind w:left="422"/>
        <w:rPr>
          <w:rFonts w:hint="eastAsia" w:ascii="黑体" w:hAnsi="黑体" w:eastAsia="黑体"/>
        </w:rPr>
      </w:pPr>
    </w:p>
    <w:p w14:paraId="488B6E76">
      <w:pPr>
        <w:widowControl/>
        <w:shd w:val="clear" w:color="auto" w:fill="FFFFFF"/>
        <w:spacing w:line="360" w:lineRule="auto"/>
        <w:ind w:left="422"/>
        <w:jc w:val="left"/>
        <w:rPr>
          <w:rFonts w:hint="eastAsia" w:ascii="黑体" w:hAnsi="黑体" w:eastAsia="黑体" w:cs="宋体"/>
          <w:kern w:val="0"/>
          <w:szCs w:val="21"/>
        </w:rPr>
      </w:pPr>
      <w:r>
        <w:rPr>
          <w:rFonts w:hint="eastAsia" w:ascii="黑体" w:hAnsi="黑体" w:eastAsia="黑体" w:cs="宋体"/>
          <w:kern w:val="0"/>
          <w:szCs w:val="21"/>
        </w:rPr>
        <w:t>供应商（盖章）:</w:t>
      </w:r>
      <w:r>
        <w:rPr>
          <w:rFonts w:eastAsia="黑体" w:cs="Calibri"/>
          <w:kern w:val="0"/>
          <w:szCs w:val="21"/>
          <w:u w:val="single"/>
        </w:rPr>
        <w:t>        </w:t>
      </w:r>
      <w:r>
        <w:rPr>
          <w:rFonts w:hint="eastAsia" w:eastAsia="黑体" w:cs="Calibri"/>
          <w:kern w:val="0"/>
          <w:szCs w:val="21"/>
          <w:u w:val="single"/>
        </w:rPr>
        <w:t xml:space="preserve">                          </w:t>
      </w:r>
      <w:r>
        <w:rPr>
          <w:rFonts w:eastAsia="黑体" w:cs="Calibri"/>
          <w:kern w:val="0"/>
          <w:szCs w:val="21"/>
          <w:u w:val="single"/>
        </w:rPr>
        <w:t>   </w:t>
      </w:r>
      <w:r>
        <w:rPr>
          <w:rFonts w:hint="eastAsia" w:ascii="黑体" w:hAnsi="黑体" w:eastAsia="黑体" w:cs="宋体"/>
          <w:kern w:val="0"/>
          <w:szCs w:val="21"/>
          <w:u w:val="single"/>
        </w:rPr>
        <w:t xml:space="preserve"> </w:t>
      </w:r>
    </w:p>
    <w:p w14:paraId="28198A9F">
      <w:pPr>
        <w:widowControl/>
        <w:shd w:val="clear" w:color="auto" w:fill="FFFFFF"/>
        <w:spacing w:line="360" w:lineRule="auto"/>
        <w:ind w:left="422"/>
        <w:jc w:val="left"/>
        <w:rPr>
          <w:rFonts w:hint="eastAsia" w:ascii="黑体" w:hAnsi="黑体" w:eastAsia="黑体" w:cs="宋体"/>
          <w:kern w:val="0"/>
          <w:szCs w:val="21"/>
          <w:u w:val="single"/>
        </w:rPr>
      </w:pPr>
      <w:r>
        <w:rPr>
          <w:rFonts w:hint="eastAsia" w:ascii="黑体" w:hAnsi="黑体" w:eastAsia="黑体" w:cs="宋体"/>
          <w:kern w:val="0"/>
          <w:szCs w:val="21"/>
        </w:rPr>
        <w:t>授权代表（签字）：</w:t>
      </w:r>
      <w:r>
        <w:rPr>
          <w:rFonts w:eastAsia="黑体" w:cs="Calibri"/>
          <w:kern w:val="0"/>
          <w:szCs w:val="21"/>
          <w:u w:val="single"/>
        </w:rPr>
        <w:t>     </w:t>
      </w:r>
      <w:r>
        <w:rPr>
          <w:rFonts w:hint="eastAsia" w:eastAsia="黑体" w:cs="Calibri"/>
          <w:kern w:val="0"/>
          <w:szCs w:val="21"/>
          <w:u w:val="single"/>
        </w:rPr>
        <w:t xml:space="preserve">                         </w:t>
      </w:r>
      <w:r>
        <w:rPr>
          <w:rFonts w:eastAsia="黑体" w:cs="Calibri"/>
          <w:kern w:val="0"/>
          <w:szCs w:val="21"/>
          <w:u w:val="single"/>
        </w:rPr>
        <w:t>     </w:t>
      </w:r>
    </w:p>
    <w:p w14:paraId="76E7C2DC">
      <w:pPr>
        <w:widowControl/>
        <w:shd w:val="clear" w:color="auto" w:fill="FFFFFF"/>
        <w:spacing w:line="360" w:lineRule="auto"/>
        <w:ind w:left="422"/>
        <w:jc w:val="left"/>
        <w:rPr>
          <w:rFonts w:hint="eastAsia" w:ascii="黑体" w:hAnsi="黑体" w:eastAsia="黑体" w:cs="宋体"/>
          <w:kern w:val="0"/>
          <w:szCs w:val="21"/>
        </w:rPr>
      </w:pPr>
      <w:r>
        <w:rPr>
          <w:rFonts w:hint="eastAsia" w:ascii="黑体" w:hAnsi="黑体" w:eastAsia="黑体" w:cs="宋体"/>
          <w:kern w:val="0"/>
          <w:szCs w:val="21"/>
        </w:rPr>
        <w:t>日期：年  月  日</w:t>
      </w:r>
    </w:p>
    <w:p w14:paraId="342B6E9B">
      <w:pPr>
        <w:widowControl/>
        <w:shd w:val="clear" w:color="auto" w:fill="FFFFFF"/>
        <w:spacing w:line="360" w:lineRule="auto"/>
        <w:ind w:left="422"/>
        <w:jc w:val="left"/>
        <w:rPr>
          <w:rFonts w:hint="eastAsia" w:ascii="黑体" w:hAnsi="黑体" w:eastAsia="黑体" w:cs="宋体"/>
          <w:kern w:val="0"/>
          <w:szCs w:val="21"/>
        </w:rPr>
      </w:pPr>
    </w:p>
    <w:p w14:paraId="013EED61">
      <w:pPr>
        <w:widowControl/>
        <w:shd w:val="clear" w:color="auto" w:fill="FFFFFF"/>
        <w:spacing w:line="360" w:lineRule="auto"/>
        <w:ind w:left="422"/>
        <w:jc w:val="left"/>
        <w:rPr>
          <w:rFonts w:hint="eastAsia" w:ascii="黑体" w:hAnsi="黑体" w:eastAsia="黑体" w:cs="宋体"/>
          <w:kern w:val="0"/>
          <w:szCs w:val="21"/>
        </w:rPr>
      </w:pPr>
      <w:r>
        <w:rPr>
          <w:rFonts w:hint="eastAsia" w:ascii="黑体" w:hAnsi="黑体" w:eastAsia="黑体" w:cs="宋体"/>
          <w:kern w:val="0"/>
          <w:szCs w:val="21"/>
        </w:rPr>
        <w:t>说明：</w:t>
      </w:r>
    </w:p>
    <w:p w14:paraId="66255723">
      <w:pPr>
        <w:widowControl/>
        <w:shd w:val="clear" w:color="auto" w:fill="FFFFFF"/>
        <w:spacing w:line="360" w:lineRule="auto"/>
        <w:ind w:left="422" w:firstLine="420" w:firstLineChars="200"/>
        <w:jc w:val="left"/>
        <w:rPr>
          <w:rFonts w:hint="eastAsia" w:ascii="黑体" w:hAnsi="黑体" w:eastAsia="黑体" w:cs="宋体"/>
          <w:b/>
          <w:bCs/>
          <w:kern w:val="0"/>
          <w:szCs w:val="21"/>
        </w:rPr>
      </w:pPr>
      <w:r>
        <w:rPr>
          <w:rFonts w:hint="eastAsia" w:ascii="黑体" w:hAnsi="黑体" w:eastAsia="黑体" w:cs="宋体"/>
          <w:b/>
          <w:bCs/>
          <w:kern w:val="0"/>
          <w:szCs w:val="21"/>
        </w:rPr>
        <w:t>1、本项目仅接受一个价格，不得填报有选择性报价方案。若有优惠条款须注明，但不得影响报价，影响产品整体功能。</w:t>
      </w:r>
    </w:p>
    <w:p w14:paraId="418CBCB2">
      <w:pPr>
        <w:widowControl/>
        <w:shd w:val="clear" w:color="auto" w:fill="FFFFFF"/>
        <w:spacing w:line="360" w:lineRule="auto"/>
        <w:ind w:left="422" w:firstLine="420" w:firstLineChars="200"/>
        <w:jc w:val="left"/>
        <w:rPr>
          <w:rFonts w:hint="eastAsia" w:ascii="黑体" w:hAnsi="黑体" w:eastAsia="黑体" w:cs="宋体"/>
          <w:kern w:val="0"/>
          <w:szCs w:val="21"/>
        </w:rPr>
      </w:pPr>
      <w:r>
        <w:rPr>
          <w:rFonts w:ascii="黑体" w:hAnsi="黑体" w:eastAsia="黑体" w:cs="宋体"/>
          <w:b/>
          <w:bCs/>
          <w:kern w:val="0"/>
          <w:szCs w:val="21"/>
        </w:rPr>
        <w:t>2</w:t>
      </w:r>
      <w:r>
        <w:rPr>
          <w:rFonts w:hint="eastAsia" w:ascii="黑体" w:hAnsi="黑体" w:eastAsia="黑体" w:cs="宋体"/>
          <w:b/>
          <w:bCs/>
          <w:kern w:val="0"/>
          <w:szCs w:val="21"/>
        </w:rPr>
        <w:t>、“响应人是否属于小微型企业</w:t>
      </w:r>
      <w:r>
        <w:rPr>
          <w:rFonts w:hint="eastAsia" w:ascii="黑体" w:hAnsi="黑体" w:eastAsia="黑体" w:cs="宋体"/>
          <w:b/>
          <w:bCs/>
          <w:kern w:val="0"/>
          <w:szCs w:val="21"/>
          <w:lang w:val="zh-CN"/>
        </w:rPr>
        <w:t>”栏内填写“是”或“否”。如填写“是”，</w:t>
      </w:r>
      <w:r>
        <w:rPr>
          <w:rFonts w:hint="eastAsia" w:ascii="黑体" w:hAnsi="黑体" w:eastAsia="黑体" w:cs="宋体"/>
          <w:b/>
          <w:bCs/>
          <w:szCs w:val="21"/>
        </w:rPr>
        <w:t>响应人需提供《中小企业声明函》、《残疾人福利性单位声明函》、《属于监狱企业的证明文件》</w:t>
      </w:r>
      <w:r>
        <w:rPr>
          <w:rFonts w:hint="eastAsia" w:ascii="黑体" w:hAnsi="黑体" w:eastAsia="黑体" w:cs="宋体"/>
          <w:b/>
          <w:szCs w:val="21"/>
        </w:rPr>
        <w:t>及相关证明文件。</w:t>
      </w:r>
    </w:p>
    <w:p w14:paraId="24645385">
      <w:pPr>
        <w:ind w:firstLine="840" w:firstLineChars="400"/>
      </w:pPr>
      <w:r>
        <w:rPr>
          <w:rFonts w:hint="eastAsia" w:ascii="黑体" w:hAnsi="黑体" w:eastAsia="黑体" w:cs="宋体"/>
          <w:b/>
          <w:kern w:val="0"/>
          <w:szCs w:val="21"/>
        </w:rPr>
        <w:t>3、磋商结束后，磋商小组将要求所有实质性响应的供应商在规定时间内提交最后报价。</w:t>
      </w:r>
    </w:p>
    <w:p w14:paraId="285AC914">
      <w:pPr>
        <w:pStyle w:val="6"/>
        <w:spacing w:line="360" w:lineRule="auto"/>
        <w:rPr>
          <w:rFonts w:hint="eastAsia" w:ascii="黑体" w:hAnsi="黑体" w:eastAsia="黑体" w:cs="宋体"/>
          <w:b w:val="0"/>
          <w:sz w:val="21"/>
          <w:szCs w:val="21"/>
        </w:rPr>
      </w:pPr>
      <w:r>
        <w:br w:type="page"/>
      </w:r>
      <w:r>
        <w:rPr>
          <w:rFonts w:hint="eastAsia" w:ascii="黑体" w:hAnsi="黑体" w:eastAsia="黑体" w:cs="宋体"/>
          <w:b w:val="0"/>
          <w:sz w:val="21"/>
          <w:szCs w:val="21"/>
        </w:rPr>
        <w:t>附件四、分项报价表</w:t>
      </w:r>
    </w:p>
    <w:p w14:paraId="50995F66">
      <w:r>
        <w:rPr>
          <w:rFonts w:hint="eastAsia" w:ascii="黑体" w:hAnsi="黑体" w:eastAsia="黑体"/>
          <w:szCs w:val="21"/>
        </w:rPr>
        <w:t>（一）门诊眼保健基础筛查服务</w:t>
      </w:r>
      <w:r>
        <w:rPr>
          <w:rFonts w:hint="eastAsia" w:hAnsi="黑体"/>
          <w:szCs w:val="21"/>
        </w:rPr>
        <w:t>清单</w:t>
      </w:r>
    </w:p>
    <w:tbl>
      <w:tblPr>
        <w:tblStyle w:val="24"/>
        <w:tblpPr w:leftFromText="180" w:rightFromText="180" w:vertAnchor="text" w:horzAnchor="page" w:tblpXSpec="center" w:tblpY="302"/>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5"/>
        <w:gridCol w:w="2277"/>
        <w:gridCol w:w="5152"/>
      </w:tblGrid>
      <w:tr w14:paraId="3CD77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95" w:type="pct"/>
            <w:vAlign w:val="center"/>
          </w:tcPr>
          <w:p w14:paraId="26EDA30C">
            <w:pPr>
              <w:widowControl/>
              <w:jc w:val="center"/>
              <w:rPr>
                <w:rFonts w:hint="eastAsia" w:ascii="黑体" w:hAnsi="黑体" w:eastAsia="黑体"/>
                <w:color w:val="000000"/>
                <w:kern w:val="0"/>
                <w:sz w:val="24"/>
              </w:rPr>
            </w:pPr>
            <w:r>
              <w:rPr>
                <w:rFonts w:hint="eastAsia" w:ascii="黑体" w:hAnsi="黑体" w:eastAsia="黑体"/>
                <w:color w:val="000000"/>
                <w:kern w:val="0"/>
                <w:sz w:val="24"/>
              </w:rPr>
              <w:t>序号</w:t>
            </w:r>
          </w:p>
        </w:tc>
        <w:tc>
          <w:tcPr>
            <w:tcW w:w="1289" w:type="pct"/>
            <w:vAlign w:val="center"/>
          </w:tcPr>
          <w:p w14:paraId="0594D8C8">
            <w:pPr>
              <w:widowControl/>
              <w:jc w:val="center"/>
              <w:rPr>
                <w:rFonts w:hint="eastAsia" w:ascii="黑体" w:hAnsi="黑体" w:eastAsia="黑体"/>
                <w:color w:val="000000"/>
                <w:kern w:val="0"/>
                <w:sz w:val="24"/>
              </w:rPr>
            </w:pPr>
            <w:r>
              <w:rPr>
                <w:rFonts w:ascii="黑体" w:hAnsi="黑体" w:eastAsia="黑体"/>
                <w:color w:val="000000"/>
                <w:kern w:val="0"/>
                <w:sz w:val="24"/>
              </w:rPr>
              <w:t xml:space="preserve">项目名称    </w:t>
            </w:r>
          </w:p>
        </w:tc>
        <w:tc>
          <w:tcPr>
            <w:tcW w:w="2916" w:type="pct"/>
            <w:vAlign w:val="center"/>
          </w:tcPr>
          <w:p w14:paraId="3CD00273">
            <w:pPr>
              <w:widowControl/>
              <w:jc w:val="center"/>
              <w:rPr>
                <w:rFonts w:hint="eastAsia" w:ascii="黑体" w:hAnsi="黑体" w:eastAsia="黑体"/>
                <w:color w:val="000000"/>
                <w:kern w:val="0"/>
                <w:sz w:val="24"/>
              </w:rPr>
            </w:pPr>
            <w:r>
              <w:rPr>
                <w:rFonts w:hint="eastAsia" w:ascii="黑体" w:hAnsi="黑体" w:eastAsia="黑体"/>
                <w:color w:val="000000"/>
                <w:kern w:val="0"/>
                <w:sz w:val="24"/>
              </w:rPr>
              <w:t>报价（费率）</w:t>
            </w:r>
          </w:p>
        </w:tc>
      </w:tr>
      <w:tr w14:paraId="5CCCC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95" w:type="pct"/>
            <w:vAlign w:val="center"/>
          </w:tcPr>
          <w:p w14:paraId="3157E9A2">
            <w:pPr>
              <w:widowControl/>
              <w:jc w:val="center"/>
              <w:rPr>
                <w:rFonts w:hint="eastAsia" w:ascii="黑体" w:hAnsi="黑体" w:eastAsia="黑体"/>
                <w:color w:val="000000"/>
                <w:kern w:val="0"/>
                <w:sz w:val="24"/>
              </w:rPr>
            </w:pPr>
            <w:r>
              <w:rPr>
                <w:rFonts w:hint="eastAsia" w:ascii="黑体" w:hAnsi="黑体" w:eastAsia="黑体"/>
                <w:color w:val="000000"/>
                <w:kern w:val="0"/>
                <w:sz w:val="24"/>
              </w:rPr>
              <w:t>1</w:t>
            </w:r>
          </w:p>
        </w:tc>
        <w:tc>
          <w:tcPr>
            <w:tcW w:w="1289" w:type="pct"/>
            <w:vAlign w:val="center"/>
          </w:tcPr>
          <w:p w14:paraId="14AAC791">
            <w:pPr>
              <w:widowControl/>
              <w:jc w:val="left"/>
              <w:rPr>
                <w:rFonts w:hint="eastAsia" w:ascii="黑体" w:hAnsi="黑体" w:eastAsia="黑体"/>
                <w:color w:val="000000"/>
                <w:kern w:val="0"/>
                <w:sz w:val="24"/>
              </w:rPr>
            </w:pPr>
            <w:r>
              <w:rPr>
                <w:rFonts w:ascii="黑体" w:hAnsi="黑体" w:eastAsia="黑体"/>
                <w:color w:val="000000"/>
                <w:kern w:val="0"/>
                <w:sz w:val="24"/>
              </w:rPr>
              <w:t>上睑下垂</w:t>
            </w:r>
          </w:p>
        </w:tc>
        <w:tc>
          <w:tcPr>
            <w:tcW w:w="2916" w:type="pct"/>
            <w:vMerge w:val="restart"/>
            <w:vAlign w:val="center"/>
          </w:tcPr>
          <w:p w14:paraId="378939C6">
            <w:pPr>
              <w:widowControl/>
              <w:jc w:val="center"/>
              <w:textAlignment w:val="center"/>
              <w:rPr>
                <w:rFonts w:hint="eastAsia" w:ascii="黑体" w:hAnsi="黑体" w:eastAsia="黑体" w:cs="楷体"/>
                <w:color w:val="000000"/>
                <w:kern w:val="0"/>
                <w:szCs w:val="21"/>
                <w:lang w:bidi="ar"/>
              </w:rPr>
            </w:pPr>
          </w:p>
        </w:tc>
      </w:tr>
      <w:tr w14:paraId="3DB48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95" w:type="pct"/>
            <w:vAlign w:val="center"/>
          </w:tcPr>
          <w:p w14:paraId="374C3547">
            <w:pPr>
              <w:widowControl/>
              <w:jc w:val="center"/>
              <w:rPr>
                <w:rFonts w:hint="eastAsia" w:ascii="黑体" w:hAnsi="黑体" w:eastAsia="黑体"/>
                <w:color w:val="000000"/>
                <w:kern w:val="0"/>
                <w:sz w:val="24"/>
              </w:rPr>
            </w:pPr>
            <w:r>
              <w:rPr>
                <w:rFonts w:hint="eastAsia" w:ascii="黑体" w:hAnsi="黑体" w:eastAsia="黑体"/>
                <w:color w:val="000000"/>
                <w:kern w:val="0"/>
                <w:sz w:val="24"/>
              </w:rPr>
              <w:t>2</w:t>
            </w:r>
          </w:p>
        </w:tc>
        <w:tc>
          <w:tcPr>
            <w:tcW w:w="1289" w:type="pct"/>
            <w:vAlign w:val="center"/>
          </w:tcPr>
          <w:p w14:paraId="01A4B32C">
            <w:pPr>
              <w:widowControl/>
              <w:jc w:val="left"/>
              <w:rPr>
                <w:rFonts w:hint="eastAsia" w:ascii="黑体" w:hAnsi="黑体" w:eastAsia="黑体"/>
                <w:color w:val="000000"/>
                <w:kern w:val="0"/>
                <w:sz w:val="24"/>
              </w:rPr>
            </w:pPr>
            <w:r>
              <w:rPr>
                <w:rFonts w:ascii="黑体" w:hAnsi="黑体" w:eastAsia="黑体"/>
                <w:color w:val="000000"/>
                <w:kern w:val="0"/>
                <w:sz w:val="24"/>
              </w:rPr>
              <w:t>角膜知觉检查</w:t>
            </w:r>
          </w:p>
        </w:tc>
        <w:tc>
          <w:tcPr>
            <w:tcW w:w="2916" w:type="pct"/>
            <w:vMerge w:val="continue"/>
            <w:vAlign w:val="center"/>
          </w:tcPr>
          <w:p w14:paraId="39FC8B70">
            <w:pPr>
              <w:widowControl/>
              <w:jc w:val="center"/>
              <w:textAlignment w:val="center"/>
              <w:rPr>
                <w:rFonts w:hint="eastAsia" w:ascii="黑体" w:hAnsi="黑体" w:eastAsia="黑体" w:cs="楷体"/>
                <w:color w:val="000000"/>
                <w:kern w:val="0"/>
                <w:szCs w:val="21"/>
                <w:lang w:bidi="ar"/>
              </w:rPr>
            </w:pPr>
          </w:p>
        </w:tc>
      </w:tr>
      <w:tr w14:paraId="33F5B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95" w:type="pct"/>
            <w:vAlign w:val="center"/>
          </w:tcPr>
          <w:p w14:paraId="523DA13E">
            <w:pPr>
              <w:widowControl/>
              <w:jc w:val="center"/>
              <w:rPr>
                <w:rFonts w:hint="eastAsia" w:ascii="黑体" w:hAnsi="黑体" w:eastAsia="黑体"/>
                <w:color w:val="000000"/>
                <w:kern w:val="0"/>
                <w:sz w:val="24"/>
              </w:rPr>
            </w:pPr>
            <w:r>
              <w:rPr>
                <w:rFonts w:hint="eastAsia" w:ascii="黑体" w:hAnsi="黑体" w:eastAsia="黑体"/>
                <w:color w:val="000000"/>
                <w:kern w:val="0"/>
                <w:sz w:val="24"/>
              </w:rPr>
              <w:t>3</w:t>
            </w:r>
          </w:p>
        </w:tc>
        <w:tc>
          <w:tcPr>
            <w:tcW w:w="1289" w:type="pct"/>
            <w:vAlign w:val="center"/>
          </w:tcPr>
          <w:p w14:paraId="215FA3B0">
            <w:pPr>
              <w:widowControl/>
              <w:jc w:val="left"/>
              <w:rPr>
                <w:rFonts w:hint="eastAsia" w:ascii="黑体" w:hAnsi="黑体" w:eastAsia="黑体"/>
                <w:color w:val="000000"/>
                <w:kern w:val="0"/>
                <w:sz w:val="24"/>
              </w:rPr>
            </w:pPr>
            <w:r>
              <w:rPr>
                <w:rFonts w:ascii="黑体" w:hAnsi="黑体" w:eastAsia="黑体"/>
                <w:color w:val="000000"/>
                <w:kern w:val="0"/>
                <w:sz w:val="24"/>
              </w:rPr>
              <w:t>眼底检查</w:t>
            </w:r>
          </w:p>
        </w:tc>
        <w:tc>
          <w:tcPr>
            <w:tcW w:w="2916" w:type="pct"/>
            <w:vMerge w:val="continue"/>
            <w:vAlign w:val="center"/>
          </w:tcPr>
          <w:p w14:paraId="08C7F601">
            <w:pPr>
              <w:widowControl/>
              <w:jc w:val="center"/>
              <w:textAlignment w:val="center"/>
              <w:rPr>
                <w:rFonts w:hint="eastAsia" w:ascii="黑体" w:hAnsi="黑体" w:eastAsia="黑体" w:cs="楷体"/>
                <w:color w:val="000000"/>
                <w:kern w:val="0"/>
                <w:szCs w:val="21"/>
                <w:lang w:bidi="ar"/>
              </w:rPr>
            </w:pPr>
          </w:p>
        </w:tc>
      </w:tr>
      <w:tr w14:paraId="7A1F5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95" w:type="pct"/>
            <w:vAlign w:val="center"/>
          </w:tcPr>
          <w:p w14:paraId="7500C0B3">
            <w:pPr>
              <w:widowControl/>
              <w:jc w:val="center"/>
              <w:rPr>
                <w:rFonts w:hint="eastAsia" w:ascii="黑体" w:hAnsi="黑体" w:eastAsia="黑体"/>
                <w:color w:val="000000"/>
                <w:kern w:val="0"/>
                <w:sz w:val="24"/>
              </w:rPr>
            </w:pPr>
            <w:r>
              <w:rPr>
                <w:rFonts w:hint="eastAsia" w:ascii="黑体" w:hAnsi="黑体" w:eastAsia="黑体"/>
                <w:color w:val="000000"/>
                <w:kern w:val="0"/>
                <w:sz w:val="24"/>
              </w:rPr>
              <w:t>4</w:t>
            </w:r>
          </w:p>
        </w:tc>
        <w:tc>
          <w:tcPr>
            <w:tcW w:w="1289" w:type="pct"/>
            <w:vAlign w:val="center"/>
          </w:tcPr>
          <w:p w14:paraId="38ED8B10">
            <w:pPr>
              <w:widowControl/>
              <w:jc w:val="left"/>
              <w:rPr>
                <w:rFonts w:hint="eastAsia" w:ascii="黑体" w:hAnsi="黑体" w:eastAsia="黑体"/>
                <w:color w:val="000000"/>
                <w:kern w:val="0"/>
                <w:sz w:val="24"/>
              </w:rPr>
            </w:pPr>
            <w:r>
              <w:rPr>
                <w:rFonts w:ascii="黑体" w:hAnsi="黑体" w:eastAsia="黑体"/>
                <w:color w:val="000000"/>
                <w:kern w:val="0"/>
                <w:sz w:val="24"/>
              </w:rPr>
              <w:t>选择性观看</w:t>
            </w:r>
          </w:p>
        </w:tc>
        <w:tc>
          <w:tcPr>
            <w:tcW w:w="2916" w:type="pct"/>
            <w:vMerge w:val="continue"/>
            <w:vAlign w:val="center"/>
          </w:tcPr>
          <w:p w14:paraId="67C897F9">
            <w:pPr>
              <w:widowControl/>
              <w:jc w:val="center"/>
              <w:textAlignment w:val="center"/>
              <w:rPr>
                <w:rFonts w:hint="eastAsia" w:ascii="黑体" w:hAnsi="黑体" w:eastAsia="黑体" w:cs="楷体"/>
                <w:color w:val="000000"/>
                <w:kern w:val="0"/>
                <w:szCs w:val="21"/>
                <w:lang w:bidi="ar"/>
              </w:rPr>
            </w:pPr>
          </w:p>
        </w:tc>
      </w:tr>
      <w:tr w14:paraId="5B8A7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95" w:type="pct"/>
            <w:vAlign w:val="center"/>
          </w:tcPr>
          <w:p w14:paraId="2086E16F">
            <w:pPr>
              <w:widowControl/>
              <w:jc w:val="center"/>
              <w:rPr>
                <w:rFonts w:hint="eastAsia" w:ascii="黑体" w:hAnsi="黑体" w:eastAsia="黑体"/>
                <w:color w:val="000000"/>
                <w:kern w:val="0"/>
                <w:sz w:val="24"/>
              </w:rPr>
            </w:pPr>
            <w:r>
              <w:rPr>
                <w:rFonts w:hint="eastAsia" w:ascii="黑体" w:hAnsi="黑体" w:eastAsia="黑体"/>
                <w:color w:val="000000"/>
                <w:kern w:val="0"/>
                <w:sz w:val="24"/>
              </w:rPr>
              <w:t>5</w:t>
            </w:r>
          </w:p>
        </w:tc>
        <w:tc>
          <w:tcPr>
            <w:tcW w:w="1289" w:type="pct"/>
            <w:vAlign w:val="center"/>
          </w:tcPr>
          <w:p w14:paraId="71832C1F">
            <w:pPr>
              <w:widowControl/>
              <w:jc w:val="left"/>
              <w:rPr>
                <w:rFonts w:hint="eastAsia" w:ascii="黑体" w:hAnsi="黑体" w:eastAsia="黑体"/>
                <w:color w:val="000000"/>
                <w:kern w:val="0"/>
                <w:sz w:val="24"/>
              </w:rPr>
            </w:pPr>
            <w:r>
              <w:rPr>
                <w:rFonts w:ascii="黑体" w:hAnsi="黑体" w:eastAsia="黑体"/>
                <w:color w:val="000000"/>
                <w:kern w:val="0"/>
                <w:sz w:val="24"/>
              </w:rPr>
              <w:t>眼外肌功能检查</w:t>
            </w:r>
          </w:p>
        </w:tc>
        <w:tc>
          <w:tcPr>
            <w:tcW w:w="2916" w:type="pct"/>
            <w:vMerge w:val="continue"/>
            <w:vAlign w:val="center"/>
          </w:tcPr>
          <w:p w14:paraId="2D922EBF">
            <w:pPr>
              <w:widowControl/>
              <w:jc w:val="center"/>
              <w:textAlignment w:val="center"/>
              <w:rPr>
                <w:rFonts w:hint="eastAsia" w:ascii="黑体" w:hAnsi="黑体" w:eastAsia="黑体" w:cs="楷体"/>
                <w:color w:val="000000"/>
                <w:kern w:val="0"/>
                <w:szCs w:val="21"/>
                <w:lang w:bidi="ar"/>
              </w:rPr>
            </w:pPr>
          </w:p>
        </w:tc>
      </w:tr>
      <w:tr w14:paraId="62CD2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95" w:type="pct"/>
            <w:vAlign w:val="center"/>
          </w:tcPr>
          <w:p w14:paraId="6A25A623">
            <w:pPr>
              <w:widowControl/>
              <w:jc w:val="center"/>
              <w:rPr>
                <w:rFonts w:hint="eastAsia" w:ascii="黑体" w:hAnsi="黑体" w:eastAsia="黑体"/>
                <w:color w:val="000000"/>
                <w:kern w:val="0"/>
                <w:sz w:val="24"/>
              </w:rPr>
            </w:pPr>
            <w:r>
              <w:rPr>
                <w:rFonts w:hint="eastAsia" w:ascii="黑体" w:hAnsi="黑体" w:eastAsia="黑体"/>
                <w:color w:val="000000"/>
                <w:kern w:val="0"/>
                <w:sz w:val="24"/>
              </w:rPr>
              <w:t>6</w:t>
            </w:r>
          </w:p>
        </w:tc>
        <w:tc>
          <w:tcPr>
            <w:tcW w:w="1289" w:type="pct"/>
            <w:vAlign w:val="center"/>
          </w:tcPr>
          <w:p w14:paraId="41637DC8">
            <w:pPr>
              <w:widowControl/>
              <w:jc w:val="left"/>
              <w:rPr>
                <w:rFonts w:hint="eastAsia" w:ascii="黑体" w:hAnsi="黑体" w:eastAsia="黑体"/>
                <w:color w:val="000000"/>
                <w:kern w:val="0"/>
                <w:sz w:val="24"/>
              </w:rPr>
            </w:pPr>
            <w:r>
              <w:rPr>
                <w:rFonts w:ascii="黑体" w:hAnsi="黑体" w:eastAsia="黑体"/>
                <w:color w:val="000000"/>
                <w:kern w:val="0"/>
                <w:sz w:val="24"/>
              </w:rPr>
              <w:t>视网膜视力检查</w:t>
            </w:r>
          </w:p>
        </w:tc>
        <w:tc>
          <w:tcPr>
            <w:tcW w:w="2916" w:type="pct"/>
            <w:vMerge w:val="continue"/>
            <w:vAlign w:val="center"/>
          </w:tcPr>
          <w:p w14:paraId="239CBAFD">
            <w:pPr>
              <w:widowControl/>
              <w:jc w:val="center"/>
              <w:textAlignment w:val="center"/>
              <w:rPr>
                <w:rFonts w:hint="eastAsia" w:ascii="黑体" w:hAnsi="黑体" w:eastAsia="黑体" w:cs="楷体"/>
                <w:color w:val="000000"/>
                <w:kern w:val="0"/>
                <w:szCs w:val="21"/>
                <w:lang w:bidi="ar"/>
              </w:rPr>
            </w:pPr>
          </w:p>
        </w:tc>
      </w:tr>
      <w:tr w14:paraId="4CC4F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95" w:type="pct"/>
            <w:vAlign w:val="center"/>
          </w:tcPr>
          <w:p w14:paraId="72B04B3A">
            <w:pPr>
              <w:widowControl/>
              <w:jc w:val="center"/>
              <w:rPr>
                <w:rFonts w:hint="eastAsia" w:ascii="黑体" w:hAnsi="黑体" w:eastAsia="黑体"/>
                <w:color w:val="000000"/>
                <w:kern w:val="0"/>
                <w:sz w:val="24"/>
              </w:rPr>
            </w:pPr>
            <w:r>
              <w:rPr>
                <w:rFonts w:hint="eastAsia" w:ascii="黑体" w:hAnsi="黑体" w:eastAsia="黑体"/>
                <w:color w:val="000000"/>
                <w:kern w:val="0"/>
                <w:sz w:val="24"/>
              </w:rPr>
              <w:t>7</w:t>
            </w:r>
          </w:p>
        </w:tc>
        <w:tc>
          <w:tcPr>
            <w:tcW w:w="1289" w:type="pct"/>
            <w:vAlign w:val="center"/>
          </w:tcPr>
          <w:p w14:paraId="7042F703">
            <w:pPr>
              <w:widowControl/>
              <w:jc w:val="left"/>
              <w:rPr>
                <w:rFonts w:hint="eastAsia" w:ascii="黑体" w:hAnsi="黑体" w:eastAsia="黑体"/>
                <w:color w:val="000000"/>
                <w:kern w:val="0"/>
                <w:sz w:val="24"/>
              </w:rPr>
            </w:pPr>
            <w:r>
              <w:rPr>
                <w:rFonts w:hint="eastAsia" w:ascii="黑体" w:hAnsi="黑体" w:eastAsia="黑体"/>
                <w:color w:val="000000"/>
                <w:kern w:val="0"/>
                <w:sz w:val="24"/>
              </w:rPr>
              <w:t>裂隙灯下</w:t>
            </w:r>
            <w:r>
              <w:rPr>
                <w:rFonts w:ascii="黑体" w:hAnsi="黑体" w:eastAsia="黑体"/>
                <w:color w:val="000000"/>
                <w:kern w:val="0"/>
                <w:sz w:val="24"/>
              </w:rPr>
              <w:t>眼底检查</w:t>
            </w:r>
          </w:p>
        </w:tc>
        <w:tc>
          <w:tcPr>
            <w:tcW w:w="2916" w:type="pct"/>
            <w:vMerge w:val="continue"/>
            <w:vAlign w:val="center"/>
          </w:tcPr>
          <w:p w14:paraId="767F3D55">
            <w:pPr>
              <w:widowControl/>
              <w:jc w:val="center"/>
              <w:textAlignment w:val="center"/>
              <w:rPr>
                <w:rFonts w:hint="eastAsia" w:ascii="黑体" w:hAnsi="黑体" w:eastAsia="黑体" w:cs="楷体"/>
                <w:color w:val="000000"/>
                <w:kern w:val="0"/>
                <w:szCs w:val="21"/>
                <w:lang w:bidi="ar"/>
              </w:rPr>
            </w:pPr>
          </w:p>
        </w:tc>
      </w:tr>
      <w:tr w14:paraId="36460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95" w:type="pct"/>
            <w:vAlign w:val="center"/>
          </w:tcPr>
          <w:p w14:paraId="3C0218FA">
            <w:pPr>
              <w:widowControl/>
              <w:jc w:val="center"/>
              <w:rPr>
                <w:rFonts w:hint="eastAsia" w:ascii="黑体" w:hAnsi="黑体" w:eastAsia="黑体"/>
                <w:color w:val="000000"/>
                <w:kern w:val="0"/>
                <w:sz w:val="24"/>
              </w:rPr>
            </w:pPr>
            <w:r>
              <w:rPr>
                <w:rFonts w:hint="eastAsia" w:ascii="黑体" w:hAnsi="黑体" w:eastAsia="黑体"/>
                <w:color w:val="000000"/>
                <w:kern w:val="0"/>
                <w:sz w:val="24"/>
              </w:rPr>
              <w:t>8</w:t>
            </w:r>
          </w:p>
        </w:tc>
        <w:tc>
          <w:tcPr>
            <w:tcW w:w="1289" w:type="pct"/>
            <w:vAlign w:val="center"/>
          </w:tcPr>
          <w:p w14:paraId="37851326">
            <w:pPr>
              <w:widowControl/>
              <w:jc w:val="left"/>
              <w:rPr>
                <w:rFonts w:hint="eastAsia" w:ascii="黑体" w:hAnsi="黑体" w:eastAsia="黑体"/>
                <w:color w:val="000000"/>
                <w:kern w:val="0"/>
                <w:sz w:val="24"/>
              </w:rPr>
            </w:pPr>
            <w:r>
              <w:rPr>
                <w:rFonts w:ascii="黑体" w:hAnsi="黑体" w:eastAsia="黑体"/>
                <w:color w:val="000000"/>
                <w:kern w:val="0"/>
                <w:sz w:val="24"/>
              </w:rPr>
              <w:t>斜视度测定</w:t>
            </w:r>
          </w:p>
        </w:tc>
        <w:tc>
          <w:tcPr>
            <w:tcW w:w="2916" w:type="pct"/>
            <w:vMerge w:val="continue"/>
            <w:vAlign w:val="center"/>
          </w:tcPr>
          <w:p w14:paraId="42CF00B8">
            <w:pPr>
              <w:widowControl/>
              <w:jc w:val="center"/>
              <w:textAlignment w:val="center"/>
              <w:rPr>
                <w:rFonts w:hint="eastAsia" w:ascii="黑体" w:hAnsi="黑体" w:eastAsia="黑体" w:cs="楷体"/>
                <w:color w:val="000000"/>
                <w:kern w:val="0"/>
                <w:szCs w:val="21"/>
                <w:lang w:bidi="ar"/>
              </w:rPr>
            </w:pPr>
          </w:p>
        </w:tc>
      </w:tr>
    </w:tbl>
    <w:p w14:paraId="67989B80">
      <w:pPr>
        <w:pStyle w:val="2"/>
        <w:rPr>
          <w:rFonts w:hint="eastAsia" w:ascii="黑体" w:hAnsi="黑体" w:eastAsia="黑体"/>
          <w:szCs w:val="21"/>
        </w:rPr>
      </w:pPr>
    </w:p>
    <w:p w14:paraId="64927A67">
      <w:pPr>
        <w:rPr>
          <w:rFonts w:hint="eastAsia" w:ascii="黑体" w:hAnsi="黑体" w:eastAsia="黑体"/>
          <w:szCs w:val="21"/>
        </w:rPr>
      </w:pPr>
    </w:p>
    <w:p w14:paraId="79161576">
      <w:pPr>
        <w:pStyle w:val="2"/>
      </w:pPr>
    </w:p>
    <w:p w14:paraId="0D711B04"/>
    <w:p w14:paraId="626EB9C0">
      <w:pPr>
        <w:rPr>
          <w:rFonts w:hint="eastAsia" w:ascii="黑体" w:hAnsi="黑体" w:eastAsia="黑体"/>
          <w:szCs w:val="21"/>
        </w:rPr>
      </w:pPr>
      <w:r>
        <w:rPr>
          <w:rFonts w:hint="eastAsia" w:ascii="黑体" w:hAnsi="黑体" w:eastAsia="黑体"/>
          <w:szCs w:val="21"/>
        </w:rPr>
        <w:t>（二）其他视功能辅助服务清单</w:t>
      </w:r>
    </w:p>
    <w:p w14:paraId="4CD8F003">
      <w:pPr>
        <w:pStyle w:val="2"/>
      </w:pPr>
    </w:p>
    <w:tbl>
      <w:tblPr>
        <w:tblStyle w:val="24"/>
        <w:tblW w:w="5000" w:type="pct"/>
        <w:jc w:val="center"/>
        <w:tblLayout w:type="autofit"/>
        <w:tblCellMar>
          <w:top w:w="0" w:type="dxa"/>
          <w:left w:w="108" w:type="dxa"/>
          <w:bottom w:w="0" w:type="dxa"/>
          <w:right w:w="108" w:type="dxa"/>
        </w:tblCellMar>
      </w:tblPr>
      <w:tblGrid>
        <w:gridCol w:w="1060"/>
        <w:gridCol w:w="4401"/>
        <w:gridCol w:w="3373"/>
      </w:tblGrid>
      <w:tr w14:paraId="1B36882E">
        <w:tblPrEx>
          <w:tblCellMar>
            <w:top w:w="0" w:type="dxa"/>
            <w:left w:w="108" w:type="dxa"/>
            <w:bottom w:w="0" w:type="dxa"/>
            <w:right w:w="108" w:type="dxa"/>
          </w:tblCellMar>
        </w:tblPrEx>
        <w:trPr>
          <w:trHeight w:val="402" w:hRule="atLeast"/>
          <w:jc w:val="center"/>
        </w:trPr>
        <w:tc>
          <w:tcPr>
            <w:tcW w:w="600" w:type="pct"/>
            <w:tcBorders>
              <w:top w:val="single" w:color="000000" w:sz="8" w:space="0"/>
              <w:left w:val="single" w:color="000000" w:sz="8" w:space="0"/>
              <w:bottom w:val="single" w:color="000000" w:sz="8" w:space="0"/>
              <w:right w:val="single" w:color="000000" w:sz="8" w:space="0"/>
            </w:tcBorders>
            <w:vAlign w:val="center"/>
          </w:tcPr>
          <w:p w14:paraId="397C8732">
            <w:pPr>
              <w:widowControl/>
              <w:jc w:val="center"/>
              <w:rPr>
                <w:rFonts w:hint="eastAsia" w:ascii="黑体" w:hAnsi="黑体" w:eastAsia="黑体"/>
                <w:color w:val="000000"/>
                <w:kern w:val="0"/>
                <w:sz w:val="24"/>
              </w:rPr>
            </w:pPr>
            <w:r>
              <w:rPr>
                <w:rFonts w:hint="eastAsia" w:ascii="黑体" w:hAnsi="黑体" w:eastAsia="黑体"/>
                <w:color w:val="000000"/>
                <w:kern w:val="0"/>
                <w:sz w:val="24"/>
              </w:rPr>
              <w:t>序号</w:t>
            </w:r>
          </w:p>
        </w:tc>
        <w:tc>
          <w:tcPr>
            <w:tcW w:w="2491" w:type="pct"/>
            <w:tcBorders>
              <w:top w:val="single" w:color="000000" w:sz="8" w:space="0"/>
              <w:left w:val="nil"/>
              <w:bottom w:val="single" w:color="000000" w:sz="8" w:space="0"/>
              <w:right w:val="single" w:color="000000" w:sz="8" w:space="0"/>
            </w:tcBorders>
            <w:vAlign w:val="center"/>
          </w:tcPr>
          <w:p w14:paraId="795B5669">
            <w:pPr>
              <w:widowControl/>
              <w:jc w:val="center"/>
              <w:rPr>
                <w:rFonts w:hint="eastAsia" w:ascii="黑体" w:hAnsi="黑体" w:eastAsia="黑体"/>
                <w:color w:val="000000"/>
                <w:kern w:val="0"/>
                <w:sz w:val="24"/>
              </w:rPr>
            </w:pPr>
            <w:r>
              <w:rPr>
                <w:rFonts w:hint="eastAsia" w:ascii="黑体" w:hAnsi="黑体" w:eastAsia="黑体"/>
                <w:color w:val="000000"/>
                <w:kern w:val="0"/>
                <w:sz w:val="24"/>
              </w:rPr>
              <w:t>项目名称</w:t>
            </w:r>
          </w:p>
        </w:tc>
        <w:tc>
          <w:tcPr>
            <w:tcW w:w="1909" w:type="pct"/>
            <w:tcBorders>
              <w:top w:val="single" w:color="000000" w:sz="8" w:space="0"/>
              <w:left w:val="nil"/>
              <w:bottom w:val="single" w:color="000000" w:sz="8" w:space="0"/>
              <w:right w:val="single" w:color="000000" w:sz="8" w:space="0"/>
            </w:tcBorders>
          </w:tcPr>
          <w:p w14:paraId="564F1238">
            <w:pPr>
              <w:widowControl/>
              <w:jc w:val="center"/>
              <w:rPr>
                <w:rFonts w:hint="eastAsia" w:ascii="黑体" w:hAnsi="黑体" w:eastAsia="黑体"/>
                <w:color w:val="000000"/>
                <w:kern w:val="0"/>
                <w:sz w:val="24"/>
              </w:rPr>
            </w:pPr>
            <w:r>
              <w:rPr>
                <w:rFonts w:hint="eastAsia" w:ascii="黑体" w:hAnsi="黑体" w:eastAsia="黑体"/>
                <w:color w:val="000000"/>
                <w:kern w:val="0"/>
                <w:sz w:val="24"/>
              </w:rPr>
              <w:t>报价（费率）</w:t>
            </w:r>
          </w:p>
        </w:tc>
      </w:tr>
      <w:tr w14:paraId="49591822">
        <w:tblPrEx>
          <w:tblCellMar>
            <w:top w:w="0" w:type="dxa"/>
            <w:left w:w="108" w:type="dxa"/>
            <w:bottom w:w="0" w:type="dxa"/>
            <w:right w:w="108" w:type="dxa"/>
          </w:tblCellMar>
        </w:tblPrEx>
        <w:trPr>
          <w:trHeight w:val="300" w:hRule="atLeast"/>
          <w:jc w:val="center"/>
        </w:trPr>
        <w:tc>
          <w:tcPr>
            <w:tcW w:w="600" w:type="pct"/>
            <w:tcBorders>
              <w:top w:val="nil"/>
              <w:left w:val="single" w:color="000000" w:sz="8" w:space="0"/>
              <w:bottom w:val="single" w:color="000000" w:sz="8" w:space="0"/>
              <w:right w:val="single" w:color="000000" w:sz="8" w:space="0"/>
            </w:tcBorders>
            <w:vAlign w:val="center"/>
          </w:tcPr>
          <w:p w14:paraId="1613104D">
            <w:pPr>
              <w:widowControl/>
              <w:jc w:val="center"/>
              <w:textAlignment w:val="center"/>
              <w:rPr>
                <w:rFonts w:hint="eastAsia" w:ascii="黑体" w:hAnsi="黑体" w:eastAsia="黑体" w:cs="楷体"/>
                <w:color w:val="000000"/>
                <w:szCs w:val="21"/>
              </w:rPr>
            </w:pPr>
            <w:r>
              <w:rPr>
                <w:rFonts w:hint="eastAsia" w:ascii="黑体" w:hAnsi="黑体" w:eastAsia="黑体" w:cs="楷体"/>
                <w:color w:val="000000"/>
                <w:kern w:val="0"/>
                <w:szCs w:val="21"/>
                <w:lang w:bidi="ar"/>
              </w:rPr>
              <w:t>1</w:t>
            </w:r>
          </w:p>
        </w:tc>
        <w:tc>
          <w:tcPr>
            <w:tcW w:w="2491" w:type="pct"/>
            <w:tcBorders>
              <w:top w:val="nil"/>
              <w:left w:val="nil"/>
              <w:bottom w:val="single" w:color="000000" w:sz="8" w:space="0"/>
              <w:right w:val="single" w:color="000000" w:sz="8" w:space="0"/>
            </w:tcBorders>
            <w:vAlign w:val="center"/>
          </w:tcPr>
          <w:p w14:paraId="7465074D">
            <w:pPr>
              <w:widowControl/>
              <w:jc w:val="left"/>
              <w:textAlignment w:val="center"/>
              <w:rPr>
                <w:rFonts w:hint="eastAsia" w:ascii="黑体" w:hAnsi="黑体" w:eastAsia="黑体" w:cs="楷体"/>
                <w:color w:val="000000"/>
                <w:szCs w:val="21"/>
              </w:rPr>
            </w:pPr>
            <w:r>
              <w:rPr>
                <w:rFonts w:hint="eastAsia" w:ascii="黑体" w:hAnsi="黑体" w:eastAsia="黑体" w:cs="楷体"/>
                <w:color w:val="000000"/>
                <w:kern w:val="0"/>
                <w:szCs w:val="21"/>
                <w:lang w:bidi="ar"/>
              </w:rPr>
              <w:t>普通视力检查</w:t>
            </w:r>
          </w:p>
        </w:tc>
        <w:tc>
          <w:tcPr>
            <w:tcW w:w="1909" w:type="pct"/>
            <w:vMerge w:val="restart"/>
            <w:tcBorders>
              <w:top w:val="single" w:color="000000" w:sz="8" w:space="0"/>
              <w:left w:val="nil"/>
              <w:bottom w:val="single" w:color="auto" w:sz="4" w:space="0"/>
              <w:right w:val="single" w:color="000000" w:sz="8" w:space="0"/>
            </w:tcBorders>
          </w:tcPr>
          <w:p w14:paraId="2AC06BDC">
            <w:pPr>
              <w:widowControl/>
              <w:jc w:val="center"/>
              <w:textAlignment w:val="center"/>
              <w:rPr>
                <w:rFonts w:hint="eastAsia" w:ascii="黑体" w:hAnsi="黑体" w:eastAsia="黑体" w:cs="楷体"/>
                <w:color w:val="000000"/>
                <w:kern w:val="0"/>
                <w:szCs w:val="21"/>
                <w:lang w:bidi="ar"/>
              </w:rPr>
            </w:pPr>
          </w:p>
        </w:tc>
      </w:tr>
      <w:tr w14:paraId="58BB1BAE">
        <w:tblPrEx>
          <w:tblCellMar>
            <w:top w:w="0" w:type="dxa"/>
            <w:left w:w="108" w:type="dxa"/>
            <w:bottom w:w="0" w:type="dxa"/>
            <w:right w:w="108" w:type="dxa"/>
          </w:tblCellMar>
        </w:tblPrEx>
        <w:trPr>
          <w:trHeight w:val="300" w:hRule="atLeast"/>
          <w:jc w:val="center"/>
        </w:trPr>
        <w:tc>
          <w:tcPr>
            <w:tcW w:w="600" w:type="pct"/>
            <w:tcBorders>
              <w:top w:val="nil"/>
              <w:left w:val="single" w:color="000000" w:sz="8" w:space="0"/>
              <w:bottom w:val="single" w:color="000000" w:sz="8" w:space="0"/>
              <w:right w:val="single" w:color="000000" w:sz="8" w:space="0"/>
            </w:tcBorders>
            <w:vAlign w:val="center"/>
          </w:tcPr>
          <w:p w14:paraId="79FFA637">
            <w:pPr>
              <w:widowControl/>
              <w:jc w:val="center"/>
              <w:textAlignment w:val="center"/>
              <w:rPr>
                <w:rFonts w:hint="eastAsia" w:ascii="黑体" w:hAnsi="黑体" w:eastAsia="黑体" w:cs="楷体"/>
                <w:color w:val="000000"/>
                <w:szCs w:val="21"/>
              </w:rPr>
            </w:pPr>
            <w:r>
              <w:rPr>
                <w:rFonts w:hint="eastAsia" w:ascii="黑体" w:hAnsi="黑体" w:eastAsia="黑体" w:cs="楷体"/>
                <w:color w:val="000000"/>
                <w:kern w:val="0"/>
                <w:szCs w:val="21"/>
                <w:lang w:bidi="ar"/>
              </w:rPr>
              <w:t>2</w:t>
            </w:r>
          </w:p>
        </w:tc>
        <w:tc>
          <w:tcPr>
            <w:tcW w:w="2491" w:type="pct"/>
            <w:tcBorders>
              <w:top w:val="nil"/>
              <w:left w:val="nil"/>
              <w:bottom w:val="single" w:color="000000" w:sz="8" w:space="0"/>
              <w:right w:val="single" w:color="000000" w:sz="8" w:space="0"/>
            </w:tcBorders>
            <w:vAlign w:val="center"/>
          </w:tcPr>
          <w:p w14:paraId="5F989253">
            <w:pPr>
              <w:widowControl/>
              <w:jc w:val="left"/>
              <w:textAlignment w:val="center"/>
              <w:rPr>
                <w:rFonts w:hint="eastAsia" w:ascii="黑体" w:hAnsi="黑体" w:eastAsia="黑体" w:cs="楷体"/>
                <w:color w:val="000000"/>
                <w:szCs w:val="21"/>
              </w:rPr>
            </w:pPr>
            <w:r>
              <w:rPr>
                <w:rFonts w:hint="eastAsia" w:ascii="黑体" w:hAnsi="黑体" w:eastAsia="黑体" w:cs="楷体"/>
                <w:color w:val="000000"/>
                <w:kern w:val="0"/>
                <w:szCs w:val="21"/>
                <w:lang w:bidi="ar"/>
              </w:rPr>
              <w:t>特殊视力检查</w:t>
            </w:r>
          </w:p>
        </w:tc>
        <w:tc>
          <w:tcPr>
            <w:tcW w:w="1909" w:type="pct"/>
            <w:vMerge w:val="continue"/>
            <w:tcBorders>
              <w:left w:val="nil"/>
              <w:bottom w:val="single" w:color="auto" w:sz="4" w:space="0"/>
              <w:right w:val="single" w:color="000000" w:sz="8" w:space="0"/>
            </w:tcBorders>
          </w:tcPr>
          <w:p w14:paraId="3C4FA15E">
            <w:pPr>
              <w:widowControl/>
              <w:jc w:val="center"/>
              <w:textAlignment w:val="center"/>
              <w:rPr>
                <w:rFonts w:hint="eastAsia" w:ascii="黑体" w:hAnsi="黑体" w:eastAsia="黑体" w:cs="楷体"/>
                <w:color w:val="000000"/>
                <w:kern w:val="0"/>
                <w:szCs w:val="21"/>
                <w:lang w:bidi="ar"/>
              </w:rPr>
            </w:pPr>
          </w:p>
        </w:tc>
      </w:tr>
      <w:tr w14:paraId="7115B868">
        <w:tblPrEx>
          <w:tblCellMar>
            <w:top w:w="0" w:type="dxa"/>
            <w:left w:w="108" w:type="dxa"/>
            <w:bottom w:w="0" w:type="dxa"/>
            <w:right w:w="108" w:type="dxa"/>
          </w:tblCellMar>
        </w:tblPrEx>
        <w:trPr>
          <w:trHeight w:val="300" w:hRule="atLeast"/>
          <w:jc w:val="center"/>
        </w:trPr>
        <w:tc>
          <w:tcPr>
            <w:tcW w:w="600" w:type="pct"/>
            <w:tcBorders>
              <w:top w:val="nil"/>
              <w:left w:val="single" w:color="000000" w:sz="8" w:space="0"/>
              <w:bottom w:val="single" w:color="000000" w:sz="8" w:space="0"/>
              <w:right w:val="single" w:color="000000" w:sz="8" w:space="0"/>
            </w:tcBorders>
            <w:vAlign w:val="center"/>
          </w:tcPr>
          <w:p w14:paraId="1D21CB0A">
            <w:pPr>
              <w:widowControl/>
              <w:jc w:val="center"/>
              <w:textAlignment w:val="center"/>
              <w:rPr>
                <w:rFonts w:hint="eastAsia" w:ascii="黑体" w:hAnsi="黑体" w:eastAsia="黑体" w:cs="楷体"/>
                <w:color w:val="000000"/>
                <w:szCs w:val="21"/>
              </w:rPr>
            </w:pPr>
            <w:r>
              <w:rPr>
                <w:rFonts w:hint="eastAsia" w:ascii="黑体" w:hAnsi="黑体" w:eastAsia="黑体" w:cs="楷体"/>
                <w:color w:val="000000"/>
                <w:kern w:val="0"/>
                <w:szCs w:val="21"/>
                <w:lang w:bidi="ar"/>
              </w:rPr>
              <w:t>3</w:t>
            </w:r>
          </w:p>
        </w:tc>
        <w:tc>
          <w:tcPr>
            <w:tcW w:w="2491" w:type="pct"/>
            <w:tcBorders>
              <w:top w:val="nil"/>
              <w:left w:val="nil"/>
              <w:bottom w:val="single" w:color="000000" w:sz="8" w:space="0"/>
              <w:right w:val="single" w:color="000000" w:sz="8" w:space="0"/>
            </w:tcBorders>
            <w:vAlign w:val="center"/>
          </w:tcPr>
          <w:p w14:paraId="3476F688">
            <w:pPr>
              <w:widowControl/>
              <w:jc w:val="left"/>
              <w:textAlignment w:val="center"/>
              <w:rPr>
                <w:rFonts w:hint="eastAsia" w:ascii="黑体" w:hAnsi="黑体" w:eastAsia="黑体" w:cs="楷体"/>
                <w:color w:val="000000"/>
                <w:szCs w:val="21"/>
              </w:rPr>
            </w:pPr>
            <w:r>
              <w:rPr>
                <w:rFonts w:hint="eastAsia" w:ascii="黑体" w:hAnsi="黑体" w:eastAsia="黑体" w:cs="楷体"/>
                <w:color w:val="000000"/>
                <w:kern w:val="0"/>
                <w:szCs w:val="21"/>
                <w:lang w:bidi="ar"/>
              </w:rPr>
              <w:t>视野检查</w:t>
            </w:r>
          </w:p>
        </w:tc>
        <w:tc>
          <w:tcPr>
            <w:tcW w:w="1909" w:type="pct"/>
            <w:vMerge w:val="continue"/>
            <w:tcBorders>
              <w:left w:val="nil"/>
              <w:bottom w:val="single" w:color="auto" w:sz="4" w:space="0"/>
              <w:right w:val="single" w:color="000000" w:sz="8" w:space="0"/>
            </w:tcBorders>
          </w:tcPr>
          <w:p w14:paraId="35036CAA">
            <w:pPr>
              <w:widowControl/>
              <w:jc w:val="center"/>
              <w:textAlignment w:val="center"/>
              <w:rPr>
                <w:rFonts w:hint="eastAsia" w:ascii="黑体" w:hAnsi="黑体" w:eastAsia="黑体" w:cs="楷体"/>
                <w:color w:val="000000"/>
                <w:kern w:val="0"/>
                <w:szCs w:val="21"/>
                <w:lang w:bidi="ar"/>
              </w:rPr>
            </w:pPr>
          </w:p>
        </w:tc>
      </w:tr>
      <w:tr w14:paraId="54C21FFC">
        <w:tblPrEx>
          <w:tblCellMar>
            <w:top w:w="0" w:type="dxa"/>
            <w:left w:w="108" w:type="dxa"/>
            <w:bottom w:w="0" w:type="dxa"/>
            <w:right w:w="108" w:type="dxa"/>
          </w:tblCellMar>
        </w:tblPrEx>
        <w:trPr>
          <w:trHeight w:val="300" w:hRule="atLeast"/>
          <w:jc w:val="center"/>
        </w:trPr>
        <w:tc>
          <w:tcPr>
            <w:tcW w:w="600" w:type="pct"/>
            <w:tcBorders>
              <w:top w:val="nil"/>
              <w:left w:val="single" w:color="000000" w:sz="8" w:space="0"/>
              <w:bottom w:val="single" w:color="000000" w:sz="8" w:space="0"/>
              <w:right w:val="single" w:color="000000" w:sz="8" w:space="0"/>
            </w:tcBorders>
            <w:vAlign w:val="center"/>
          </w:tcPr>
          <w:p w14:paraId="6950521C">
            <w:pPr>
              <w:widowControl/>
              <w:jc w:val="center"/>
              <w:textAlignment w:val="center"/>
              <w:rPr>
                <w:rFonts w:hint="eastAsia" w:ascii="黑体" w:hAnsi="黑体" w:eastAsia="黑体" w:cs="楷体"/>
                <w:color w:val="000000"/>
                <w:szCs w:val="21"/>
              </w:rPr>
            </w:pPr>
            <w:r>
              <w:rPr>
                <w:rFonts w:hint="eastAsia" w:ascii="黑体" w:hAnsi="黑体" w:eastAsia="黑体" w:cs="楷体"/>
                <w:color w:val="000000"/>
                <w:kern w:val="0"/>
                <w:szCs w:val="21"/>
                <w:lang w:bidi="ar"/>
              </w:rPr>
              <w:t>4</w:t>
            </w:r>
          </w:p>
        </w:tc>
        <w:tc>
          <w:tcPr>
            <w:tcW w:w="2491" w:type="pct"/>
            <w:tcBorders>
              <w:top w:val="nil"/>
              <w:left w:val="nil"/>
              <w:bottom w:val="single" w:color="000000" w:sz="8" w:space="0"/>
              <w:right w:val="single" w:color="000000" w:sz="8" w:space="0"/>
            </w:tcBorders>
            <w:vAlign w:val="center"/>
          </w:tcPr>
          <w:p w14:paraId="496ADE67">
            <w:pPr>
              <w:widowControl/>
              <w:jc w:val="left"/>
              <w:textAlignment w:val="center"/>
              <w:rPr>
                <w:rFonts w:hint="eastAsia" w:ascii="黑体" w:hAnsi="黑体" w:eastAsia="黑体" w:cs="楷体"/>
                <w:color w:val="000000"/>
                <w:szCs w:val="21"/>
              </w:rPr>
            </w:pPr>
            <w:r>
              <w:rPr>
                <w:rFonts w:hint="eastAsia" w:ascii="黑体" w:hAnsi="黑体" w:eastAsia="黑体" w:cs="楷体"/>
                <w:color w:val="000000"/>
                <w:kern w:val="0"/>
                <w:szCs w:val="21"/>
                <w:lang w:bidi="ar"/>
              </w:rPr>
              <w:t>验光</w:t>
            </w:r>
          </w:p>
        </w:tc>
        <w:tc>
          <w:tcPr>
            <w:tcW w:w="1909" w:type="pct"/>
            <w:vMerge w:val="continue"/>
            <w:tcBorders>
              <w:left w:val="nil"/>
              <w:bottom w:val="single" w:color="auto" w:sz="4" w:space="0"/>
              <w:right w:val="single" w:color="000000" w:sz="8" w:space="0"/>
            </w:tcBorders>
          </w:tcPr>
          <w:p w14:paraId="5FEAF37D">
            <w:pPr>
              <w:widowControl/>
              <w:jc w:val="center"/>
              <w:textAlignment w:val="center"/>
              <w:rPr>
                <w:rFonts w:hint="eastAsia" w:ascii="黑体" w:hAnsi="黑体" w:eastAsia="黑体" w:cs="楷体"/>
                <w:color w:val="000000"/>
                <w:kern w:val="0"/>
                <w:szCs w:val="21"/>
                <w:lang w:bidi="ar"/>
              </w:rPr>
            </w:pPr>
          </w:p>
        </w:tc>
      </w:tr>
      <w:tr w14:paraId="11C76FFE">
        <w:tblPrEx>
          <w:tblCellMar>
            <w:top w:w="0" w:type="dxa"/>
            <w:left w:w="108" w:type="dxa"/>
            <w:bottom w:w="0" w:type="dxa"/>
            <w:right w:w="108" w:type="dxa"/>
          </w:tblCellMar>
        </w:tblPrEx>
        <w:trPr>
          <w:trHeight w:val="300" w:hRule="atLeast"/>
          <w:jc w:val="center"/>
        </w:trPr>
        <w:tc>
          <w:tcPr>
            <w:tcW w:w="600" w:type="pct"/>
            <w:tcBorders>
              <w:top w:val="nil"/>
              <w:left w:val="single" w:color="000000" w:sz="8" w:space="0"/>
              <w:bottom w:val="single" w:color="000000" w:sz="8" w:space="0"/>
              <w:right w:val="single" w:color="000000" w:sz="8" w:space="0"/>
            </w:tcBorders>
            <w:vAlign w:val="center"/>
          </w:tcPr>
          <w:p w14:paraId="3651D85F">
            <w:pPr>
              <w:widowControl/>
              <w:jc w:val="center"/>
              <w:textAlignment w:val="center"/>
              <w:rPr>
                <w:rFonts w:hint="eastAsia" w:ascii="黑体" w:hAnsi="黑体" w:eastAsia="黑体" w:cs="楷体"/>
                <w:color w:val="000000"/>
                <w:szCs w:val="21"/>
              </w:rPr>
            </w:pPr>
            <w:r>
              <w:rPr>
                <w:rFonts w:hint="eastAsia" w:ascii="黑体" w:hAnsi="黑体" w:eastAsia="黑体" w:cs="楷体"/>
                <w:color w:val="000000"/>
                <w:kern w:val="0"/>
                <w:szCs w:val="21"/>
                <w:lang w:bidi="ar"/>
              </w:rPr>
              <w:t>5</w:t>
            </w:r>
          </w:p>
        </w:tc>
        <w:tc>
          <w:tcPr>
            <w:tcW w:w="2491" w:type="pct"/>
            <w:tcBorders>
              <w:top w:val="nil"/>
              <w:left w:val="nil"/>
              <w:bottom w:val="single" w:color="000000" w:sz="8" w:space="0"/>
              <w:right w:val="single" w:color="000000" w:sz="8" w:space="0"/>
            </w:tcBorders>
            <w:vAlign w:val="center"/>
          </w:tcPr>
          <w:p w14:paraId="7CE67579">
            <w:pPr>
              <w:widowControl/>
              <w:jc w:val="left"/>
              <w:textAlignment w:val="center"/>
              <w:rPr>
                <w:rFonts w:hint="eastAsia" w:ascii="黑体" w:hAnsi="黑体" w:eastAsia="黑体" w:cs="楷体"/>
                <w:color w:val="000000"/>
                <w:szCs w:val="21"/>
              </w:rPr>
            </w:pPr>
            <w:r>
              <w:rPr>
                <w:rFonts w:hint="eastAsia" w:ascii="黑体" w:hAnsi="黑体" w:eastAsia="黑体" w:cs="楷体"/>
                <w:color w:val="000000"/>
                <w:kern w:val="0"/>
                <w:szCs w:val="21"/>
                <w:lang w:bidi="ar"/>
              </w:rPr>
              <w:t>主导眼检查</w:t>
            </w:r>
          </w:p>
        </w:tc>
        <w:tc>
          <w:tcPr>
            <w:tcW w:w="1909" w:type="pct"/>
            <w:vMerge w:val="continue"/>
            <w:tcBorders>
              <w:left w:val="nil"/>
              <w:bottom w:val="single" w:color="auto" w:sz="4" w:space="0"/>
              <w:right w:val="single" w:color="000000" w:sz="8" w:space="0"/>
            </w:tcBorders>
          </w:tcPr>
          <w:p w14:paraId="3AFA0D7A">
            <w:pPr>
              <w:widowControl/>
              <w:jc w:val="center"/>
              <w:textAlignment w:val="center"/>
              <w:rPr>
                <w:rFonts w:hint="eastAsia" w:ascii="黑体" w:hAnsi="黑体" w:eastAsia="黑体" w:cs="楷体"/>
                <w:color w:val="000000"/>
                <w:kern w:val="0"/>
                <w:szCs w:val="21"/>
                <w:lang w:bidi="ar"/>
              </w:rPr>
            </w:pPr>
          </w:p>
        </w:tc>
      </w:tr>
      <w:tr w14:paraId="4D1A8A7E">
        <w:tblPrEx>
          <w:tblCellMar>
            <w:top w:w="0" w:type="dxa"/>
            <w:left w:w="108" w:type="dxa"/>
            <w:bottom w:w="0" w:type="dxa"/>
            <w:right w:w="108" w:type="dxa"/>
          </w:tblCellMar>
        </w:tblPrEx>
        <w:trPr>
          <w:trHeight w:val="300" w:hRule="atLeast"/>
          <w:jc w:val="center"/>
        </w:trPr>
        <w:tc>
          <w:tcPr>
            <w:tcW w:w="600" w:type="pct"/>
            <w:tcBorders>
              <w:top w:val="nil"/>
              <w:left w:val="single" w:color="000000" w:sz="8" w:space="0"/>
              <w:bottom w:val="single" w:color="auto" w:sz="4" w:space="0"/>
              <w:right w:val="single" w:color="000000" w:sz="8" w:space="0"/>
            </w:tcBorders>
            <w:vAlign w:val="center"/>
          </w:tcPr>
          <w:p w14:paraId="2B200FC8">
            <w:pPr>
              <w:widowControl/>
              <w:jc w:val="center"/>
              <w:textAlignment w:val="center"/>
              <w:rPr>
                <w:rFonts w:hint="eastAsia" w:ascii="黑体" w:hAnsi="黑体" w:eastAsia="黑体" w:cs="楷体"/>
                <w:color w:val="000000"/>
                <w:szCs w:val="21"/>
              </w:rPr>
            </w:pPr>
            <w:r>
              <w:rPr>
                <w:rFonts w:hint="eastAsia" w:ascii="黑体" w:hAnsi="黑体" w:eastAsia="黑体" w:cs="楷体"/>
                <w:color w:val="000000"/>
                <w:kern w:val="0"/>
                <w:szCs w:val="21"/>
                <w:lang w:bidi="ar"/>
              </w:rPr>
              <w:t>6</w:t>
            </w:r>
          </w:p>
        </w:tc>
        <w:tc>
          <w:tcPr>
            <w:tcW w:w="2491" w:type="pct"/>
            <w:tcBorders>
              <w:top w:val="nil"/>
              <w:left w:val="nil"/>
              <w:bottom w:val="single" w:color="auto" w:sz="4" w:space="0"/>
              <w:right w:val="single" w:color="000000" w:sz="8" w:space="0"/>
            </w:tcBorders>
            <w:vAlign w:val="center"/>
          </w:tcPr>
          <w:p w14:paraId="080A4174">
            <w:pPr>
              <w:widowControl/>
              <w:jc w:val="left"/>
              <w:textAlignment w:val="center"/>
              <w:rPr>
                <w:rFonts w:hint="eastAsia" w:ascii="黑体" w:hAnsi="黑体" w:eastAsia="黑体" w:cs="楷体"/>
                <w:color w:val="000000"/>
                <w:szCs w:val="21"/>
              </w:rPr>
            </w:pPr>
            <w:r>
              <w:rPr>
                <w:rFonts w:hint="eastAsia" w:ascii="黑体" w:hAnsi="黑体" w:eastAsia="黑体" w:cs="楷体"/>
                <w:color w:val="000000"/>
                <w:kern w:val="0"/>
                <w:szCs w:val="21"/>
                <w:lang w:bidi="ar"/>
              </w:rPr>
              <w:t>代偿头位测定</w:t>
            </w:r>
          </w:p>
        </w:tc>
        <w:tc>
          <w:tcPr>
            <w:tcW w:w="1909" w:type="pct"/>
            <w:vMerge w:val="continue"/>
            <w:tcBorders>
              <w:left w:val="nil"/>
              <w:bottom w:val="single" w:color="auto" w:sz="4" w:space="0"/>
              <w:right w:val="single" w:color="000000" w:sz="8" w:space="0"/>
            </w:tcBorders>
          </w:tcPr>
          <w:p w14:paraId="32A616B2">
            <w:pPr>
              <w:widowControl/>
              <w:jc w:val="center"/>
              <w:textAlignment w:val="center"/>
              <w:rPr>
                <w:rFonts w:hint="eastAsia" w:ascii="黑体" w:hAnsi="黑体" w:eastAsia="黑体" w:cs="楷体"/>
                <w:color w:val="000000"/>
                <w:kern w:val="0"/>
                <w:szCs w:val="21"/>
                <w:lang w:bidi="ar"/>
              </w:rPr>
            </w:pPr>
          </w:p>
        </w:tc>
      </w:tr>
      <w:tr w14:paraId="25E5794F">
        <w:tblPrEx>
          <w:tblCellMar>
            <w:top w:w="0" w:type="dxa"/>
            <w:left w:w="108" w:type="dxa"/>
            <w:bottom w:w="0" w:type="dxa"/>
            <w:right w:w="108" w:type="dxa"/>
          </w:tblCellMar>
        </w:tblPrEx>
        <w:trPr>
          <w:trHeight w:val="300" w:hRule="atLeast"/>
          <w:jc w:val="center"/>
        </w:trPr>
        <w:tc>
          <w:tcPr>
            <w:tcW w:w="600" w:type="pct"/>
            <w:tcBorders>
              <w:top w:val="single" w:color="auto" w:sz="4" w:space="0"/>
              <w:left w:val="single" w:color="000000" w:sz="8" w:space="0"/>
              <w:bottom w:val="single" w:color="auto" w:sz="4" w:space="0"/>
              <w:right w:val="single" w:color="000000" w:sz="8" w:space="0"/>
            </w:tcBorders>
            <w:vAlign w:val="center"/>
          </w:tcPr>
          <w:p w14:paraId="0E3FE422">
            <w:pPr>
              <w:widowControl/>
              <w:jc w:val="center"/>
              <w:textAlignment w:val="center"/>
              <w:rPr>
                <w:rFonts w:hint="eastAsia" w:ascii="黑体" w:hAnsi="黑体" w:eastAsia="黑体" w:cs="楷体"/>
                <w:color w:val="000000"/>
                <w:szCs w:val="21"/>
              </w:rPr>
            </w:pPr>
            <w:r>
              <w:rPr>
                <w:rFonts w:hint="eastAsia" w:ascii="黑体" w:hAnsi="黑体" w:eastAsia="黑体" w:cs="楷体"/>
                <w:color w:val="000000"/>
                <w:kern w:val="0"/>
                <w:szCs w:val="21"/>
                <w:lang w:bidi="ar"/>
              </w:rPr>
              <w:t>7</w:t>
            </w:r>
          </w:p>
        </w:tc>
        <w:tc>
          <w:tcPr>
            <w:tcW w:w="2491" w:type="pct"/>
            <w:tcBorders>
              <w:top w:val="single" w:color="auto" w:sz="4" w:space="0"/>
              <w:left w:val="nil"/>
              <w:bottom w:val="single" w:color="auto" w:sz="4" w:space="0"/>
              <w:right w:val="single" w:color="000000" w:sz="8" w:space="0"/>
            </w:tcBorders>
            <w:vAlign w:val="center"/>
          </w:tcPr>
          <w:p w14:paraId="441FB675">
            <w:pPr>
              <w:widowControl/>
              <w:jc w:val="left"/>
              <w:textAlignment w:val="center"/>
              <w:rPr>
                <w:rFonts w:hint="eastAsia" w:ascii="黑体" w:hAnsi="黑体" w:eastAsia="黑体" w:cs="楷体"/>
                <w:color w:val="000000"/>
                <w:szCs w:val="21"/>
              </w:rPr>
            </w:pPr>
            <w:r>
              <w:rPr>
                <w:rFonts w:hint="eastAsia" w:ascii="黑体" w:hAnsi="黑体" w:eastAsia="黑体" w:cs="楷体"/>
                <w:color w:val="000000"/>
                <w:kern w:val="0"/>
                <w:szCs w:val="21"/>
                <w:lang w:bidi="ar"/>
              </w:rPr>
              <w:t>复视检查</w:t>
            </w:r>
          </w:p>
        </w:tc>
        <w:tc>
          <w:tcPr>
            <w:tcW w:w="1909" w:type="pct"/>
            <w:vMerge w:val="continue"/>
            <w:tcBorders>
              <w:left w:val="nil"/>
              <w:bottom w:val="single" w:color="auto" w:sz="4" w:space="0"/>
              <w:right w:val="single" w:color="000000" w:sz="8" w:space="0"/>
            </w:tcBorders>
          </w:tcPr>
          <w:p w14:paraId="20EB92B9">
            <w:pPr>
              <w:widowControl/>
              <w:jc w:val="center"/>
              <w:textAlignment w:val="center"/>
              <w:rPr>
                <w:rFonts w:hint="eastAsia" w:ascii="黑体" w:hAnsi="黑体" w:eastAsia="黑体" w:cs="楷体"/>
                <w:color w:val="000000"/>
                <w:kern w:val="0"/>
                <w:szCs w:val="21"/>
                <w:lang w:bidi="ar"/>
              </w:rPr>
            </w:pPr>
          </w:p>
        </w:tc>
      </w:tr>
      <w:tr w14:paraId="30677277">
        <w:tblPrEx>
          <w:tblCellMar>
            <w:top w:w="0" w:type="dxa"/>
            <w:left w:w="108" w:type="dxa"/>
            <w:bottom w:w="0" w:type="dxa"/>
            <w:right w:w="108" w:type="dxa"/>
          </w:tblCellMar>
        </w:tblPrEx>
        <w:trPr>
          <w:trHeight w:val="300" w:hRule="atLeast"/>
          <w:jc w:val="center"/>
        </w:trPr>
        <w:tc>
          <w:tcPr>
            <w:tcW w:w="600" w:type="pct"/>
            <w:tcBorders>
              <w:top w:val="single" w:color="auto" w:sz="4" w:space="0"/>
              <w:left w:val="single" w:color="000000" w:sz="8" w:space="0"/>
              <w:bottom w:val="single" w:color="000000" w:sz="8" w:space="0"/>
              <w:right w:val="single" w:color="000000" w:sz="8" w:space="0"/>
            </w:tcBorders>
            <w:vAlign w:val="center"/>
          </w:tcPr>
          <w:p w14:paraId="6F6B97F9">
            <w:pPr>
              <w:widowControl/>
              <w:jc w:val="center"/>
              <w:textAlignment w:val="center"/>
              <w:rPr>
                <w:rFonts w:hint="eastAsia" w:ascii="黑体" w:hAnsi="黑体" w:eastAsia="黑体" w:cs="楷体"/>
                <w:color w:val="000000"/>
                <w:szCs w:val="21"/>
              </w:rPr>
            </w:pPr>
            <w:r>
              <w:rPr>
                <w:rFonts w:hint="eastAsia" w:ascii="黑体" w:hAnsi="黑体" w:eastAsia="黑体" w:cs="楷体"/>
                <w:color w:val="000000"/>
                <w:kern w:val="0"/>
                <w:szCs w:val="21"/>
                <w:lang w:bidi="ar"/>
              </w:rPr>
              <w:t>8</w:t>
            </w:r>
          </w:p>
        </w:tc>
        <w:tc>
          <w:tcPr>
            <w:tcW w:w="2491" w:type="pct"/>
            <w:tcBorders>
              <w:top w:val="single" w:color="auto" w:sz="4" w:space="0"/>
              <w:left w:val="nil"/>
              <w:bottom w:val="single" w:color="000000" w:sz="8" w:space="0"/>
              <w:right w:val="single" w:color="000000" w:sz="8" w:space="0"/>
            </w:tcBorders>
            <w:vAlign w:val="center"/>
          </w:tcPr>
          <w:p w14:paraId="0DB22837">
            <w:pPr>
              <w:widowControl/>
              <w:jc w:val="left"/>
              <w:textAlignment w:val="center"/>
              <w:rPr>
                <w:rFonts w:hint="eastAsia" w:ascii="黑体" w:hAnsi="黑体" w:eastAsia="黑体" w:cs="楷体"/>
                <w:color w:val="000000"/>
                <w:szCs w:val="21"/>
              </w:rPr>
            </w:pPr>
            <w:r>
              <w:rPr>
                <w:rFonts w:hint="eastAsia" w:ascii="黑体" w:hAnsi="黑体" w:eastAsia="黑体" w:cs="楷体"/>
                <w:color w:val="000000"/>
                <w:kern w:val="0"/>
                <w:szCs w:val="21"/>
                <w:lang w:bidi="ar"/>
              </w:rPr>
              <w:t>三棱镜检查</w:t>
            </w:r>
          </w:p>
        </w:tc>
        <w:tc>
          <w:tcPr>
            <w:tcW w:w="1909" w:type="pct"/>
            <w:vMerge w:val="continue"/>
            <w:tcBorders>
              <w:left w:val="nil"/>
              <w:bottom w:val="single" w:color="auto" w:sz="4" w:space="0"/>
              <w:right w:val="single" w:color="000000" w:sz="8" w:space="0"/>
            </w:tcBorders>
          </w:tcPr>
          <w:p w14:paraId="2B0E0434">
            <w:pPr>
              <w:widowControl/>
              <w:jc w:val="center"/>
              <w:textAlignment w:val="center"/>
              <w:rPr>
                <w:rFonts w:hint="eastAsia" w:ascii="黑体" w:hAnsi="黑体" w:eastAsia="黑体" w:cs="楷体"/>
                <w:color w:val="000000"/>
                <w:kern w:val="0"/>
                <w:szCs w:val="21"/>
                <w:lang w:bidi="ar"/>
              </w:rPr>
            </w:pPr>
          </w:p>
        </w:tc>
      </w:tr>
      <w:tr w14:paraId="4B2B57A0">
        <w:tblPrEx>
          <w:tblCellMar>
            <w:top w:w="0" w:type="dxa"/>
            <w:left w:w="108" w:type="dxa"/>
            <w:bottom w:w="0" w:type="dxa"/>
            <w:right w:w="108" w:type="dxa"/>
          </w:tblCellMar>
        </w:tblPrEx>
        <w:trPr>
          <w:trHeight w:val="300" w:hRule="atLeast"/>
          <w:jc w:val="center"/>
        </w:trPr>
        <w:tc>
          <w:tcPr>
            <w:tcW w:w="600" w:type="pct"/>
            <w:tcBorders>
              <w:top w:val="nil"/>
              <w:left w:val="single" w:color="000000" w:sz="8" w:space="0"/>
              <w:bottom w:val="single" w:color="000000" w:sz="8" w:space="0"/>
              <w:right w:val="single" w:color="000000" w:sz="8" w:space="0"/>
            </w:tcBorders>
            <w:vAlign w:val="center"/>
          </w:tcPr>
          <w:p w14:paraId="0B9F1E78">
            <w:pPr>
              <w:widowControl/>
              <w:jc w:val="center"/>
              <w:textAlignment w:val="center"/>
              <w:rPr>
                <w:rFonts w:hint="eastAsia" w:ascii="黑体" w:hAnsi="黑体" w:eastAsia="黑体" w:cs="楷体"/>
                <w:color w:val="000000"/>
                <w:szCs w:val="21"/>
              </w:rPr>
            </w:pPr>
            <w:r>
              <w:rPr>
                <w:rFonts w:hint="eastAsia" w:ascii="黑体" w:hAnsi="黑体" w:eastAsia="黑体" w:cs="楷体"/>
                <w:color w:val="000000"/>
                <w:kern w:val="0"/>
                <w:szCs w:val="21"/>
                <w:lang w:bidi="ar"/>
              </w:rPr>
              <w:t>9</w:t>
            </w:r>
          </w:p>
        </w:tc>
        <w:tc>
          <w:tcPr>
            <w:tcW w:w="2491" w:type="pct"/>
            <w:tcBorders>
              <w:top w:val="nil"/>
              <w:left w:val="nil"/>
              <w:bottom w:val="single" w:color="000000" w:sz="8" w:space="0"/>
              <w:right w:val="single" w:color="000000" w:sz="8" w:space="0"/>
            </w:tcBorders>
            <w:vAlign w:val="center"/>
          </w:tcPr>
          <w:p w14:paraId="72608FE6">
            <w:pPr>
              <w:widowControl/>
              <w:jc w:val="left"/>
              <w:textAlignment w:val="center"/>
              <w:rPr>
                <w:rFonts w:hint="eastAsia" w:ascii="黑体" w:hAnsi="黑体" w:eastAsia="黑体" w:cs="楷体"/>
                <w:color w:val="000000"/>
                <w:szCs w:val="21"/>
              </w:rPr>
            </w:pPr>
            <w:r>
              <w:rPr>
                <w:rFonts w:hint="eastAsia" w:ascii="黑体" w:hAnsi="黑体" w:eastAsia="黑体" w:cs="楷体"/>
                <w:color w:val="000000"/>
                <w:kern w:val="0"/>
                <w:szCs w:val="21"/>
                <w:lang w:bidi="ar"/>
              </w:rPr>
              <w:t>线状镜检查</w:t>
            </w:r>
          </w:p>
        </w:tc>
        <w:tc>
          <w:tcPr>
            <w:tcW w:w="1909" w:type="pct"/>
            <w:vMerge w:val="continue"/>
            <w:tcBorders>
              <w:left w:val="nil"/>
              <w:bottom w:val="single" w:color="auto" w:sz="4" w:space="0"/>
              <w:right w:val="single" w:color="000000" w:sz="8" w:space="0"/>
            </w:tcBorders>
          </w:tcPr>
          <w:p w14:paraId="23CD7CEE">
            <w:pPr>
              <w:widowControl/>
              <w:jc w:val="center"/>
              <w:textAlignment w:val="center"/>
              <w:rPr>
                <w:rFonts w:hint="eastAsia" w:ascii="黑体" w:hAnsi="黑体" w:eastAsia="黑体" w:cs="楷体"/>
                <w:color w:val="000000"/>
                <w:kern w:val="0"/>
                <w:szCs w:val="21"/>
                <w:lang w:bidi="ar"/>
              </w:rPr>
            </w:pPr>
          </w:p>
        </w:tc>
      </w:tr>
      <w:tr w14:paraId="780F93EA">
        <w:tblPrEx>
          <w:tblCellMar>
            <w:top w:w="0" w:type="dxa"/>
            <w:left w:w="108" w:type="dxa"/>
            <w:bottom w:w="0" w:type="dxa"/>
            <w:right w:w="108" w:type="dxa"/>
          </w:tblCellMar>
        </w:tblPrEx>
        <w:trPr>
          <w:trHeight w:val="300" w:hRule="atLeast"/>
          <w:jc w:val="center"/>
        </w:trPr>
        <w:tc>
          <w:tcPr>
            <w:tcW w:w="600" w:type="pct"/>
            <w:tcBorders>
              <w:top w:val="nil"/>
              <w:left w:val="single" w:color="000000" w:sz="8" w:space="0"/>
              <w:bottom w:val="single" w:color="000000" w:sz="8" w:space="0"/>
              <w:right w:val="single" w:color="000000" w:sz="8" w:space="0"/>
            </w:tcBorders>
            <w:vAlign w:val="center"/>
          </w:tcPr>
          <w:p w14:paraId="58CD76E8">
            <w:pPr>
              <w:widowControl/>
              <w:jc w:val="center"/>
              <w:textAlignment w:val="center"/>
              <w:rPr>
                <w:rFonts w:hint="eastAsia" w:ascii="黑体" w:hAnsi="黑体" w:eastAsia="黑体" w:cs="楷体"/>
                <w:color w:val="000000"/>
                <w:szCs w:val="21"/>
              </w:rPr>
            </w:pPr>
            <w:r>
              <w:rPr>
                <w:rFonts w:hint="eastAsia" w:ascii="黑体" w:hAnsi="黑体" w:eastAsia="黑体" w:cs="楷体"/>
                <w:color w:val="000000"/>
                <w:kern w:val="0"/>
                <w:szCs w:val="21"/>
                <w:lang w:bidi="ar"/>
              </w:rPr>
              <w:t>10</w:t>
            </w:r>
          </w:p>
        </w:tc>
        <w:tc>
          <w:tcPr>
            <w:tcW w:w="2491" w:type="pct"/>
            <w:tcBorders>
              <w:top w:val="nil"/>
              <w:left w:val="nil"/>
              <w:bottom w:val="single" w:color="000000" w:sz="8" w:space="0"/>
              <w:right w:val="single" w:color="000000" w:sz="8" w:space="0"/>
            </w:tcBorders>
            <w:vAlign w:val="center"/>
          </w:tcPr>
          <w:p w14:paraId="5D577DB1">
            <w:pPr>
              <w:widowControl/>
              <w:jc w:val="left"/>
              <w:textAlignment w:val="center"/>
              <w:rPr>
                <w:rFonts w:hint="eastAsia" w:ascii="黑体" w:hAnsi="黑体" w:eastAsia="黑体" w:cs="楷体"/>
                <w:color w:val="000000"/>
                <w:szCs w:val="21"/>
              </w:rPr>
            </w:pPr>
            <w:r>
              <w:rPr>
                <w:rFonts w:hint="eastAsia" w:ascii="黑体" w:hAnsi="黑体" w:eastAsia="黑体" w:cs="楷体"/>
                <w:color w:val="000000"/>
                <w:kern w:val="0"/>
                <w:szCs w:val="21"/>
                <w:lang w:bidi="ar"/>
              </w:rPr>
              <w:t>调节/集合测定</w:t>
            </w:r>
          </w:p>
        </w:tc>
        <w:tc>
          <w:tcPr>
            <w:tcW w:w="1909" w:type="pct"/>
            <w:vMerge w:val="continue"/>
            <w:tcBorders>
              <w:left w:val="nil"/>
              <w:bottom w:val="single" w:color="auto" w:sz="4" w:space="0"/>
              <w:right w:val="single" w:color="000000" w:sz="8" w:space="0"/>
            </w:tcBorders>
          </w:tcPr>
          <w:p w14:paraId="7EC08A5D">
            <w:pPr>
              <w:widowControl/>
              <w:jc w:val="center"/>
              <w:textAlignment w:val="center"/>
              <w:rPr>
                <w:rFonts w:hint="eastAsia" w:ascii="黑体" w:hAnsi="黑体" w:eastAsia="黑体" w:cs="楷体"/>
                <w:color w:val="000000"/>
                <w:kern w:val="0"/>
                <w:szCs w:val="21"/>
                <w:lang w:bidi="ar"/>
              </w:rPr>
            </w:pPr>
          </w:p>
        </w:tc>
      </w:tr>
      <w:tr w14:paraId="6BA83791">
        <w:tblPrEx>
          <w:tblCellMar>
            <w:top w:w="0" w:type="dxa"/>
            <w:left w:w="108" w:type="dxa"/>
            <w:bottom w:w="0" w:type="dxa"/>
            <w:right w:w="108" w:type="dxa"/>
          </w:tblCellMar>
        </w:tblPrEx>
        <w:trPr>
          <w:trHeight w:val="300" w:hRule="atLeast"/>
          <w:jc w:val="center"/>
        </w:trPr>
        <w:tc>
          <w:tcPr>
            <w:tcW w:w="600" w:type="pct"/>
            <w:tcBorders>
              <w:top w:val="nil"/>
              <w:left w:val="single" w:color="000000" w:sz="8" w:space="0"/>
              <w:bottom w:val="single" w:color="000000" w:sz="8" w:space="0"/>
              <w:right w:val="single" w:color="000000" w:sz="8" w:space="0"/>
            </w:tcBorders>
            <w:vAlign w:val="center"/>
          </w:tcPr>
          <w:p w14:paraId="08AA7478">
            <w:pPr>
              <w:widowControl/>
              <w:jc w:val="center"/>
              <w:textAlignment w:val="center"/>
              <w:rPr>
                <w:rFonts w:hint="eastAsia" w:ascii="黑体" w:hAnsi="黑体" w:eastAsia="黑体" w:cs="楷体"/>
                <w:color w:val="000000"/>
                <w:szCs w:val="21"/>
              </w:rPr>
            </w:pPr>
            <w:r>
              <w:rPr>
                <w:rFonts w:hint="eastAsia" w:ascii="黑体" w:hAnsi="黑体" w:eastAsia="黑体" w:cs="楷体"/>
                <w:color w:val="000000"/>
                <w:kern w:val="0"/>
                <w:szCs w:val="21"/>
                <w:lang w:bidi="ar"/>
              </w:rPr>
              <w:t>11</w:t>
            </w:r>
          </w:p>
        </w:tc>
        <w:tc>
          <w:tcPr>
            <w:tcW w:w="2491" w:type="pct"/>
            <w:tcBorders>
              <w:top w:val="nil"/>
              <w:left w:val="nil"/>
              <w:bottom w:val="single" w:color="000000" w:sz="8" w:space="0"/>
              <w:right w:val="single" w:color="000000" w:sz="8" w:space="0"/>
            </w:tcBorders>
            <w:vAlign w:val="center"/>
          </w:tcPr>
          <w:p w14:paraId="0E42D35F">
            <w:pPr>
              <w:widowControl/>
              <w:jc w:val="left"/>
              <w:textAlignment w:val="center"/>
              <w:rPr>
                <w:rFonts w:hint="eastAsia" w:ascii="黑体" w:hAnsi="黑体" w:eastAsia="黑体" w:cs="楷体"/>
                <w:color w:val="000000"/>
                <w:szCs w:val="21"/>
              </w:rPr>
            </w:pPr>
            <w:r>
              <w:rPr>
                <w:rFonts w:hint="eastAsia" w:ascii="黑体" w:hAnsi="黑体" w:eastAsia="黑体" w:cs="楷体"/>
                <w:color w:val="000000"/>
                <w:kern w:val="0"/>
                <w:szCs w:val="21"/>
                <w:lang w:bidi="ar"/>
              </w:rPr>
              <w:t>牵拉试验</w:t>
            </w:r>
          </w:p>
        </w:tc>
        <w:tc>
          <w:tcPr>
            <w:tcW w:w="1909" w:type="pct"/>
            <w:vMerge w:val="continue"/>
            <w:tcBorders>
              <w:left w:val="nil"/>
              <w:bottom w:val="single" w:color="auto" w:sz="4" w:space="0"/>
              <w:right w:val="single" w:color="000000" w:sz="8" w:space="0"/>
            </w:tcBorders>
          </w:tcPr>
          <w:p w14:paraId="150542C4">
            <w:pPr>
              <w:widowControl/>
              <w:jc w:val="center"/>
              <w:textAlignment w:val="center"/>
              <w:rPr>
                <w:rFonts w:hint="eastAsia" w:ascii="黑体" w:hAnsi="黑体" w:eastAsia="黑体" w:cs="楷体"/>
                <w:color w:val="000000"/>
                <w:kern w:val="0"/>
                <w:szCs w:val="21"/>
                <w:lang w:bidi="ar"/>
              </w:rPr>
            </w:pPr>
          </w:p>
        </w:tc>
      </w:tr>
      <w:tr w14:paraId="4885459F">
        <w:tblPrEx>
          <w:tblCellMar>
            <w:top w:w="0" w:type="dxa"/>
            <w:left w:w="108" w:type="dxa"/>
            <w:bottom w:w="0" w:type="dxa"/>
            <w:right w:w="108" w:type="dxa"/>
          </w:tblCellMar>
        </w:tblPrEx>
        <w:trPr>
          <w:trHeight w:val="300" w:hRule="atLeast"/>
          <w:jc w:val="center"/>
        </w:trPr>
        <w:tc>
          <w:tcPr>
            <w:tcW w:w="600" w:type="pct"/>
            <w:tcBorders>
              <w:top w:val="nil"/>
              <w:left w:val="single" w:color="000000" w:sz="8" w:space="0"/>
              <w:bottom w:val="single" w:color="000000" w:sz="8" w:space="0"/>
              <w:right w:val="single" w:color="000000" w:sz="8" w:space="0"/>
            </w:tcBorders>
            <w:vAlign w:val="center"/>
          </w:tcPr>
          <w:p w14:paraId="2F68ABC4">
            <w:pPr>
              <w:widowControl/>
              <w:jc w:val="center"/>
              <w:textAlignment w:val="center"/>
              <w:rPr>
                <w:rFonts w:hint="eastAsia" w:ascii="黑体" w:hAnsi="黑体" w:eastAsia="黑体" w:cs="楷体"/>
                <w:color w:val="000000"/>
                <w:szCs w:val="21"/>
              </w:rPr>
            </w:pPr>
            <w:r>
              <w:rPr>
                <w:rFonts w:hint="eastAsia" w:ascii="黑体" w:hAnsi="黑体" w:eastAsia="黑体" w:cs="楷体"/>
                <w:color w:val="000000"/>
                <w:kern w:val="0"/>
                <w:szCs w:val="21"/>
                <w:lang w:bidi="ar"/>
              </w:rPr>
              <w:t>12</w:t>
            </w:r>
          </w:p>
        </w:tc>
        <w:tc>
          <w:tcPr>
            <w:tcW w:w="2491" w:type="pct"/>
            <w:tcBorders>
              <w:top w:val="nil"/>
              <w:left w:val="nil"/>
              <w:bottom w:val="single" w:color="000000" w:sz="8" w:space="0"/>
              <w:right w:val="single" w:color="000000" w:sz="8" w:space="0"/>
            </w:tcBorders>
            <w:vAlign w:val="center"/>
          </w:tcPr>
          <w:p w14:paraId="5D923BDE">
            <w:pPr>
              <w:widowControl/>
              <w:jc w:val="left"/>
              <w:textAlignment w:val="center"/>
              <w:rPr>
                <w:rFonts w:hint="eastAsia" w:ascii="黑体" w:hAnsi="黑体" w:eastAsia="黑体" w:cs="楷体"/>
                <w:color w:val="000000"/>
                <w:szCs w:val="21"/>
              </w:rPr>
            </w:pPr>
            <w:r>
              <w:rPr>
                <w:rFonts w:hint="eastAsia" w:ascii="黑体" w:hAnsi="黑体" w:eastAsia="黑体" w:cs="楷体"/>
                <w:color w:val="000000"/>
                <w:kern w:val="0"/>
                <w:szCs w:val="21"/>
                <w:lang w:bidi="ar"/>
              </w:rPr>
              <w:t>双眼视觉检查</w:t>
            </w:r>
          </w:p>
        </w:tc>
        <w:tc>
          <w:tcPr>
            <w:tcW w:w="1909" w:type="pct"/>
            <w:vMerge w:val="continue"/>
            <w:tcBorders>
              <w:left w:val="nil"/>
              <w:bottom w:val="single" w:color="auto" w:sz="4" w:space="0"/>
              <w:right w:val="single" w:color="000000" w:sz="8" w:space="0"/>
            </w:tcBorders>
          </w:tcPr>
          <w:p w14:paraId="59D956AA">
            <w:pPr>
              <w:widowControl/>
              <w:jc w:val="center"/>
              <w:textAlignment w:val="center"/>
              <w:rPr>
                <w:rFonts w:hint="eastAsia" w:ascii="黑体" w:hAnsi="黑体" w:eastAsia="黑体" w:cs="楷体"/>
                <w:color w:val="000000"/>
                <w:kern w:val="0"/>
                <w:szCs w:val="21"/>
                <w:lang w:bidi="ar"/>
              </w:rPr>
            </w:pPr>
          </w:p>
        </w:tc>
      </w:tr>
      <w:tr w14:paraId="71E3573E">
        <w:tblPrEx>
          <w:tblCellMar>
            <w:top w:w="0" w:type="dxa"/>
            <w:left w:w="108" w:type="dxa"/>
            <w:bottom w:w="0" w:type="dxa"/>
            <w:right w:w="108" w:type="dxa"/>
          </w:tblCellMar>
        </w:tblPrEx>
        <w:trPr>
          <w:trHeight w:val="300" w:hRule="atLeast"/>
          <w:jc w:val="center"/>
        </w:trPr>
        <w:tc>
          <w:tcPr>
            <w:tcW w:w="600" w:type="pct"/>
            <w:tcBorders>
              <w:top w:val="nil"/>
              <w:left w:val="single" w:color="000000" w:sz="8" w:space="0"/>
              <w:bottom w:val="single" w:color="000000" w:sz="8" w:space="0"/>
              <w:right w:val="single" w:color="000000" w:sz="8" w:space="0"/>
            </w:tcBorders>
            <w:vAlign w:val="center"/>
          </w:tcPr>
          <w:p w14:paraId="3BCCBF93">
            <w:pPr>
              <w:widowControl/>
              <w:jc w:val="center"/>
              <w:textAlignment w:val="center"/>
              <w:rPr>
                <w:rFonts w:hint="eastAsia" w:ascii="黑体" w:hAnsi="黑体" w:eastAsia="黑体" w:cs="楷体"/>
                <w:color w:val="000000"/>
                <w:szCs w:val="21"/>
              </w:rPr>
            </w:pPr>
            <w:r>
              <w:rPr>
                <w:rFonts w:hint="eastAsia" w:ascii="黑体" w:hAnsi="黑体" w:eastAsia="黑体" w:cs="楷体"/>
                <w:color w:val="000000"/>
                <w:kern w:val="0"/>
                <w:szCs w:val="21"/>
                <w:lang w:bidi="ar"/>
              </w:rPr>
              <w:t>13</w:t>
            </w:r>
          </w:p>
        </w:tc>
        <w:tc>
          <w:tcPr>
            <w:tcW w:w="2491" w:type="pct"/>
            <w:tcBorders>
              <w:top w:val="nil"/>
              <w:left w:val="nil"/>
              <w:bottom w:val="single" w:color="000000" w:sz="8" w:space="0"/>
              <w:right w:val="single" w:color="000000" w:sz="8" w:space="0"/>
            </w:tcBorders>
            <w:vAlign w:val="center"/>
          </w:tcPr>
          <w:p w14:paraId="38DE49F0">
            <w:pPr>
              <w:widowControl/>
              <w:jc w:val="left"/>
              <w:textAlignment w:val="center"/>
              <w:rPr>
                <w:rFonts w:hint="eastAsia" w:ascii="黑体" w:hAnsi="黑体" w:eastAsia="黑体" w:cs="楷体"/>
                <w:color w:val="000000"/>
                <w:szCs w:val="21"/>
              </w:rPr>
            </w:pPr>
            <w:r>
              <w:rPr>
                <w:rFonts w:hint="eastAsia" w:ascii="黑体" w:hAnsi="黑体" w:eastAsia="黑体" w:cs="楷体"/>
                <w:color w:val="000000"/>
                <w:kern w:val="0"/>
                <w:szCs w:val="21"/>
                <w:lang w:bidi="ar"/>
              </w:rPr>
              <w:t>色觉检查</w:t>
            </w:r>
          </w:p>
        </w:tc>
        <w:tc>
          <w:tcPr>
            <w:tcW w:w="1909" w:type="pct"/>
            <w:vMerge w:val="continue"/>
            <w:tcBorders>
              <w:left w:val="nil"/>
              <w:bottom w:val="single" w:color="auto" w:sz="4" w:space="0"/>
              <w:right w:val="single" w:color="000000" w:sz="8" w:space="0"/>
            </w:tcBorders>
          </w:tcPr>
          <w:p w14:paraId="55672B04">
            <w:pPr>
              <w:widowControl/>
              <w:jc w:val="center"/>
              <w:textAlignment w:val="center"/>
              <w:rPr>
                <w:rFonts w:hint="eastAsia" w:ascii="黑体" w:hAnsi="黑体" w:eastAsia="黑体" w:cs="楷体"/>
                <w:color w:val="000000"/>
                <w:kern w:val="0"/>
                <w:szCs w:val="21"/>
                <w:lang w:bidi="ar"/>
              </w:rPr>
            </w:pPr>
          </w:p>
        </w:tc>
      </w:tr>
      <w:tr w14:paraId="37591E0A">
        <w:tblPrEx>
          <w:tblCellMar>
            <w:top w:w="0" w:type="dxa"/>
            <w:left w:w="108" w:type="dxa"/>
            <w:bottom w:w="0" w:type="dxa"/>
            <w:right w:w="108" w:type="dxa"/>
          </w:tblCellMar>
        </w:tblPrEx>
        <w:trPr>
          <w:trHeight w:val="300" w:hRule="atLeast"/>
          <w:jc w:val="center"/>
        </w:trPr>
        <w:tc>
          <w:tcPr>
            <w:tcW w:w="600" w:type="pct"/>
            <w:tcBorders>
              <w:top w:val="nil"/>
              <w:left w:val="single" w:color="000000" w:sz="8" w:space="0"/>
              <w:bottom w:val="single" w:color="000000" w:sz="8" w:space="0"/>
              <w:right w:val="single" w:color="000000" w:sz="8" w:space="0"/>
            </w:tcBorders>
            <w:vAlign w:val="center"/>
          </w:tcPr>
          <w:p w14:paraId="3996D039">
            <w:pPr>
              <w:widowControl/>
              <w:jc w:val="center"/>
              <w:textAlignment w:val="center"/>
              <w:rPr>
                <w:rFonts w:hint="eastAsia" w:ascii="黑体" w:hAnsi="黑体" w:eastAsia="黑体" w:cs="楷体"/>
                <w:color w:val="000000"/>
                <w:szCs w:val="21"/>
              </w:rPr>
            </w:pPr>
            <w:r>
              <w:rPr>
                <w:rFonts w:hint="eastAsia" w:ascii="黑体" w:hAnsi="黑体" w:eastAsia="黑体" w:cs="楷体"/>
                <w:color w:val="000000"/>
                <w:kern w:val="0"/>
                <w:szCs w:val="21"/>
                <w:lang w:bidi="ar"/>
              </w:rPr>
              <w:t>14</w:t>
            </w:r>
          </w:p>
        </w:tc>
        <w:tc>
          <w:tcPr>
            <w:tcW w:w="2491" w:type="pct"/>
            <w:tcBorders>
              <w:top w:val="nil"/>
              <w:left w:val="nil"/>
              <w:bottom w:val="single" w:color="000000" w:sz="8" w:space="0"/>
              <w:right w:val="single" w:color="000000" w:sz="8" w:space="0"/>
            </w:tcBorders>
            <w:vAlign w:val="center"/>
          </w:tcPr>
          <w:p w14:paraId="69BEE75B">
            <w:pPr>
              <w:widowControl/>
              <w:jc w:val="left"/>
              <w:textAlignment w:val="center"/>
              <w:rPr>
                <w:rFonts w:hint="eastAsia" w:ascii="黑体" w:hAnsi="黑体" w:eastAsia="黑体" w:cs="楷体"/>
                <w:color w:val="000000"/>
                <w:szCs w:val="21"/>
              </w:rPr>
            </w:pPr>
            <w:r>
              <w:rPr>
                <w:rFonts w:hint="eastAsia" w:ascii="黑体" w:hAnsi="黑体" w:eastAsia="黑体" w:cs="楷体"/>
                <w:color w:val="000000"/>
                <w:kern w:val="0"/>
                <w:szCs w:val="21"/>
                <w:lang w:bidi="ar"/>
              </w:rPr>
              <w:t>对比敏感度检查</w:t>
            </w:r>
          </w:p>
        </w:tc>
        <w:tc>
          <w:tcPr>
            <w:tcW w:w="1909" w:type="pct"/>
            <w:vMerge w:val="continue"/>
            <w:tcBorders>
              <w:left w:val="nil"/>
              <w:bottom w:val="single" w:color="auto" w:sz="4" w:space="0"/>
              <w:right w:val="single" w:color="000000" w:sz="8" w:space="0"/>
            </w:tcBorders>
          </w:tcPr>
          <w:p w14:paraId="3DFD36B4">
            <w:pPr>
              <w:widowControl/>
              <w:jc w:val="center"/>
              <w:textAlignment w:val="center"/>
              <w:rPr>
                <w:rFonts w:hint="eastAsia" w:ascii="黑体" w:hAnsi="黑体" w:eastAsia="黑体" w:cs="楷体"/>
                <w:color w:val="000000"/>
                <w:kern w:val="0"/>
                <w:szCs w:val="21"/>
                <w:lang w:bidi="ar"/>
              </w:rPr>
            </w:pPr>
          </w:p>
        </w:tc>
      </w:tr>
      <w:tr w14:paraId="24A56E9B">
        <w:tblPrEx>
          <w:tblCellMar>
            <w:top w:w="0" w:type="dxa"/>
            <w:left w:w="108" w:type="dxa"/>
            <w:bottom w:w="0" w:type="dxa"/>
            <w:right w:w="108" w:type="dxa"/>
          </w:tblCellMar>
        </w:tblPrEx>
        <w:trPr>
          <w:trHeight w:val="300" w:hRule="atLeast"/>
          <w:jc w:val="center"/>
        </w:trPr>
        <w:tc>
          <w:tcPr>
            <w:tcW w:w="600" w:type="pct"/>
            <w:tcBorders>
              <w:top w:val="nil"/>
              <w:left w:val="single" w:color="000000" w:sz="8" w:space="0"/>
              <w:bottom w:val="single" w:color="000000" w:sz="8" w:space="0"/>
              <w:right w:val="single" w:color="000000" w:sz="8" w:space="0"/>
            </w:tcBorders>
            <w:vAlign w:val="center"/>
          </w:tcPr>
          <w:p w14:paraId="70E23EA5">
            <w:pPr>
              <w:widowControl/>
              <w:jc w:val="center"/>
              <w:textAlignment w:val="center"/>
              <w:rPr>
                <w:rFonts w:hint="eastAsia" w:ascii="黑体" w:hAnsi="黑体" w:eastAsia="黑体" w:cs="楷体"/>
                <w:color w:val="000000"/>
                <w:szCs w:val="21"/>
              </w:rPr>
            </w:pPr>
            <w:r>
              <w:rPr>
                <w:rFonts w:hint="eastAsia" w:ascii="黑体" w:hAnsi="黑体" w:eastAsia="黑体" w:cs="楷体"/>
                <w:color w:val="000000"/>
                <w:kern w:val="0"/>
                <w:szCs w:val="21"/>
                <w:lang w:bidi="ar"/>
              </w:rPr>
              <w:t>15</w:t>
            </w:r>
          </w:p>
        </w:tc>
        <w:tc>
          <w:tcPr>
            <w:tcW w:w="2491" w:type="pct"/>
            <w:tcBorders>
              <w:top w:val="nil"/>
              <w:left w:val="nil"/>
              <w:bottom w:val="single" w:color="000000" w:sz="8" w:space="0"/>
              <w:right w:val="single" w:color="000000" w:sz="8" w:space="0"/>
            </w:tcBorders>
            <w:vAlign w:val="center"/>
          </w:tcPr>
          <w:p w14:paraId="328A380D">
            <w:pPr>
              <w:widowControl/>
              <w:jc w:val="left"/>
              <w:textAlignment w:val="center"/>
              <w:rPr>
                <w:rFonts w:hint="eastAsia" w:ascii="黑体" w:hAnsi="黑体" w:eastAsia="黑体" w:cs="楷体"/>
                <w:color w:val="000000"/>
                <w:szCs w:val="21"/>
              </w:rPr>
            </w:pPr>
            <w:r>
              <w:rPr>
                <w:rFonts w:hint="eastAsia" w:ascii="黑体" w:hAnsi="黑体" w:eastAsia="黑体" w:cs="楷体"/>
                <w:color w:val="000000"/>
                <w:kern w:val="0"/>
                <w:szCs w:val="21"/>
                <w:lang w:bidi="ar"/>
              </w:rPr>
              <w:t>正切尺检查</w:t>
            </w:r>
          </w:p>
        </w:tc>
        <w:tc>
          <w:tcPr>
            <w:tcW w:w="1909" w:type="pct"/>
            <w:vMerge w:val="continue"/>
            <w:tcBorders>
              <w:left w:val="nil"/>
              <w:bottom w:val="single" w:color="auto" w:sz="4" w:space="0"/>
              <w:right w:val="single" w:color="000000" w:sz="8" w:space="0"/>
            </w:tcBorders>
          </w:tcPr>
          <w:p w14:paraId="476D430A">
            <w:pPr>
              <w:widowControl/>
              <w:jc w:val="center"/>
              <w:textAlignment w:val="center"/>
              <w:rPr>
                <w:rFonts w:hint="eastAsia" w:ascii="黑体" w:hAnsi="黑体" w:eastAsia="黑体" w:cs="楷体"/>
                <w:color w:val="000000"/>
                <w:kern w:val="0"/>
                <w:szCs w:val="21"/>
                <w:lang w:bidi="ar"/>
              </w:rPr>
            </w:pPr>
          </w:p>
        </w:tc>
      </w:tr>
      <w:tr w14:paraId="20EDEE3C">
        <w:tblPrEx>
          <w:tblCellMar>
            <w:top w:w="0" w:type="dxa"/>
            <w:left w:w="108" w:type="dxa"/>
            <w:bottom w:w="0" w:type="dxa"/>
            <w:right w:w="108" w:type="dxa"/>
          </w:tblCellMar>
        </w:tblPrEx>
        <w:trPr>
          <w:trHeight w:val="300" w:hRule="atLeast"/>
          <w:jc w:val="center"/>
        </w:trPr>
        <w:tc>
          <w:tcPr>
            <w:tcW w:w="600" w:type="pct"/>
            <w:tcBorders>
              <w:top w:val="nil"/>
              <w:left w:val="single" w:color="000000" w:sz="8" w:space="0"/>
              <w:bottom w:val="single" w:color="000000" w:sz="8" w:space="0"/>
              <w:right w:val="single" w:color="000000" w:sz="8" w:space="0"/>
            </w:tcBorders>
            <w:vAlign w:val="center"/>
          </w:tcPr>
          <w:p w14:paraId="7990F876">
            <w:pPr>
              <w:widowControl/>
              <w:jc w:val="center"/>
              <w:textAlignment w:val="center"/>
              <w:rPr>
                <w:rFonts w:hint="eastAsia" w:ascii="黑体" w:hAnsi="黑体" w:eastAsia="黑体" w:cs="楷体"/>
                <w:color w:val="000000"/>
                <w:szCs w:val="21"/>
              </w:rPr>
            </w:pPr>
            <w:r>
              <w:rPr>
                <w:rFonts w:hint="eastAsia" w:ascii="黑体" w:hAnsi="黑体" w:eastAsia="黑体" w:cs="楷体"/>
                <w:color w:val="000000"/>
                <w:szCs w:val="21"/>
              </w:rPr>
              <w:t>16</w:t>
            </w:r>
          </w:p>
        </w:tc>
        <w:tc>
          <w:tcPr>
            <w:tcW w:w="2491" w:type="pct"/>
            <w:tcBorders>
              <w:top w:val="nil"/>
              <w:left w:val="nil"/>
              <w:bottom w:val="single" w:color="000000" w:sz="8" w:space="0"/>
              <w:right w:val="single" w:color="000000" w:sz="8" w:space="0"/>
            </w:tcBorders>
            <w:vAlign w:val="center"/>
          </w:tcPr>
          <w:p w14:paraId="4998C3FF">
            <w:pPr>
              <w:widowControl/>
              <w:jc w:val="left"/>
              <w:textAlignment w:val="center"/>
              <w:rPr>
                <w:rFonts w:hint="eastAsia" w:ascii="黑体" w:hAnsi="黑体" w:eastAsia="黑体" w:cs="楷体"/>
                <w:color w:val="000000"/>
                <w:szCs w:val="21"/>
              </w:rPr>
            </w:pPr>
            <w:r>
              <w:rPr>
                <w:rFonts w:hint="eastAsia" w:ascii="黑体" w:hAnsi="黑体" w:eastAsia="黑体" w:cs="楷体"/>
                <w:color w:val="000000"/>
                <w:kern w:val="0"/>
                <w:szCs w:val="21"/>
                <w:lang w:bidi="ar"/>
              </w:rPr>
              <w:t>注视性质检查</w:t>
            </w:r>
          </w:p>
        </w:tc>
        <w:tc>
          <w:tcPr>
            <w:tcW w:w="1909" w:type="pct"/>
            <w:vMerge w:val="continue"/>
            <w:tcBorders>
              <w:left w:val="nil"/>
              <w:bottom w:val="single" w:color="auto" w:sz="4" w:space="0"/>
              <w:right w:val="single" w:color="000000" w:sz="8" w:space="0"/>
            </w:tcBorders>
          </w:tcPr>
          <w:p w14:paraId="4B3F357A">
            <w:pPr>
              <w:widowControl/>
              <w:jc w:val="center"/>
              <w:textAlignment w:val="center"/>
              <w:rPr>
                <w:rFonts w:hint="eastAsia" w:ascii="黑体" w:hAnsi="黑体" w:eastAsia="黑体" w:cs="楷体"/>
                <w:color w:val="000000"/>
                <w:kern w:val="0"/>
                <w:szCs w:val="21"/>
                <w:lang w:bidi="ar"/>
              </w:rPr>
            </w:pPr>
          </w:p>
        </w:tc>
      </w:tr>
      <w:tr w14:paraId="1C50D87C">
        <w:tblPrEx>
          <w:tblCellMar>
            <w:top w:w="0" w:type="dxa"/>
            <w:left w:w="108" w:type="dxa"/>
            <w:bottom w:w="0" w:type="dxa"/>
            <w:right w:w="108" w:type="dxa"/>
          </w:tblCellMar>
        </w:tblPrEx>
        <w:trPr>
          <w:trHeight w:val="300" w:hRule="atLeast"/>
          <w:jc w:val="center"/>
        </w:trPr>
        <w:tc>
          <w:tcPr>
            <w:tcW w:w="600" w:type="pct"/>
            <w:tcBorders>
              <w:top w:val="nil"/>
              <w:left w:val="single" w:color="000000" w:sz="8" w:space="0"/>
              <w:bottom w:val="single" w:color="000000" w:sz="8" w:space="0"/>
              <w:right w:val="single" w:color="000000" w:sz="8" w:space="0"/>
            </w:tcBorders>
            <w:vAlign w:val="center"/>
          </w:tcPr>
          <w:p w14:paraId="62D92A6B">
            <w:pPr>
              <w:widowControl/>
              <w:jc w:val="center"/>
              <w:textAlignment w:val="center"/>
              <w:rPr>
                <w:rFonts w:hint="eastAsia" w:ascii="黑体" w:hAnsi="黑体" w:eastAsia="黑体" w:cs="楷体"/>
                <w:color w:val="000000"/>
                <w:szCs w:val="21"/>
              </w:rPr>
            </w:pPr>
            <w:r>
              <w:rPr>
                <w:rFonts w:hint="eastAsia" w:ascii="黑体" w:hAnsi="黑体" w:eastAsia="黑体" w:cs="楷体"/>
                <w:color w:val="000000"/>
                <w:kern w:val="0"/>
                <w:szCs w:val="21"/>
                <w:lang w:bidi="ar"/>
              </w:rPr>
              <w:t>17</w:t>
            </w:r>
          </w:p>
        </w:tc>
        <w:tc>
          <w:tcPr>
            <w:tcW w:w="2491" w:type="pct"/>
            <w:tcBorders>
              <w:top w:val="nil"/>
              <w:left w:val="nil"/>
              <w:bottom w:val="single" w:color="000000" w:sz="8" w:space="0"/>
              <w:right w:val="single" w:color="000000" w:sz="8" w:space="0"/>
            </w:tcBorders>
            <w:vAlign w:val="center"/>
          </w:tcPr>
          <w:p w14:paraId="403D34AC">
            <w:pPr>
              <w:widowControl/>
              <w:jc w:val="left"/>
              <w:textAlignment w:val="center"/>
              <w:rPr>
                <w:rFonts w:hint="eastAsia" w:ascii="黑体" w:hAnsi="黑体" w:eastAsia="黑体" w:cs="楷体"/>
                <w:color w:val="000000"/>
                <w:szCs w:val="21"/>
              </w:rPr>
            </w:pPr>
            <w:r>
              <w:rPr>
                <w:rFonts w:hint="eastAsia" w:ascii="黑体" w:hAnsi="黑体" w:eastAsia="黑体" w:cs="楷体"/>
                <w:color w:val="000000"/>
                <w:kern w:val="0"/>
                <w:szCs w:val="21"/>
                <w:lang w:bidi="ar"/>
              </w:rPr>
              <w:t>眼压检查</w:t>
            </w:r>
          </w:p>
        </w:tc>
        <w:tc>
          <w:tcPr>
            <w:tcW w:w="1909" w:type="pct"/>
            <w:vMerge w:val="continue"/>
            <w:tcBorders>
              <w:left w:val="nil"/>
              <w:bottom w:val="single" w:color="auto" w:sz="4" w:space="0"/>
              <w:right w:val="single" w:color="000000" w:sz="8" w:space="0"/>
            </w:tcBorders>
          </w:tcPr>
          <w:p w14:paraId="5D1BF9FB">
            <w:pPr>
              <w:widowControl/>
              <w:jc w:val="center"/>
              <w:textAlignment w:val="center"/>
              <w:rPr>
                <w:rFonts w:hint="eastAsia" w:ascii="黑体" w:hAnsi="黑体" w:eastAsia="黑体" w:cs="楷体"/>
                <w:color w:val="000000"/>
                <w:kern w:val="0"/>
                <w:szCs w:val="21"/>
                <w:lang w:bidi="ar"/>
              </w:rPr>
            </w:pPr>
          </w:p>
        </w:tc>
      </w:tr>
      <w:tr w14:paraId="22715EEC">
        <w:tblPrEx>
          <w:tblCellMar>
            <w:top w:w="0" w:type="dxa"/>
            <w:left w:w="108" w:type="dxa"/>
            <w:bottom w:w="0" w:type="dxa"/>
            <w:right w:w="108" w:type="dxa"/>
          </w:tblCellMar>
        </w:tblPrEx>
        <w:trPr>
          <w:trHeight w:val="300" w:hRule="atLeast"/>
          <w:jc w:val="center"/>
        </w:trPr>
        <w:tc>
          <w:tcPr>
            <w:tcW w:w="600" w:type="pct"/>
            <w:tcBorders>
              <w:top w:val="nil"/>
              <w:left w:val="single" w:color="000000" w:sz="8" w:space="0"/>
              <w:bottom w:val="single" w:color="000000" w:sz="8" w:space="0"/>
              <w:right w:val="single" w:color="000000" w:sz="8" w:space="0"/>
            </w:tcBorders>
            <w:vAlign w:val="center"/>
          </w:tcPr>
          <w:p w14:paraId="648DDE58">
            <w:pPr>
              <w:widowControl/>
              <w:jc w:val="center"/>
              <w:textAlignment w:val="center"/>
              <w:rPr>
                <w:rFonts w:hint="eastAsia" w:ascii="黑体" w:hAnsi="黑体" w:eastAsia="黑体" w:cs="楷体"/>
                <w:color w:val="000000"/>
                <w:szCs w:val="21"/>
              </w:rPr>
            </w:pPr>
            <w:r>
              <w:rPr>
                <w:rFonts w:hint="eastAsia" w:ascii="黑体" w:hAnsi="黑体" w:eastAsia="黑体" w:cs="楷体"/>
                <w:color w:val="000000"/>
                <w:kern w:val="0"/>
                <w:szCs w:val="21"/>
                <w:lang w:bidi="ar"/>
              </w:rPr>
              <w:t>18</w:t>
            </w:r>
          </w:p>
        </w:tc>
        <w:tc>
          <w:tcPr>
            <w:tcW w:w="2491" w:type="pct"/>
            <w:tcBorders>
              <w:top w:val="nil"/>
              <w:left w:val="nil"/>
              <w:bottom w:val="single" w:color="000000" w:sz="8" w:space="0"/>
              <w:right w:val="single" w:color="000000" w:sz="8" w:space="0"/>
            </w:tcBorders>
            <w:vAlign w:val="center"/>
          </w:tcPr>
          <w:p w14:paraId="3197B2E2">
            <w:pPr>
              <w:widowControl/>
              <w:jc w:val="left"/>
              <w:textAlignment w:val="center"/>
              <w:rPr>
                <w:rFonts w:hint="eastAsia" w:ascii="黑体" w:hAnsi="黑体" w:eastAsia="黑体" w:cs="楷体"/>
                <w:color w:val="000000"/>
                <w:szCs w:val="21"/>
              </w:rPr>
            </w:pPr>
            <w:r>
              <w:rPr>
                <w:rFonts w:hint="eastAsia" w:ascii="黑体" w:hAnsi="黑体" w:eastAsia="黑体" w:cs="楷体"/>
                <w:color w:val="000000"/>
                <w:kern w:val="0"/>
                <w:szCs w:val="21"/>
                <w:lang w:bidi="ar"/>
              </w:rPr>
              <w:t>角膜曲率测量</w:t>
            </w:r>
          </w:p>
        </w:tc>
        <w:tc>
          <w:tcPr>
            <w:tcW w:w="1909" w:type="pct"/>
            <w:vMerge w:val="continue"/>
            <w:tcBorders>
              <w:left w:val="nil"/>
              <w:bottom w:val="single" w:color="auto" w:sz="4" w:space="0"/>
              <w:right w:val="single" w:color="000000" w:sz="8" w:space="0"/>
            </w:tcBorders>
          </w:tcPr>
          <w:p w14:paraId="04931FF0">
            <w:pPr>
              <w:widowControl/>
              <w:jc w:val="center"/>
              <w:textAlignment w:val="center"/>
              <w:rPr>
                <w:rFonts w:hint="eastAsia" w:ascii="黑体" w:hAnsi="黑体" w:eastAsia="黑体" w:cs="楷体"/>
                <w:color w:val="000000"/>
                <w:kern w:val="0"/>
                <w:szCs w:val="21"/>
                <w:lang w:bidi="ar"/>
              </w:rPr>
            </w:pPr>
          </w:p>
        </w:tc>
      </w:tr>
      <w:tr w14:paraId="435929DE">
        <w:tblPrEx>
          <w:tblCellMar>
            <w:top w:w="0" w:type="dxa"/>
            <w:left w:w="108" w:type="dxa"/>
            <w:bottom w:w="0" w:type="dxa"/>
            <w:right w:w="108" w:type="dxa"/>
          </w:tblCellMar>
        </w:tblPrEx>
        <w:trPr>
          <w:trHeight w:val="300" w:hRule="atLeast"/>
          <w:jc w:val="center"/>
        </w:trPr>
        <w:tc>
          <w:tcPr>
            <w:tcW w:w="600" w:type="pct"/>
            <w:tcBorders>
              <w:top w:val="nil"/>
              <w:left w:val="single" w:color="000000" w:sz="8" w:space="0"/>
              <w:bottom w:val="single" w:color="000000" w:sz="8" w:space="0"/>
              <w:right w:val="single" w:color="000000" w:sz="8" w:space="0"/>
            </w:tcBorders>
            <w:vAlign w:val="center"/>
          </w:tcPr>
          <w:p w14:paraId="72533AF4">
            <w:pPr>
              <w:widowControl/>
              <w:jc w:val="center"/>
              <w:textAlignment w:val="center"/>
              <w:rPr>
                <w:rFonts w:hint="eastAsia" w:ascii="黑体" w:hAnsi="黑体" w:eastAsia="黑体" w:cs="楷体"/>
                <w:color w:val="000000"/>
                <w:szCs w:val="21"/>
              </w:rPr>
            </w:pPr>
            <w:r>
              <w:rPr>
                <w:rFonts w:hint="eastAsia" w:ascii="黑体" w:hAnsi="黑体" w:eastAsia="黑体" w:cs="楷体"/>
                <w:color w:val="000000"/>
                <w:kern w:val="0"/>
                <w:szCs w:val="21"/>
                <w:lang w:bidi="ar"/>
              </w:rPr>
              <w:t>19</w:t>
            </w:r>
          </w:p>
        </w:tc>
        <w:tc>
          <w:tcPr>
            <w:tcW w:w="2491" w:type="pct"/>
            <w:tcBorders>
              <w:top w:val="nil"/>
              <w:left w:val="nil"/>
              <w:bottom w:val="single" w:color="000000" w:sz="8" w:space="0"/>
              <w:right w:val="single" w:color="000000" w:sz="8" w:space="0"/>
            </w:tcBorders>
            <w:vAlign w:val="center"/>
          </w:tcPr>
          <w:p w14:paraId="7E099DD2">
            <w:pPr>
              <w:widowControl/>
              <w:jc w:val="left"/>
              <w:textAlignment w:val="center"/>
              <w:rPr>
                <w:rFonts w:hint="eastAsia" w:ascii="黑体" w:hAnsi="黑体" w:eastAsia="黑体" w:cs="楷体"/>
                <w:color w:val="000000"/>
                <w:szCs w:val="21"/>
              </w:rPr>
            </w:pPr>
            <w:r>
              <w:rPr>
                <w:rFonts w:hint="eastAsia" w:ascii="黑体" w:hAnsi="黑体" w:eastAsia="黑体" w:cs="楷体"/>
                <w:color w:val="000000"/>
                <w:kern w:val="0"/>
                <w:szCs w:val="21"/>
                <w:lang w:bidi="ar"/>
              </w:rPr>
              <w:t>角膜地形图检查</w:t>
            </w:r>
          </w:p>
        </w:tc>
        <w:tc>
          <w:tcPr>
            <w:tcW w:w="1909" w:type="pct"/>
            <w:vMerge w:val="continue"/>
            <w:tcBorders>
              <w:left w:val="nil"/>
              <w:bottom w:val="single" w:color="auto" w:sz="4" w:space="0"/>
              <w:right w:val="single" w:color="000000" w:sz="8" w:space="0"/>
            </w:tcBorders>
          </w:tcPr>
          <w:p w14:paraId="0E05C6F2">
            <w:pPr>
              <w:widowControl/>
              <w:jc w:val="center"/>
              <w:textAlignment w:val="center"/>
              <w:rPr>
                <w:rFonts w:hint="eastAsia" w:ascii="黑体" w:hAnsi="黑体" w:eastAsia="黑体" w:cs="楷体"/>
                <w:color w:val="000000"/>
                <w:kern w:val="0"/>
                <w:szCs w:val="21"/>
                <w:lang w:bidi="ar"/>
              </w:rPr>
            </w:pPr>
          </w:p>
        </w:tc>
      </w:tr>
      <w:tr w14:paraId="597DFC5C">
        <w:tblPrEx>
          <w:tblCellMar>
            <w:top w:w="0" w:type="dxa"/>
            <w:left w:w="108" w:type="dxa"/>
            <w:bottom w:w="0" w:type="dxa"/>
            <w:right w:w="108" w:type="dxa"/>
          </w:tblCellMar>
        </w:tblPrEx>
        <w:trPr>
          <w:trHeight w:val="300" w:hRule="atLeast"/>
          <w:jc w:val="center"/>
        </w:trPr>
        <w:tc>
          <w:tcPr>
            <w:tcW w:w="600" w:type="pct"/>
            <w:tcBorders>
              <w:top w:val="nil"/>
              <w:left w:val="single" w:color="000000" w:sz="8" w:space="0"/>
              <w:bottom w:val="single" w:color="000000" w:sz="8" w:space="0"/>
              <w:right w:val="single" w:color="000000" w:sz="8" w:space="0"/>
            </w:tcBorders>
            <w:vAlign w:val="center"/>
          </w:tcPr>
          <w:p w14:paraId="4EA80C1B">
            <w:pPr>
              <w:widowControl/>
              <w:jc w:val="center"/>
              <w:textAlignment w:val="center"/>
              <w:rPr>
                <w:rFonts w:hint="eastAsia" w:ascii="黑体" w:hAnsi="黑体" w:eastAsia="黑体" w:cs="楷体"/>
                <w:color w:val="000000"/>
                <w:szCs w:val="21"/>
              </w:rPr>
            </w:pPr>
            <w:r>
              <w:rPr>
                <w:rFonts w:hint="eastAsia" w:ascii="黑体" w:hAnsi="黑体" w:eastAsia="黑体" w:cs="楷体"/>
                <w:color w:val="000000"/>
                <w:kern w:val="0"/>
                <w:szCs w:val="21"/>
                <w:lang w:bidi="ar"/>
              </w:rPr>
              <w:t>20</w:t>
            </w:r>
          </w:p>
        </w:tc>
        <w:tc>
          <w:tcPr>
            <w:tcW w:w="2491" w:type="pct"/>
            <w:tcBorders>
              <w:top w:val="nil"/>
              <w:left w:val="nil"/>
              <w:bottom w:val="single" w:color="000000" w:sz="8" w:space="0"/>
              <w:right w:val="single" w:color="000000" w:sz="8" w:space="0"/>
            </w:tcBorders>
            <w:vAlign w:val="center"/>
          </w:tcPr>
          <w:p w14:paraId="1FE53536">
            <w:pPr>
              <w:widowControl/>
              <w:jc w:val="left"/>
              <w:textAlignment w:val="center"/>
              <w:rPr>
                <w:rFonts w:hint="eastAsia" w:ascii="黑体" w:hAnsi="黑体" w:eastAsia="黑体" w:cs="楷体"/>
                <w:color w:val="000000"/>
                <w:szCs w:val="21"/>
              </w:rPr>
            </w:pPr>
            <w:r>
              <w:rPr>
                <w:rFonts w:hint="eastAsia" w:ascii="黑体" w:hAnsi="黑体" w:eastAsia="黑体" w:cs="楷体"/>
                <w:color w:val="000000"/>
                <w:kern w:val="0"/>
                <w:szCs w:val="21"/>
                <w:lang w:bidi="ar"/>
              </w:rPr>
              <w:t>马氏（Maddox）杆试验</w:t>
            </w:r>
          </w:p>
        </w:tc>
        <w:tc>
          <w:tcPr>
            <w:tcW w:w="1909" w:type="pct"/>
            <w:vMerge w:val="continue"/>
            <w:tcBorders>
              <w:left w:val="nil"/>
              <w:bottom w:val="single" w:color="auto" w:sz="4" w:space="0"/>
              <w:right w:val="single" w:color="000000" w:sz="8" w:space="0"/>
            </w:tcBorders>
          </w:tcPr>
          <w:p w14:paraId="43201E27">
            <w:pPr>
              <w:widowControl/>
              <w:jc w:val="center"/>
              <w:textAlignment w:val="center"/>
              <w:rPr>
                <w:rFonts w:hint="eastAsia" w:ascii="黑体" w:hAnsi="黑体" w:eastAsia="黑体" w:cs="楷体"/>
                <w:color w:val="000000"/>
                <w:kern w:val="0"/>
                <w:szCs w:val="21"/>
                <w:lang w:bidi="ar"/>
              </w:rPr>
            </w:pPr>
          </w:p>
        </w:tc>
      </w:tr>
      <w:tr w14:paraId="2256B7D2">
        <w:tblPrEx>
          <w:tblCellMar>
            <w:top w:w="0" w:type="dxa"/>
            <w:left w:w="108" w:type="dxa"/>
            <w:bottom w:w="0" w:type="dxa"/>
            <w:right w:w="108" w:type="dxa"/>
          </w:tblCellMar>
        </w:tblPrEx>
        <w:trPr>
          <w:trHeight w:val="300" w:hRule="atLeast"/>
          <w:jc w:val="center"/>
        </w:trPr>
        <w:tc>
          <w:tcPr>
            <w:tcW w:w="600" w:type="pct"/>
            <w:tcBorders>
              <w:top w:val="nil"/>
              <w:left w:val="single" w:color="000000" w:sz="8" w:space="0"/>
              <w:bottom w:val="single" w:color="000000" w:sz="8" w:space="0"/>
              <w:right w:val="single" w:color="000000" w:sz="8" w:space="0"/>
            </w:tcBorders>
            <w:vAlign w:val="center"/>
          </w:tcPr>
          <w:p w14:paraId="5147322F">
            <w:pPr>
              <w:widowControl/>
              <w:jc w:val="center"/>
              <w:textAlignment w:val="center"/>
              <w:rPr>
                <w:rFonts w:hint="eastAsia" w:ascii="黑体" w:hAnsi="黑体" w:eastAsia="黑体" w:cs="楷体"/>
                <w:color w:val="000000"/>
                <w:szCs w:val="21"/>
              </w:rPr>
            </w:pPr>
            <w:r>
              <w:rPr>
                <w:rFonts w:hint="eastAsia" w:ascii="黑体" w:hAnsi="黑体" w:eastAsia="黑体" w:cs="楷体"/>
                <w:color w:val="000000"/>
                <w:kern w:val="0"/>
                <w:szCs w:val="21"/>
                <w:lang w:bidi="ar"/>
              </w:rPr>
              <w:t>21</w:t>
            </w:r>
          </w:p>
        </w:tc>
        <w:tc>
          <w:tcPr>
            <w:tcW w:w="2491" w:type="pct"/>
            <w:tcBorders>
              <w:top w:val="nil"/>
              <w:left w:val="nil"/>
              <w:bottom w:val="single" w:color="000000" w:sz="8" w:space="0"/>
              <w:right w:val="single" w:color="000000" w:sz="8" w:space="0"/>
            </w:tcBorders>
            <w:vAlign w:val="center"/>
          </w:tcPr>
          <w:p w14:paraId="335D09F8">
            <w:pPr>
              <w:widowControl/>
              <w:jc w:val="left"/>
              <w:textAlignment w:val="center"/>
              <w:rPr>
                <w:rFonts w:hint="eastAsia" w:ascii="黑体" w:hAnsi="黑体" w:eastAsia="黑体" w:cs="楷体"/>
                <w:color w:val="000000"/>
                <w:szCs w:val="21"/>
              </w:rPr>
            </w:pPr>
            <w:r>
              <w:rPr>
                <w:rFonts w:hint="eastAsia" w:ascii="黑体" w:hAnsi="黑体" w:eastAsia="黑体" w:cs="楷体"/>
                <w:color w:val="000000"/>
                <w:kern w:val="0"/>
                <w:szCs w:val="21"/>
                <w:lang w:bidi="ar"/>
              </w:rPr>
              <w:t>协调器治疗</w:t>
            </w:r>
          </w:p>
        </w:tc>
        <w:tc>
          <w:tcPr>
            <w:tcW w:w="1909" w:type="pct"/>
            <w:vMerge w:val="continue"/>
            <w:tcBorders>
              <w:left w:val="nil"/>
              <w:bottom w:val="single" w:color="auto" w:sz="4" w:space="0"/>
              <w:right w:val="single" w:color="000000" w:sz="8" w:space="0"/>
            </w:tcBorders>
          </w:tcPr>
          <w:p w14:paraId="01EC6A0F">
            <w:pPr>
              <w:widowControl/>
              <w:jc w:val="center"/>
              <w:textAlignment w:val="center"/>
              <w:rPr>
                <w:rFonts w:hint="eastAsia" w:ascii="黑体" w:hAnsi="黑体" w:eastAsia="黑体" w:cs="楷体"/>
                <w:color w:val="000000"/>
                <w:kern w:val="0"/>
                <w:szCs w:val="21"/>
                <w:lang w:bidi="ar"/>
              </w:rPr>
            </w:pPr>
          </w:p>
        </w:tc>
      </w:tr>
      <w:tr w14:paraId="4842F2C6">
        <w:tblPrEx>
          <w:tblCellMar>
            <w:top w:w="0" w:type="dxa"/>
            <w:left w:w="108" w:type="dxa"/>
            <w:bottom w:w="0" w:type="dxa"/>
            <w:right w:w="108" w:type="dxa"/>
          </w:tblCellMar>
        </w:tblPrEx>
        <w:trPr>
          <w:trHeight w:val="300" w:hRule="atLeast"/>
          <w:jc w:val="center"/>
        </w:trPr>
        <w:tc>
          <w:tcPr>
            <w:tcW w:w="600" w:type="pct"/>
            <w:tcBorders>
              <w:top w:val="nil"/>
              <w:left w:val="single" w:color="000000" w:sz="8" w:space="0"/>
              <w:bottom w:val="single" w:color="auto" w:sz="4" w:space="0"/>
              <w:right w:val="single" w:color="000000" w:sz="8" w:space="0"/>
            </w:tcBorders>
            <w:vAlign w:val="center"/>
          </w:tcPr>
          <w:p w14:paraId="73D6A8C9">
            <w:pPr>
              <w:widowControl/>
              <w:jc w:val="center"/>
              <w:textAlignment w:val="center"/>
              <w:rPr>
                <w:rFonts w:hint="eastAsia" w:ascii="黑体" w:hAnsi="黑体" w:eastAsia="黑体" w:cs="楷体"/>
                <w:color w:val="000000"/>
                <w:szCs w:val="21"/>
              </w:rPr>
            </w:pPr>
            <w:r>
              <w:rPr>
                <w:rFonts w:hint="eastAsia" w:ascii="黑体" w:hAnsi="黑体" w:eastAsia="黑体" w:cs="楷体"/>
                <w:color w:val="000000"/>
                <w:kern w:val="0"/>
                <w:szCs w:val="21"/>
                <w:lang w:bidi="ar"/>
              </w:rPr>
              <w:t>22</w:t>
            </w:r>
          </w:p>
        </w:tc>
        <w:tc>
          <w:tcPr>
            <w:tcW w:w="2491" w:type="pct"/>
            <w:tcBorders>
              <w:top w:val="nil"/>
              <w:left w:val="nil"/>
              <w:bottom w:val="single" w:color="auto" w:sz="4" w:space="0"/>
              <w:right w:val="single" w:color="000000" w:sz="8" w:space="0"/>
            </w:tcBorders>
            <w:vAlign w:val="center"/>
          </w:tcPr>
          <w:p w14:paraId="0D161B63">
            <w:pPr>
              <w:widowControl/>
              <w:jc w:val="left"/>
              <w:textAlignment w:val="center"/>
              <w:rPr>
                <w:rFonts w:hint="eastAsia" w:ascii="黑体" w:hAnsi="黑体" w:eastAsia="黑体" w:cs="楷体"/>
                <w:color w:val="000000"/>
                <w:szCs w:val="21"/>
              </w:rPr>
            </w:pPr>
            <w:r>
              <w:rPr>
                <w:rFonts w:hint="eastAsia" w:ascii="黑体" w:hAnsi="黑体" w:eastAsia="黑体" w:cs="楷体"/>
                <w:color w:val="000000"/>
                <w:kern w:val="0"/>
                <w:szCs w:val="21"/>
                <w:lang w:bidi="ar"/>
              </w:rPr>
              <w:t>后像治疗</w:t>
            </w:r>
          </w:p>
        </w:tc>
        <w:tc>
          <w:tcPr>
            <w:tcW w:w="1909" w:type="pct"/>
            <w:vMerge w:val="continue"/>
            <w:tcBorders>
              <w:left w:val="nil"/>
              <w:bottom w:val="single" w:color="auto" w:sz="4" w:space="0"/>
              <w:right w:val="single" w:color="000000" w:sz="8" w:space="0"/>
            </w:tcBorders>
          </w:tcPr>
          <w:p w14:paraId="4C3D24D2">
            <w:pPr>
              <w:widowControl/>
              <w:jc w:val="center"/>
              <w:textAlignment w:val="center"/>
              <w:rPr>
                <w:rFonts w:hint="eastAsia" w:ascii="黑体" w:hAnsi="黑体" w:eastAsia="黑体" w:cs="楷体"/>
                <w:color w:val="000000"/>
                <w:kern w:val="0"/>
                <w:szCs w:val="21"/>
                <w:lang w:bidi="ar"/>
              </w:rPr>
            </w:pPr>
          </w:p>
        </w:tc>
      </w:tr>
      <w:tr w14:paraId="110FD752">
        <w:tblPrEx>
          <w:tblCellMar>
            <w:top w:w="0" w:type="dxa"/>
            <w:left w:w="108" w:type="dxa"/>
            <w:bottom w:w="0" w:type="dxa"/>
            <w:right w:w="108" w:type="dxa"/>
          </w:tblCellMar>
        </w:tblPrEx>
        <w:trPr>
          <w:trHeight w:val="300" w:hRule="atLeast"/>
          <w:jc w:val="center"/>
        </w:trPr>
        <w:tc>
          <w:tcPr>
            <w:tcW w:w="600" w:type="pct"/>
            <w:tcBorders>
              <w:top w:val="single" w:color="auto" w:sz="4" w:space="0"/>
              <w:left w:val="single" w:color="000000" w:sz="8" w:space="0"/>
              <w:bottom w:val="single" w:color="auto" w:sz="4" w:space="0"/>
              <w:right w:val="single" w:color="000000" w:sz="8" w:space="0"/>
            </w:tcBorders>
            <w:vAlign w:val="center"/>
          </w:tcPr>
          <w:p w14:paraId="4B687191">
            <w:pPr>
              <w:widowControl/>
              <w:jc w:val="center"/>
              <w:textAlignment w:val="center"/>
              <w:rPr>
                <w:rFonts w:hint="eastAsia" w:ascii="黑体" w:hAnsi="黑体" w:eastAsia="黑体" w:cs="楷体"/>
                <w:color w:val="000000"/>
                <w:szCs w:val="21"/>
              </w:rPr>
            </w:pPr>
            <w:r>
              <w:rPr>
                <w:rFonts w:hint="eastAsia" w:ascii="黑体" w:hAnsi="黑体" w:eastAsia="黑体" w:cs="楷体"/>
                <w:color w:val="000000"/>
                <w:kern w:val="0"/>
                <w:szCs w:val="21"/>
                <w:lang w:bidi="ar"/>
              </w:rPr>
              <w:t>23</w:t>
            </w:r>
          </w:p>
        </w:tc>
        <w:tc>
          <w:tcPr>
            <w:tcW w:w="2491" w:type="pct"/>
            <w:tcBorders>
              <w:top w:val="single" w:color="auto" w:sz="4" w:space="0"/>
              <w:left w:val="nil"/>
              <w:bottom w:val="single" w:color="auto" w:sz="4" w:space="0"/>
              <w:right w:val="single" w:color="000000" w:sz="8" w:space="0"/>
            </w:tcBorders>
            <w:vAlign w:val="center"/>
          </w:tcPr>
          <w:p w14:paraId="00D9A723">
            <w:pPr>
              <w:widowControl/>
              <w:jc w:val="left"/>
              <w:textAlignment w:val="center"/>
              <w:rPr>
                <w:rFonts w:hint="eastAsia" w:ascii="黑体" w:hAnsi="黑体" w:eastAsia="黑体" w:cs="楷体"/>
                <w:color w:val="000000"/>
                <w:szCs w:val="21"/>
              </w:rPr>
            </w:pPr>
            <w:r>
              <w:rPr>
                <w:rFonts w:hint="eastAsia" w:ascii="黑体" w:hAnsi="黑体" w:eastAsia="黑体" w:cs="楷体"/>
                <w:color w:val="000000"/>
                <w:kern w:val="0"/>
                <w:szCs w:val="21"/>
                <w:lang w:bidi="ar"/>
              </w:rPr>
              <w:t>双眼单视功能训练</w:t>
            </w:r>
          </w:p>
        </w:tc>
        <w:tc>
          <w:tcPr>
            <w:tcW w:w="1909" w:type="pct"/>
            <w:vMerge w:val="continue"/>
            <w:tcBorders>
              <w:top w:val="single" w:color="auto" w:sz="4" w:space="0"/>
              <w:left w:val="nil"/>
              <w:bottom w:val="single" w:color="auto" w:sz="4" w:space="0"/>
              <w:right w:val="single" w:color="000000" w:sz="8" w:space="0"/>
            </w:tcBorders>
          </w:tcPr>
          <w:p w14:paraId="6AFDE55F">
            <w:pPr>
              <w:widowControl/>
              <w:jc w:val="center"/>
              <w:textAlignment w:val="center"/>
              <w:rPr>
                <w:rFonts w:hint="eastAsia" w:ascii="黑体" w:hAnsi="黑体" w:eastAsia="黑体" w:cs="楷体"/>
                <w:color w:val="000000"/>
                <w:kern w:val="0"/>
                <w:szCs w:val="21"/>
                <w:lang w:bidi="ar"/>
              </w:rPr>
            </w:pPr>
          </w:p>
        </w:tc>
      </w:tr>
      <w:tr w14:paraId="359348BF">
        <w:tblPrEx>
          <w:tblCellMar>
            <w:top w:w="0" w:type="dxa"/>
            <w:left w:w="108" w:type="dxa"/>
            <w:bottom w:w="0" w:type="dxa"/>
            <w:right w:w="108" w:type="dxa"/>
          </w:tblCellMar>
        </w:tblPrEx>
        <w:trPr>
          <w:trHeight w:val="300" w:hRule="atLeast"/>
          <w:jc w:val="center"/>
        </w:trPr>
        <w:tc>
          <w:tcPr>
            <w:tcW w:w="600" w:type="pct"/>
            <w:tcBorders>
              <w:top w:val="single" w:color="auto" w:sz="4" w:space="0"/>
              <w:left w:val="single" w:color="000000" w:sz="8" w:space="0"/>
              <w:bottom w:val="single" w:color="auto" w:sz="4" w:space="0"/>
              <w:right w:val="single" w:color="000000" w:sz="8" w:space="0"/>
            </w:tcBorders>
            <w:vAlign w:val="center"/>
          </w:tcPr>
          <w:p w14:paraId="27C40DDA">
            <w:pPr>
              <w:widowControl/>
              <w:jc w:val="center"/>
              <w:textAlignment w:val="center"/>
              <w:rPr>
                <w:rFonts w:hint="eastAsia" w:ascii="黑体" w:hAnsi="黑体" w:eastAsia="黑体" w:cs="楷体"/>
                <w:color w:val="000000"/>
                <w:szCs w:val="21"/>
              </w:rPr>
            </w:pPr>
            <w:r>
              <w:rPr>
                <w:rFonts w:hint="eastAsia" w:ascii="黑体" w:hAnsi="黑体" w:eastAsia="黑体" w:cs="楷体"/>
                <w:color w:val="000000"/>
                <w:kern w:val="0"/>
                <w:szCs w:val="21"/>
                <w:lang w:bidi="ar"/>
              </w:rPr>
              <w:t>24</w:t>
            </w:r>
          </w:p>
        </w:tc>
        <w:tc>
          <w:tcPr>
            <w:tcW w:w="2491" w:type="pct"/>
            <w:tcBorders>
              <w:top w:val="single" w:color="auto" w:sz="4" w:space="0"/>
              <w:left w:val="nil"/>
              <w:bottom w:val="single" w:color="auto" w:sz="4" w:space="0"/>
              <w:right w:val="single" w:color="000000" w:sz="8" w:space="0"/>
            </w:tcBorders>
            <w:vAlign w:val="center"/>
          </w:tcPr>
          <w:p w14:paraId="27542C5A">
            <w:pPr>
              <w:widowControl/>
              <w:jc w:val="left"/>
              <w:textAlignment w:val="center"/>
              <w:rPr>
                <w:rFonts w:hint="eastAsia" w:ascii="黑体" w:hAnsi="黑体" w:eastAsia="黑体" w:cs="楷体"/>
                <w:color w:val="000000"/>
                <w:szCs w:val="21"/>
              </w:rPr>
            </w:pPr>
            <w:r>
              <w:rPr>
                <w:rFonts w:hint="eastAsia" w:ascii="黑体" w:hAnsi="黑体" w:eastAsia="黑体" w:cs="楷体"/>
                <w:color w:val="000000"/>
                <w:kern w:val="0"/>
                <w:szCs w:val="21"/>
                <w:lang w:bidi="ar"/>
              </w:rPr>
              <w:t>弱视训练</w:t>
            </w:r>
          </w:p>
        </w:tc>
        <w:tc>
          <w:tcPr>
            <w:tcW w:w="1909" w:type="pct"/>
            <w:vMerge w:val="continue"/>
            <w:tcBorders>
              <w:top w:val="single" w:color="auto" w:sz="4" w:space="0"/>
              <w:left w:val="nil"/>
              <w:bottom w:val="single" w:color="auto" w:sz="4" w:space="0"/>
              <w:right w:val="single" w:color="000000" w:sz="8" w:space="0"/>
            </w:tcBorders>
          </w:tcPr>
          <w:p w14:paraId="4C1FC582">
            <w:pPr>
              <w:widowControl/>
              <w:jc w:val="center"/>
              <w:textAlignment w:val="center"/>
              <w:rPr>
                <w:rFonts w:hint="eastAsia" w:ascii="黑体" w:hAnsi="黑体" w:eastAsia="黑体" w:cs="楷体"/>
                <w:color w:val="000000"/>
                <w:kern w:val="0"/>
                <w:szCs w:val="21"/>
                <w:lang w:bidi="ar"/>
              </w:rPr>
            </w:pPr>
          </w:p>
        </w:tc>
      </w:tr>
    </w:tbl>
    <w:p w14:paraId="2E117555">
      <w:pPr>
        <w:rPr>
          <w:rFonts w:hint="eastAsia" w:ascii="黑体" w:hAnsi="黑体" w:eastAsia="黑体"/>
          <w:szCs w:val="21"/>
        </w:rPr>
      </w:pPr>
    </w:p>
    <w:p w14:paraId="6ECF04FC">
      <w:pPr>
        <w:rPr>
          <w:rFonts w:hint="eastAsia" w:ascii="黑体" w:hAnsi="黑体" w:eastAsia="黑体"/>
          <w:szCs w:val="21"/>
        </w:rPr>
      </w:pPr>
      <w:r>
        <w:rPr>
          <w:rFonts w:hint="eastAsia" w:ascii="黑体" w:hAnsi="黑体" w:eastAsia="黑体"/>
          <w:szCs w:val="21"/>
        </w:rPr>
        <w:t>（三）拓展检查项目服务清单</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4"/>
        <w:gridCol w:w="4106"/>
        <w:gridCol w:w="3714"/>
      </w:tblGrid>
      <w:tr w14:paraId="03DF6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74" w:type="pct"/>
            <w:vAlign w:val="center"/>
          </w:tcPr>
          <w:p w14:paraId="16FF1FDA">
            <w:pPr>
              <w:widowControl/>
              <w:jc w:val="center"/>
              <w:textAlignment w:val="center"/>
              <w:rPr>
                <w:rFonts w:hint="eastAsia" w:ascii="黑体" w:hAnsi="黑体" w:eastAsia="黑体" w:cs="楷体"/>
                <w:color w:val="000000"/>
                <w:kern w:val="0"/>
                <w:sz w:val="22"/>
                <w:lang w:bidi="ar"/>
              </w:rPr>
            </w:pPr>
            <w:r>
              <w:rPr>
                <w:rFonts w:hint="eastAsia" w:ascii="黑体" w:hAnsi="黑体" w:eastAsia="黑体" w:cs="楷体"/>
                <w:color w:val="000000"/>
                <w:kern w:val="0"/>
                <w:sz w:val="22"/>
                <w:lang w:bidi="ar"/>
              </w:rPr>
              <w:t>序号</w:t>
            </w:r>
          </w:p>
        </w:tc>
        <w:tc>
          <w:tcPr>
            <w:tcW w:w="2324" w:type="pct"/>
            <w:vAlign w:val="center"/>
          </w:tcPr>
          <w:p w14:paraId="54759BAD">
            <w:pPr>
              <w:widowControl/>
              <w:jc w:val="center"/>
              <w:textAlignment w:val="center"/>
              <w:rPr>
                <w:rFonts w:hint="eastAsia" w:ascii="黑体" w:hAnsi="黑体" w:eastAsia="黑体" w:cs="楷体"/>
                <w:color w:val="000000"/>
                <w:kern w:val="0"/>
                <w:sz w:val="22"/>
                <w:lang w:bidi="ar"/>
              </w:rPr>
            </w:pPr>
            <w:r>
              <w:rPr>
                <w:rFonts w:hint="eastAsia" w:ascii="黑体" w:hAnsi="黑体" w:eastAsia="黑体" w:cs="楷体"/>
                <w:color w:val="000000"/>
                <w:kern w:val="0"/>
                <w:sz w:val="22"/>
                <w:lang w:bidi="ar"/>
              </w:rPr>
              <w:t>项目名称</w:t>
            </w:r>
          </w:p>
        </w:tc>
        <w:tc>
          <w:tcPr>
            <w:tcW w:w="2102" w:type="pct"/>
          </w:tcPr>
          <w:p w14:paraId="6295D7C5">
            <w:pPr>
              <w:widowControl/>
              <w:jc w:val="center"/>
              <w:textAlignment w:val="center"/>
              <w:rPr>
                <w:rFonts w:hint="eastAsia" w:ascii="黑体" w:hAnsi="黑体" w:eastAsia="黑体"/>
                <w:color w:val="000000"/>
                <w:kern w:val="0"/>
                <w:sz w:val="24"/>
              </w:rPr>
            </w:pPr>
            <w:r>
              <w:rPr>
                <w:rFonts w:hint="eastAsia" w:ascii="黑体" w:hAnsi="黑体" w:eastAsia="黑体"/>
                <w:color w:val="000000"/>
                <w:kern w:val="0"/>
                <w:sz w:val="24"/>
              </w:rPr>
              <w:t>报价（费率）</w:t>
            </w:r>
          </w:p>
        </w:tc>
      </w:tr>
      <w:tr w14:paraId="168B8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74" w:type="pct"/>
            <w:vAlign w:val="center"/>
          </w:tcPr>
          <w:p w14:paraId="2BB2B3BD">
            <w:pPr>
              <w:widowControl/>
              <w:jc w:val="center"/>
              <w:textAlignment w:val="center"/>
              <w:rPr>
                <w:rFonts w:hint="eastAsia" w:ascii="黑体" w:hAnsi="黑体" w:eastAsia="黑体" w:cs="楷体"/>
                <w:color w:val="000000"/>
                <w:kern w:val="0"/>
                <w:sz w:val="22"/>
                <w:lang w:bidi="ar"/>
              </w:rPr>
            </w:pPr>
            <w:r>
              <w:rPr>
                <w:rFonts w:hint="eastAsia" w:ascii="黑体" w:hAnsi="黑体" w:eastAsia="黑体" w:cs="楷体"/>
                <w:color w:val="000000"/>
                <w:kern w:val="0"/>
                <w:sz w:val="22"/>
                <w:lang w:bidi="ar"/>
              </w:rPr>
              <w:t>1</w:t>
            </w:r>
          </w:p>
        </w:tc>
        <w:tc>
          <w:tcPr>
            <w:tcW w:w="2324" w:type="pct"/>
            <w:vAlign w:val="center"/>
          </w:tcPr>
          <w:p w14:paraId="01A6329B">
            <w:pPr>
              <w:widowControl/>
              <w:textAlignment w:val="center"/>
              <w:rPr>
                <w:rFonts w:hint="eastAsia" w:ascii="黑体" w:hAnsi="黑体" w:eastAsia="黑体" w:cs="楷体"/>
                <w:color w:val="000000"/>
                <w:kern w:val="0"/>
                <w:sz w:val="22"/>
                <w:lang w:bidi="ar"/>
              </w:rPr>
            </w:pPr>
            <w:r>
              <w:rPr>
                <w:rFonts w:hint="eastAsia" w:ascii="黑体" w:hAnsi="黑体" w:eastAsia="黑体" w:cs="楷体"/>
                <w:color w:val="000000"/>
                <w:kern w:val="0"/>
                <w:sz w:val="22"/>
                <w:lang w:bidi="ar"/>
              </w:rPr>
              <w:t>计算机图文报告</w:t>
            </w:r>
          </w:p>
        </w:tc>
        <w:tc>
          <w:tcPr>
            <w:tcW w:w="2102" w:type="pct"/>
            <w:vMerge w:val="restart"/>
          </w:tcPr>
          <w:p w14:paraId="38E6C0CF">
            <w:pPr>
              <w:widowControl/>
              <w:jc w:val="center"/>
              <w:textAlignment w:val="center"/>
              <w:rPr>
                <w:rFonts w:hint="eastAsia" w:ascii="黑体" w:hAnsi="黑体" w:eastAsia="黑体" w:cs="楷体"/>
                <w:color w:val="000000"/>
                <w:kern w:val="0"/>
                <w:sz w:val="22"/>
                <w:lang w:bidi="ar"/>
              </w:rPr>
            </w:pPr>
          </w:p>
        </w:tc>
      </w:tr>
      <w:tr w14:paraId="54090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74" w:type="pct"/>
            <w:vAlign w:val="center"/>
          </w:tcPr>
          <w:p w14:paraId="01948623">
            <w:pPr>
              <w:widowControl/>
              <w:jc w:val="center"/>
              <w:textAlignment w:val="center"/>
              <w:rPr>
                <w:rFonts w:hint="eastAsia" w:ascii="黑体" w:hAnsi="黑体" w:eastAsia="黑体" w:cs="楷体"/>
                <w:color w:val="000000"/>
                <w:kern w:val="0"/>
                <w:sz w:val="22"/>
                <w:lang w:bidi="ar"/>
              </w:rPr>
            </w:pPr>
            <w:r>
              <w:rPr>
                <w:rFonts w:hint="eastAsia" w:ascii="黑体" w:hAnsi="黑体" w:eastAsia="黑体"/>
                <w:color w:val="000000"/>
                <w:sz w:val="22"/>
                <w:szCs w:val="22"/>
              </w:rPr>
              <w:t>2</w:t>
            </w:r>
          </w:p>
        </w:tc>
        <w:tc>
          <w:tcPr>
            <w:tcW w:w="2324" w:type="pct"/>
            <w:vAlign w:val="center"/>
          </w:tcPr>
          <w:p w14:paraId="39EA8DFC">
            <w:pPr>
              <w:widowControl/>
              <w:rPr>
                <w:rFonts w:hint="eastAsia" w:ascii="黑体" w:hAnsi="黑体" w:eastAsia="黑体"/>
                <w:color w:val="000000"/>
                <w:sz w:val="22"/>
                <w:szCs w:val="22"/>
              </w:rPr>
            </w:pPr>
            <w:r>
              <w:rPr>
                <w:rFonts w:hint="eastAsia" w:ascii="黑体" w:hAnsi="黑体" w:eastAsia="黑体"/>
                <w:color w:val="000000"/>
                <w:sz w:val="22"/>
                <w:szCs w:val="22"/>
              </w:rPr>
              <w:t>眼前段照相</w:t>
            </w:r>
          </w:p>
        </w:tc>
        <w:tc>
          <w:tcPr>
            <w:tcW w:w="2102" w:type="pct"/>
            <w:vMerge w:val="continue"/>
          </w:tcPr>
          <w:p w14:paraId="45A91871">
            <w:pPr>
              <w:widowControl/>
              <w:jc w:val="center"/>
              <w:textAlignment w:val="center"/>
              <w:rPr>
                <w:rFonts w:hint="eastAsia" w:ascii="黑体" w:hAnsi="黑体" w:eastAsia="黑体" w:cs="楷体"/>
                <w:color w:val="000000"/>
                <w:kern w:val="0"/>
                <w:sz w:val="22"/>
                <w:lang w:bidi="ar"/>
              </w:rPr>
            </w:pPr>
          </w:p>
        </w:tc>
      </w:tr>
      <w:tr w14:paraId="6019D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74" w:type="pct"/>
            <w:vAlign w:val="center"/>
          </w:tcPr>
          <w:p w14:paraId="79934F92">
            <w:pPr>
              <w:widowControl/>
              <w:jc w:val="center"/>
              <w:textAlignment w:val="center"/>
              <w:rPr>
                <w:rFonts w:hint="eastAsia" w:ascii="黑体" w:hAnsi="黑体" w:eastAsia="黑体" w:cs="楷体"/>
                <w:color w:val="000000"/>
                <w:kern w:val="0"/>
                <w:sz w:val="22"/>
                <w:lang w:bidi="ar"/>
              </w:rPr>
            </w:pPr>
            <w:r>
              <w:rPr>
                <w:rFonts w:hint="eastAsia" w:ascii="黑体" w:hAnsi="黑体" w:eastAsia="黑体"/>
                <w:color w:val="000000"/>
                <w:sz w:val="22"/>
                <w:szCs w:val="22"/>
              </w:rPr>
              <w:t>3</w:t>
            </w:r>
          </w:p>
        </w:tc>
        <w:tc>
          <w:tcPr>
            <w:tcW w:w="2324" w:type="pct"/>
            <w:vAlign w:val="center"/>
          </w:tcPr>
          <w:p w14:paraId="2360882E">
            <w:pPr>
              <w:widowControl/>
              <w:rPr>
                <w:rFonts w:hint="eastAsia" w:ascii="黑体" w:hAnsi="黑体" w:eastAsia="黑体"/>
                <w:color w:val="000000"/>
                <w:sz w:val="22"/>
                <w:szCs w:val="22"/>
              </w:rPr>
            </w:pPr>
            <w:r>
              <w:rPr>
                <w:rFonts w:hint="eastAsia" w:ascii="黑体" w:hAnsi="黑体" w:eastAsia="黑体"/>
                <w:color w:val="000000"/>
                <w:sz w:val="22"/>
                <w:szCs w:val="22"/>
              </w:rPr>
              <w:t>眼位照相</w:t>
            </w:r>
          </w:p>
        </w:tc>
        <w:tc>
          <w:tcPr>
            <w:tcW w:w="2102" w:type="pct"/>
            <w:vMerge w:val="continue"/>
          </w:tcPr>
          <w:p w14:paraId="539F204E">
            <w:pPr>
              <w:widowControl/>
              <w:jc w:val="center"/>
              <w:textAlignment w:val="center"/>
              <w:rPr>
                <w:rFonts w:hint="eastAsia" w:ascii="黑体" w:hAnsi="黑体" w:eastAsia="黑体" w:cs="楷体"/>
                <w:color w:val="000000"/>
                <w:kern w:val="0"/>
                <w:sz w:val="22"/>
                <w:lang w:bidi="ar"/>
              </w:rPr>
            </w:pPr>
          </w:p>
        </w:tc>
      </w:tr>
      <w:tr w14:paraId="2DA98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74" w:type="pct"/>
            <w:vAlign w:val="center"/>
          </w:tcPr>
          <w:p w14:paraId="5B88F3F2">
            <w:pPr>
              <w:widowControl/>
              <w:jc w:val="center"/>
              <w:textAlignment w:val="center"/>
              <w:rPr>
                <w:rFonts w:hint="eastAsia" w:ascii="黑体" w:hAnsi="黑体" w:eastAsia="黑体" w:cs="楷体"/>
                <w:color w:val="000000"/>
                <w:kern w:val="0"/>
                <w:sz w:val="22"/>
                <w:lang w:bidi="ar"/>
              </w:rPr>
            </w:pPr>
            <w:r>
              <w:rPr>
                <w:rFonts w:hint="eastAsia" w:ascii="黑体" w:hAnsi="黑体" w:eastAsia="黑体"/>
                <w:color w:val="000000"/>
                <w:sz w:val="22"/>
                <w:szCs w:val="22"/>
              </w:rPr>
              <w:t>4</w:t>
            </w:r>
          </w:p>
        </w:tc>
        <w:tc>
          <w:tcPr>
            <w:tcW w:w="2324" w:type="pct"/>
            <w:vAlign w:val="center"/>
          </w:tcPr>
          <w:p w14:paraId="30037550">
            <w:pPr>
              <w:widowControl/>
              <w:rPr>
                <w:rFonts w:hint="eastAsia" w:ascii="黑体" w:hAnsi="黑体" w:eastAsia="黑体"/>
                <w:color w:val="000000"/>
                <w:sz w:val="22"/>
                <w:szCs w:val="22"/>
              </w:rPr>
            </w:pPr>
            <w:r>
              <w:rPr>
                <w:rFonts w:hint="eastAsia" w:ascii="黑体" w:hAnsi="黑体" w:eastAsia="黑体"/>
                <w:color w:val="000000"/>
                <w:sz w:val="22"/>
                <w:szCs w:val="22"/>
              </w:rPr>
              <w:t>眼底照相</w:t>
            </w:r>
          </w:p>
        </w:tc>
        <w:tc>
          <w:tcPr>
            <w:tcW w:w="2102" w:type="pct"/>
            <w:vMerge w:val="continue"/>
          </w:tcPr>
          <w:p w14:paraId="1D514343">
            <w:pPr>
              <w:widowControl/>
              <w:jc w:val="center"/>
              <w:textAlignment w:val="center"/>
              <w:rPr>
                <w:rFonts w:hint="eastAsia" w:ascii="黑体" w:hAnsi="黑体" w:eastAsia="黑体" w:cs="楷体"/>
                <w:color w:val="000000"/>
                <w:kern w:val="0"/>
                <w:sz w:val="22"/>
                <w:lang w:bidi="ar"/>
              </w:rPr>
            </w:pPr>
          </w:p>
        </w:tc>
      </w:tr>
      <w:tr w14:paraId="03339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74" w:type="pct"/>
            <w:vAlign w:val="center"/>
          </w:tcPr>
          <w:p w14:paraId="5CE9382E">
            <w:pPr>
              <w:widowControl/>
              <w:jc w:val="center"/>
              <w:textAlignment w:val="center"/>
              <w:rPr>
                <w:rFonts w:hint="eastAsia" w:ascii="黑体" w:hAnsi="黑体" w:eastAsia="黑体"/>
                <w:color w:val="000000"/>
                <w:sz w:val="22"/>
                <w:szCs w:val="22"/>
              </w:rPr>
            </w:pPr>
            <w:r>
              <w:rPr>
                <w:rFonts w:hint="eastAsia" w:ascii="黑体" w:hAnsi="黑体" w:eastAsia="黑体"/>
                <w:color w:val="000000"/>
                <w:sz w:val="22"/>
                <w:szCs w:val="22"/>
              </w:rPr>
              <w:t>5</w:t>
            </w:r>
          </w:p>
        </w:tc>
        <w:tc>
          <w:tcPr>
            <w:tcW w:w="2324" w:type="pct"/>
            <w:vAlign w:val="center"/>
          </w:tcPr>
          <w:p w14:paraId="7A1D23CF">
            <w:pPr>
              <w:widowControl/>
              <w:textAlignment w:val="center"/>
              <w:rPr>
                <w:rFonts w:hint="eastAsia" w:ascii="黑体" w:hAnsi="黑体" w:eastAsia="黑体" w:cs="楷体"/>
                <w:color w:val="000000"/>
                <w:kern w:val="0"/>
                <w:sz w:val="22"/>
                <w:lang w:bidi="ar"/>
              </w:rPr>
            </w:pPr>
            <w:r>
              <w:rPr>
                <w:rFonts w:hint="eastAsia" w:ascii="黑体" w:hAnsi="黑体" w:eastAsia="黑体" w:cs="楷体"/>
                <w:color w:val="000000"/>
                <w:kern w:val="0"/>
                <w:sz w:val="22"/>
                <w:szCs w:val="22"/>
                <w:lang w:bidi="ar"/>
              </w:rPr>
              <w:t>听力筛查</w:t>
            </w:r>
          </w:p>
        </w:tc>
        <w:tc>
          <w:tcPr>
            <w:tcW w:w="2102" w:type="pct"/>
            <w:vMerge w:val="continue"/>
          </w:tcPr>
          <w:p w14:paraId="54F7AE1F">
            <w:pPr>
              <w:widowControl/>
              <w:jc w:val="center"/>
              <w:textAlignment w:val="center"/>
              <w:rPr>
                <w:rFonts w:hint="eastAsia" w:ascii="黑体" w:hAnsi="黑体" w:eastAsia="黑体" w:cs="楷体"/>
                <w:color w:val="000000"/>
                <w:kern w:val="0"/>
                <w:sz w:val="22"/>
                <w:lang w:bidi="ar"/>
              </w:rPr>
            </w:pPr>
          </w:p>
        </w:tc>
      </w:tr>
    </w:tbl>
    <w:p w14:paraId="02601E85"/>
    <w:p w14:paraId="6E2E34CA">
      <w:pPr>
        <w:widowControl/>
        <w:shd w:val="clear" w:color="auto" w:fill="FFFFFF"/>
        <w:spacing w:line="360" w:lineRule="auto"/>
        <w:ind w:left="422"/>
        <w:jc w:val="left"/>
        <w:rPr>
          <w:rFonts w:hint="eastAsia" w:ascii="黑体" w:hAnsi="黑体" w:eastAsia="黑体" w:cs="宋体"/>
          <w:kern w:val="0"/>
          <w:szCs w:val="21"/>
        </w:rPr>
      </w:pPr>
      <w:r>
        <w:rPr>
          <w:rFonts w:hint="eastAsia" w:ascii="黑体" w:hAnsi="黑体" w:eastAsia="黑体" w:cs="宋体"/>
          <w:kern w:val="0"/>
          <w:szCs w:val="21"/>
        </w:rPr>
        <w:t>供应商（盖章）:</w:t>
      </w:r>
      <w:r>
        <w:rPr>
          <w:rFonts w:eastAsia="黑体" w:cs="Calibri"/>
          <w:kern w:val="0"/>
          <w:szCs w:val="21"/>
          <w:u w:val="single"/>
        </w:rPr>
        <w:t>        </w:t>
      </w:r>
      <w:r>
        <w:rPr>
          <w:rFonts w:hint="eastAsia" w:eastAsia="黑体" w:cs="Calibri"/>
          <w:kern w:val="0"/>
          <w:szCs w:val="21"/>
          <w:u w:val="single"/>
        </w:rPr>
        <w:t xml:space="preserve">                          </w:t>
      </w:r>
      <w:r>
        <w:rPr>
          <w:rFonts w:eastAsia="黑体" w:cs="Calibri"/>
          <w:kern w:val="0"/>
          <w:szCs w:val="21"/>
          <w:u w:val="single"/>
        </w:rPr>
        <w:t>   </w:t>
      </w:r>
      <w:r>
        <w:rPr>
          <w:rFonts w:hint="eastAsia" w:ascii="黑体" w:hAnsi="黑体" w:eastAsia="黑体" w:cs="宋体"/>
          <w:kern w:val="0"/>
          <w:szCs w:val="21"/>
          <w:u w:val="single"/>
        </w:rPr>
        <w:t xml:space="preserve"> </w:t>
      </w:r>
    </w:p>
    <w:p w14:paraId="7DAC2323">
      <w:pPr>
        <w:widowControl/>
        <w:shd w:val="clear" w:color="auto" w:fill="FFFFFF"/>
        <w:spacing w:line="360" w:lineRule="auto"/>
        <w:ind w:left="422"/>
        <w:jc w:val="left"/>
        <w:rPr>
          <w:rFonts w:hint="eastAsia" w:ascii="黑体" w:hAnsi="黑体" w:eastAsia="黑体" w:cs="宋体"/>
          <w:kern w:val="0"/>
          <w:szCs w:val="21"/>
          <w:u w:val="single"/>
        </w:rPr>
      </w:pPr>
      <w:r>
        <w:rPr>
          <w:rFonts w:hint="eastAsia" w:ascii="黑体" w:hAnsi="黑体" w:eastAsia="黑体" w:cs="宋体"/>
          <w:kern w:val="0"/>
          <w:szCs w:val="21"/>
        </w:rPr>
        <w:t>授权代表（签字）：</w:t>
      </w:r>
      <w:r>
        <w:rPr>
          <w:rFonts w:eastAsia="黑体" w:cs="Calibri"/>
          <w:kern w:val="0"/>
          <w:szCs w:val="21"/>
          <w:u w:val="single"/>
        </w:rPr>
        <w:t>     </w:t>
      </w:r>
      <w:r>
        <w:rPr>
          <w:rFonts w:hint="eastAsia" w:eastAsia="黑体" w:cs="Calibri"/>
          <w:kern w:val="0"/>
          <w:szCs w:val="21"/>
          <w:u w:val="single"/>
        </w:rPr>
        <w:t xml:space="preserve">                         </w:t>
      </w:r>
      <w:r>
        <w:rPr>
          <w:rFonts w:eastAsia="黑体" w:cs="Calibri"/>
          <w:kern w:val="0"/>
          <w:szCs w:val="21"/>
          <w:u w:val="single"/>
        </w:rPr>
        <w:t>     </w:t>
      </w:r>
    </w:p>
    <w:p w14:paraId="05CABE7A">
      <w:pPr>
        <w:spacing w:line="360" w:lineRule="auto"/>
        <w:ind w:firstLine="480"/>
        <w:rPr>
          <w:rFonts w:hint="eastAsia" w:ascii="仿宋" w:hAnsi="仿宋" w:eastAsia="仿宋" w:cs="仿宋"/>
          <w:sz w:val="24"/>
          <w:szCs w:val="24"/>
        </w:rPr>
      </w:pPr>
      <w:r>
        <w:rPr>
          <w:rFonts w:hint="eastAsia" w:ascii="黑体" w:hAnsi="黑体" w:eastAsia="黑体" w:cs="宋体"/>
          <w:kern w:val="0"/>
          <w:szCs w:val="21"/>
        </w:rPr>
        <w:t>日期：年  月  日</w:t>
      </w:r>
    </w:p>
    <w:p w14:paraId="39B5F42A">
      <w:pPr>
        <w:widowControl/>
        <w:jc w:val="left"/>
      </w:pPr>
      <w:r>
        <w:br w:type="page"/>
      </w:r>
    </w:p>
    <w:p w14:paraId="4E99C639">
      <w:pPr>
        <w:pStyle w:val="2"/>
        <w:ind w:firstLine="200"/>
      </w:pPr>
    </w:p>
    <w:p w14:paraId="059ADF92"/>
    <w:p w14:paraId="37E4ECAF">
      <w:pPr>
        <w:pStyle w:val="6"/>
        <w:spacing w:line="360" w:lineRule="auto"/>
        <w:rPr>
          <w:rFonts w:hint="eastAsia" w:ascii="黑体" w:hAnsi="黑体" w:eastAsia="黑体" w:cs="宋体"/>
          <w:b w:val="0"/>
          <w:sz w:val="21"/>
          <w:szCs w:val="21"/>
        </w:rPr>
      </w:pPr>
      <w:r>
        <w:rPr>
          <w:rFonts w:hint="eastAsia" w:ascii="黑体" w:hAnsi="黑体" w:eastAsia="黑体" w:cs="宋体"/>
          <w:b w:val="0"/>
          <w:sz w:val="21"/>
          <w:szCs w:val="21"/>
        </w:rPr>
        <w:t>附件五、商务条款偏离表</w:t>
      </w:r>
    </w:p>
    <w:p w14:paraId="6458C778">
      <w:pPr>
        <w:spacing w:line="360" w:lineRule="auto"/>
        <w:ind w:left="422" w:firstLine="420"/>
        <w:rPr>
          <w:rFonts w:hint="eastAsia" w:ascii="宋体" w:hAnsi="宋体"/>
        </w:rPr>
      </w:pPr>
    </w:p>
    <w:p w14:paraId="3CE934E4">
      <w:pPr>
        <w:widowControl/>
        <w:shd w:val="clear" w:color="auto" w:fill="FFFFFF"/>
        <w:spacing w:before="312" w:beforeLines="100" w:line="360" w:lineRule="auto"/>
        <w:ind w:left="422" w:firstLine="2880" w:firstLineChars="800"/>
        <w:rPr>
          <w:rFonts w:hint="eastAsia" w:ascii="黑体" w:hAnsi="黑体" w:eastAsia="黑体"/>
          <w:b/>
          <w:kern w:val="0"/>
          <w:sz w:val="36"/>
          <w:szCs w:val="36"/>
        </w:rPr>
      </w:pPr>
      <w:r>
        <w:rPr>
          <w:rFonts w:hint="eastAsia" w:ascii="黑体" w:hAnsi="黑体" w:eastAsia="黑体"/>
          <w:b/>
          <w:kern w:val="0"/>
          <w:sz w:val="36"/>
          <w:szCs w:val="36"/>
        </w:rPr>
        <w:t>商务条款偏离表</w:t>
      </w:r>
    </w:p>
    <w:p w14:paraId="599ED0B0">
      <w:pPr>
        <w:autoSpaceDE w:val="0"/>
        <w:autoSpaceDN w:val="0"/>
        <w:adjustRightInd w:val="0"/>
        <w:ind w:left="422"/>
        <w:rPr>
          <w:rFonts w:hint="eastAsia" w:ascii="黑体" w:hAnsi="黑体" w:eastAsia="黑体" w:cs="宋体"/>
          <w:szCs w:val="21"/>
          <w:lang w:val="zh-CN"/>
        </w:rPr>
      </w:pPr>
    </w:p>
    <w:tbl>
      <w:tblPr>
        <w:tblStyle w:val="24"/>
        <w:tblW w:w="9412" w:type="dxa"/>
        <w:jc w:val="center"/>
        <w:tblLayout w:type="fixed"/>
        <w:tblCellMar>
          <w:top w:w="0" w:type="dxa"/>
          <w:left w:w="10" w:type="dxa"/>
          <w:bottom w:w="0" w:type="dxa"/>
          <w:right w:w="10" w:type="dxa"/>
        </w:tblCellMar>
      </w:tblPr>
      <w:tblGrid>
        <w:gridCol w:w="665"/>
        <w:gridCol w:w="2041"/>
        <w:gridCol w:w="2211"/>
        <w:gridCol w:w="1819"/>
        <w:gridCol w:w="196"/>
        <w:gridCol w:w="2480"/>
      </w:tblGrid>
      <w:tr w14:paraId="659A1E0E">
        <w:tblPrEx>
          <w:tblCellMar>
            <w:top w:w="0" w:type="dxa"/>
            <w:left w:w="10" w:type="dxa"/>
            <w:bottom w:w="0" w:type="dxa"/>
            <w:right w:w="10" w:type="dxa"/>
          </w:tblCellMar>
        </w:tblPrEx>
        <w:trPr>
          <w:trHeight w:val="284" w:hRule="atLeast"/>
          <w:jc w:val="center"/>
        </w:trPr>
        <w:tc>
          <w:tcPr>
            <w:tcW w:w="6736" w:type="dxa"/>
            <w:gridSpan w:val="4"/>
            <w:tcBorders>
              <w:bottom w:val="single" w:color="auto" w:sz="6" w:space="0"/>
            </w:tcBorders>
            <w:noWrap/>
            <w:vAlign w:val="center"/>
          </w:tcPr>
          <w:p w14:paraId="3CB8E32E">
            <w:pPr>
              <w:autoSpaceDE w:val="0"/>
              <w:autoSpaceDN w:val="0"/>
              <w:adjustRightInd w:val="0"/>
              <w:ind w:left="422"/>
              <w:jc w:val="left"/>
              <w:rPr>
                <w:rFonts w:hint="eastAsia" w:ascii="黑体" w:hAnsi="黑体" w:eastAsia="黑体" w:cs="宋体"/>
                <w:szCs w:val="21"/>
                <w:lang w:val="zh-CN"/>
              </w:rPr>
            </w:pPr>
            <w:r>
              <w:rPr>
                <w:rFonts w:hint="eastAsia" w:ascii="黑体" w:hAnsi="黑体" w:eastAsia="黑体" w:cs="宋体"/>
                <w:szCs w:val="21"/>
                <w:lang w:val="zh-CN"/>
              </w:rPr>
              <w:t>项目名称：</w:t>
            </w:r>
          </w:p>
        </w:tc>
        <w:tc>
          <w:tcPr>
            <w:tcW w:w="2676" w:type="dxa"/>
            <w:gridSpan w:val="2"/>
            <w:tcBorders>
              <w:bottom w:val="single" w:color="auto" w:sz="6" w:space="0"/>
            </w:tcBorders>
            <w:noWrap/>
            <w:vAlign w:val="center"/>
          </w:tcPr>
          <w:p w14:paraId="1BF01D20">
            <w:pPr>
              <w:autoSpaceDE w:val="0"/>
              <w:autoSpaceDN w:val="0"/>
              <w:adjustRightInd w:val="0"/>
              <w:ind w:left="422"/>
              <w:jc w:val="left"/>
              <w:rPr>
                <w:rFonts w:hint="eastAsia" w:ascii="黑体" w:hAnsi="黑体" w:eastAsia="黑体" w:cs="宋体"/>
                <w:szCs w:val="21"/>
                <w:lang w:val="zh-CN"/>
              </w:rPr>
            </w:pPr>
            <w:r>
              <w:rPr>
                <w:rFonts w:hint="eastAsia" w:ascii="黑体" w:hAnsi="黑体" w:eastAsia="黑体" w:cs="宋体"/>
                <w:szCs w:val="21"/>
                <w:lang w:val="zh-CN"/>
              </w:rPr>
              <w:t>项目编号：</w:t>
            </w:r>
          </w:p>
        </w:tc>
      </w:tr>
      <w:tr w14:paraId="241CCF8B">
        <w:tblPrEx>
          <w:tblCellMar>
            <w:top w:w="0" w:type="dxa"/>
            <w:left w:w="10" w:type="dxa"/>
            <w:bottom w:w="0" w:type="dxa"/>
            <w:right w:w="10" w:type="dxa"/>
          </w:tblCellMar>
        </w:tblPrEx>
        <w:trPr>
          <w:trHeight w:val="420" w:hRule="atLeast"/>
          <w:jc w:val="center"/>
        </w:trPr>
        <w:tc>
          <w:tcPr>
            <w:tcW w:w="665" w:type="dxa"/>
            <w:tcBorders>
              <w:top w:val="single" w:color="auto" w:sz="6" w:space="0"/>
              <w:left w:val="single" w:color="auto" w:sz="6" w:space="0"/>
              <w:bottom w:val="single" w:color="auto" w:sz="6" w:space="0"/>
              <w:right w:val="single" w:color="auto" w:sz="6" w:space="0"/>
            </w:tcBorders>
            <w:noWrap/>
            <w:vAlign w:val="center"/>
          </w:tcPr>
          <w:p w14:paraId="647FD939">
            <w:pPr>
              <w:autoSpaceDE w:val="0"/>
              <w:autoSpaceDN w:val="0"/>
              <w:adjustRightInd w:val="0"/>
              <w:rPr>
                <w:rFonts w:hint="eastAsia" w:ascii="黑体" w:hAnsi="黑体" w:eastAsia="黑体" w:cs="宋体"/>
                <w:szCs w:val="21"/>
                <w:lang w:val="zh-CN"/>
              </w:rPr>
            </w:pPr>
            <w:r>
              <w:rPr>
                <w:rFonts w:hint="eastAsia" w:ascii="黑体" w:hAnsi="黑体" w:eastAsia="黑体" w:cs="黑体"/>
                <w:szCs w:val="21"/>
                <w:lang w:val="zh-CN"/>
              </w:rPr>
              <w:t>序号</w:t>
            </w:r>
          </w:p>
        </w:tc>
        <w:tc>
          <w:tcPr>
            <w:tcW w:w="2041" w:type="dxa"/>
            <w:tcBorders>
              <w:top w:val="single" w:color="auto" w:sz="6" w:space="0"/>
              <w:left w:val="single" w:color="auto" w:sz="6" w:space="0"/>
              <w:bottom w:val="single" w:color="auto" w:sz="6" w:space="0"/>
              <w:right w:val="single" w:color="auto" w:sz="6" w:space="0"/>
            </w:tcBorders>
            <w:noWrap/>
            <w:vAlign w:val="center"/>
          </w:tcPr>
          <w:p w14:paraId="17BD4D41">
            <w:pPr>
              <w:autoSpaceDE w:val="0"/>
              <w:autoSpaceDN w:val="0"/>
              <w:adjustRightInd w:val="0"/>
              <w:ind w:left="422"/>
              <w:jc w:val="center"/>
              <w:rPr>
                <w:rFonts w:hint="eastAsia" w:ascii="黑体" w:hAnsi="黑体" w:eastAsia="黑体" w:cs="黑体"/>
                <w:szCs w:val="21"/>
              </w:rPr>
            </w:pPr>
          </w:p>
          <w:p w14:paraId="54497F85">
            <w:pPr>
              <w:autoSpaceDE w:val="0"/>
              <w:autoSpaceDN w:val="0"/>
              <w:adjustRightInd w:val="0"/>
              <w:ind w:firstLine="210" w:firstLineChars="100"/>
              <w:rPr>
                <w:rFonts w:hint="eastAsia" w:ascii="黑体" w:hAnsi="黑体" w:eastAsia="黑体"/>
                <w:lang w:val="zh-CN"/>
              </w:rPr>
            </w:pPr>
            <w:r>
              <w:rPr>
                <w:rFonts w:hint="eastAsia" w:ascii="黑体" w:hAnsi="黑体" w:eastAsia="黑体" w:cs="黑体"/>
                <w:szCs w:val="21"/>
              </w:rPr>
              <w:t>采购文件条目号</w:t>
            </w:r>
          </w:p>
          <w:p w14:paraId="22ADE10B">
            <w:pPr>
              <w:pStyle w:val="4"/>
              <w:ind w:left="422" w:firstLine="482"/>
              <w:rPr>
                <w:rFonts w:hint="eastAsia" w:hAnsi="黑体"/>
                <w:lang w:val="zh-CN"/>
              </w:rPr>
            </w:pPr>
          </w:p>
        </w:tc>
        <w:tc>
          <w:tcPr>
            <w:tcW w:w="2211" w:type="dxa"/>
            <w:tcBorders>
              <w:top w:val="single" w:color="auto" w:sz="6" w:space="0"/>
              <w:left w:val="single" w:color="auto" w:sz="6" w:space="0"/>
              <w:bottom w:val="single" w:color="auto" w:sz="6" w:space="0"/>
              <w:right w:val="single" w:color="auto" w:sz="6" w:space="0"/>
            </w:tcBorders>
            <w:noWrap/>
            <w:vAlign w:val="center"/>
          </w:tcPr>
          <w:p w14:paraId="039F20AB">
            <w:pPr>
              <w:autoSpaceDE w:val="0"/>
              <w:autoSpaceDN w:val="0"/>
              <w:adjustRightInd w:val="0"/>
              <w:ind w:firstLine="210" w:firstLineChars="100"/>
              <w:rPr>
                <w:rFonts w:hint="eastAsia" w:ascii="黑体" w:hAnsi="黑体" w:eastAsia="黑体" w:cs="宋体"/>
                <w:szCs w:val="21"/>
                <w:lang w:val="zh-CN"/>
              </w:rPr>
            </w:pPr>
            <w:r>
              <w:rPr>
                <w:rFonts w:hint="eastAsia" w:ascii="黑体" w:hAnsi="黑体" w:eastAsia="黑体" w:cs="黑体"/>
                <w:szCs w:val="21"/>
              </w:rPr>
              <w:t>采购文件的商务条款</w:t>
            </w:r>
          </w:p>
        </w:tc>
        <w:tc>
          <w:tcPr>
            <w:tcW w:w="2015" w:type="dxa"/>
            <w:gridSpan w:val="2"/>
            <w:tcBorders>
              <w:top w:val="single" w:color="auto" w:sz="6" w:space="0"/>
              <w:left w:val="single" w:color="auto" w:sz="6" w:space="0"/>
              <w:bottom w:val="single" w:color="auto" w:sz="6" w:space="0"/>
              <w:right w:val="single" w:color="auto" w:sz="6" w:space="0"/>
            </w:tcBorders>
            <w:noWrap/>
            <w:vAlign w:val="center"/>
          </w:tcPr>
          <w:p w14:paraId="0AB4E00B">
            <w:pPr>
              <w:autoSpaceDE w:val="0"/>
              <w:autoSpaceDN w:val="0"/>
              <w:adjustRightInd w:val="0"/>
              <w:rPr>
                <w:rFonts w:hint="eastAsia" w:ascii="黑体" w:hAnsi="黑体" w:eastAsia="黑体" w:cs="宋体"/>
                <w:szCs w:val="21"/>
                <w:lang w:val="zh-CN"/>
              </w:rPr>
            </w:pPr>
            <w:r>
              <w:rPr>
                <w:rFonts w:hint="eastAsia" w:ascii="黑体" w:hAnsi="黑体" w:eastAsia="黑体" w:cs="黑体"/>
                <w:szCs w:val="21"/>
              </w:rPr>
              <w:t>响应文件的商务条款</w:t>
            </w:r>
          </w:p>
        </w:tc>
        <w:tc>
          <w:tcPr>
            <w:tcW w:w="2480" w:type="dxa"/>
            <w:tcBorders>
              <w:top w:val="single" w:color="auto" w:sz="6" w:space="0"/>
              <w:left w:val="single" w:color="auto" w:sz="6" w:space="0"/>
              <w:bottom w:val="single" w:color="auto" w:sz="6" w:space="0"/>
              <w:right w:val="single" w:color="auto" w:sz="6" w:space="0"/>
            </w:tcBorders>
            <w:noWrap/>
            <w:vAlign w:val="center"/>
          </w:tcPr>
          <w:p w14:paraId="5803C802">
            <w:pPr>
              <w:autoSpaceDE w:val="0"/>
              <w:autoSpaceDN w:val="0"/>
              <w:adjustRightInd w:val="0"/>
              <w:ind w:left="422" w:firstLine="420" w:firstLineChars="200"/>
              <w:rPr>
                <w:rFonts w:hint="eastAsia" w:ascii="黑体" w:hAnsi="黑体" w:eastAsia="黑体" w:cs="宋体"/>
                <w:szCs w:val="21"/>
                <w:lang w:val="zh-CN"/>
              </w:rPr>
            </w:pPr>
            <w:r>
              <w:rPr>
                <w:rFonts w:hint="eastAsia" w:ascii="黑体" w:hAnsi="黑体" w:eastAsia="黑体" w:cs="黑体"/>
                <w:szCs w:val="21"/>
                <w:lang w:val="zh-CN"/>
              </w:rPr>
              <w:t>说明</w:t>
            </w:r>
          </w:p>
        </w:tc>
      </w:tr>
      <w:tr w14:paraId="5B6ED7EF">
        <w:tblPrEx>
          <w:tblCellMar>
            <w:top w:w="0" w:type="dxa"/>
            <w:left w:w="10" w:type="dxa"/>
            <w:bottom w:w="0" w:type="dxa"/>
            <w:right w:w="10" w:type="dxa"/>
          </w:tblCellMar>
        </w:tblPrEx>
        <w:trPr>
          <w:trHeight w:val="284" w:hRule="atLeast"/>
          <w:jc w:val="center"/>
        </w:trPr>
        <w:tc>
          <w:tcPr>
            <w:tcW w:w="665" w:type="dxa"/>
            <w:tcBorders>
              <w:top w:val="single" w:color="auto" w:sz="6" w:space="0"/>
              <w:left w:val="single" w:color="auto" w:sz="6" w:space="0"/>
              <w:bottom w:val="single" w:color="auto" w:sz="6" w:space="0"/>
              <w:right w:val="single" w:color="auto" w:sz="6" w:space="0"/>
            </w:tcBorders>
            <w:noWrap/>
            <w:vAlign w:val="center"/>
          </w:tcPr>
          <w:p w14:paraId="0052C0AC">
            <w:pPr>
              <w:autoSpaceDE w:val="0"/>
              <w:autoSpaceDN w:val="0"/>
              <w:adjustRightInd w:val="0"/>
              <w:ind w:left="422"/>
              <w:jc w:val="center"/>
              <w:rPr>
                <w:rFonts w:hint="eastAsia" w:ascii="黑体" w:hAnsi="黑体" w:eastAsia="黑体" w:cs="宋体"/>
                <w:szCs w:val="21"/>
                <w:lang w:val="zh-CN"/>
              </w:rPr>
            </w:pPr>
          </w:p>
        </w:tc>
        <w:tc>
          <w:tcPr>
            <w:tcW w:w="2041" w:type="dxa"/>
            <w:tcBorders>
              <w:top w:val="single" w:color="auto" w:sz="6" w:space="0"/>
              <w:left w:val="single" w:color="auto" w:sz="6" w:space="0"/>
              <w:bottom w:val="single" w:color="auto" w:sz="6" w:space="0"/>
              <w:right w:val="single" w:color="auto" w:sz="6" w:space="0"/>
            </w:tcBorders>
            <w:noWrap/>
            <w:vAlign w:val="center"/>
          </w:tcPr>
          <w:p w14:paraId="01B62A4E">
            <w:pPr>
              <w:autoSpaceDE w:val="0"/>
              <w:autoSpaceDN w:val="0"/>
              <w:adjustRightInd w:val="0"/>
              <w:ind w:left="422"/>
              <w:jc w:val="center"/>
              <w:rPr>
                <w:rFonts w:hint="eastAsia" w:ascii="黑体" w:hAnsi="黑体" w:eastAsia="黑体" w:cs="宋体"/>
                <w:szCs w:val="21"/>
                <w:lang w:val="zh-CN"/>
              </w:rPr>
            </w:pPr>
          </w:p>
        </w:tc>
        <w:tc>
          <w:tcPr>
            <w:tcW w:w="2211" w:type="dxa"/>
            <w:tcBorders>
              <w:top w:val="single" w:color="auto" w:sz="6" w:space="0"/>
              <w:left w:val="single" w:color="auto" w:sz="6" w:space="0"/>
              <w:bottom w:val="single" w:color="auto" w:sz="6" w:space="0"/>
              <w:right w:val="single" w:color="auto" w:sz="6" w:space="0"/>
            </w:tcBorders>
            <w:noWrap/>
            <w:vAlign w:val="center"/>
          </w:tcPr>
          <w:p w14:paraId="44819F12">
            <w:pPr>
              <w:autoSpaceDE w:val="0"/>
              <w:autoSpaceDN w:val="0"/>
              <w:adjustRightInd w:val="0"/>
              <w:ind w:left="422"/>
              <w:jc w:val="center"/>
              <w:rPr>
                <w:rFonts w:hint="eastAsia" w:ascii="黑体" w:hAnsi="黑体" w:eastAsia="黑体" w:cs="宋体"/>
                <w:szCs w:val="21"/>
                <w:lang w:val="zh-CN"/>
              </w:rPr>
            </w:pPr>
          </w:p>
        </w:tc>
        <w:tc>
          <w:tcPr>
            <w:tcW w:w="2015" w:type="dxa"/>
            <w:gridSpan w:val="2"/>
            <w:tcBorders>
              <w:top w:val="single" w:color="auto" w:sz="6" w:space="0"/>
              <w:left w:val="single" w:color="auto" w:sz="6" w:space="0"/>
              <w:bottom w:val="single" w:color="auto" w:sz="6" w:space="0"/>
              <w:right w:val="single" w:color="auto" w:sz="6" w:space="0"/>
            </w:tcBorders>
            <w:noWrap/>
            <w:vAlign w:val="center"/>
          </w:tcPr>
          <w:p w14:paraId="3BC04840">
            <w:pPr>
              <w:autoSpaceDE w:val="0"/>
              <w:autoSpaceDN w:val="0"/>
              <w:adjustRightInd w:val="0"/>
              <w:ind w:left="422"/>
              <w:jc w:val="center"/>
              <w:rPr>
                <w:rFonts w:hint="eastAsia" w:ascii="黑体" w:hAnsi="黑体" w:eastAsia="黑体" w:cs="宋体"/>
                <w:szCs w:val="21"/>
                <w:lang w:val="zh-CN"/>
              </w:rPr>
            </w:pPr>
          </w:p>
        </w:tc>
        <w:tc>
          <w:tcPr>
            <w:tcW w:w="2480" w:type="dxa"/>
            <w:tcBorders>
              <w:top w:val="single" w:color="auto" w:sz="6" w:space="0"/>
              <w:left w:val="single" w:color="auto" w:sz="6" w:space="0"/>
              <w:bottom w:val="single" w:color="auto" w:sz="6" w:space="0"/>
              <w:right w:val="single" w:color="auto" w:sz="6" w:space="0"/>
            </w:tcBorders>
            <w:noWrap/>
            <w:vAlign w:val="center"/>
          </w:tcPr>
          <w:p w14:paraId="5AA0872E">
            <w:pPr>
              <w:autoSpaceDE w:val="0"/>
              <w:autoSpaceDN w:val="0"/>
              <w:adjustRightInd w:val="0"/>
              <w:ind w:left="422"/>
              <w:jc w:val="center"/>
              <w:rPr>
                <w:rFonts w:hint="eastAsia" w:ascii="黑体" w:hAnsi="黑体" w:eastAsia="黑体" w:cs="宋体"/>
                <w:szCs w:val="21"/>
                <w:lang w:val="zh-CN"/>
              </w:rPr>
            </w:pPr>
          </w:p>
        </w:tc>
      </w:tr>
      <w:tr w14:paraId="7F3864AB">
        <w:tblPrEx>
          <w:tblCellMar>
            <w:top w:w="0" w:type="dxa"/>
            <w:left w:w="10" w:type="dxa"/>
            <w:bottom w:w="0" w:type="dxa"/>
            <w:right w:w="10" w:type="dxa"/>
          </w:tblCellMar>
        </w:tblPrEx>
        <w:trPr>
          <w:trHeight w:val="284" w:hRule="atLeast"/>
          <w:jc w:val="center"/>
        </w:trPr>
        <w:tc>
          <w:tcPr>
            <w:tcW w:w="665" w:type="dxa"/>
            <w:tcBorders>
              <w:top w:val="single" w:color="auto" w:sz="6" w:space="0"/>
              <w:left w:val="single" w:color="auto" w:sz="6" w:space="0"/>
              <w:bottom w:val="single" w:color="auto" w:sz="6" w:space="0"/>
              <w:right w:val="single" w:color="auto" w:sz="6" w:space="0"/>
            </w:tcBorders>
            <w:noWrap/>
            <w:vAlign w:val="center"/>
          </w:tcPr>
          <w:p w14:paraId="465EDF10">
            <w:pPr>
              <w:autoSpaceDE w:val="0"/>
              <w:autoSpaceDN w:val="0"/>
              <w:adjustRightInd w:val="0"/>
              <w:ind w:left="422"/>
              <w:jc w:val="center"/>
              <w:rPr>
                <w:rFonts w:hint="eastAsia" w:ascii="黑体" w:hAnsi="黑体" w:eastAsia="黑体" w:cs="宋体"/>
                <w:szCs w:val="21"/>
                <w:lang w:val="zh-CN"/>
              </w:rPr>
            </w:pPr>
          </w:p>
        </w:tc>
        <w:tc>
          <w:tcPr>
            <w:tcW w:w="2041" w:type="dxa"/>
            <w:tcBorders>
              <w:top w:val="single" w:color="auto" w:sz="6" w:space="0"/>
              <w:left w:val="single" w:color="auto" w:sz="6" w:space="0"/>
              <w:bottom w:val="single" w:color="auto" w:sz="6" w:space="0"/>
              <w:right w:val="single" w:color="auto" w:sz="6" w:space="0"/>
            </w:tcBorders>
            <w:noWrap/>
            <w:vAlign w:val="center"/>
          </w:tcPr>
          <w:p w14:paraId="40A05097">
            <w:pPr>
              <w:autoSpaceDE w:val="0"/>
              <w:autoSpaceDN w:val="0"/>
              <w:adjustRightInd w:val="0"/>
              <w:ind w:left="422"/>
              <w:jc w:val="center"/>
              <w:rPr>
                <w:rFonts w:hint="eastAsia" w:ascii="黑体" w:hAnsi="黑体" w:eastAsia="黑体" w:cs="宋体"/>
                <w:szCs w:val="21"/>
                <w:lang w:val="zh-CN"/>
              </w:rPr>
            </w:pPr>
          </w:p>
        </w:tc>
        <w:tc>
          <w:tcPr>
            <w:tcW w:w="2211" w:type="dxa"/>
            <w:tcBorders>
              <w:top w:val="single" w:color="auto" w:sz="6" w:space="0"/>
              <w:left w:val="single" w:color="auto" w:sz="6" w:space="0"/>
              <w:bottom w:val="single" w:color="auto" w:sz="6" w:space="0"/>
              <w:right w:val="single" w:color="auto" w:sz="6" w:space="0"/>
            </w:tcBorders>
            <w:noWrap/>
            <w:vAlign w:val="center"/>
          </w:tcPr>
          <w:p w14:paraId="61407A49">
            <w:pPr>
              <w:autoSpaceDE w:val="0"/>
              <w:autoSpaceDN w:val="0"/>
              <w:adjustRightInd w:val="0"/>
              <w:ind w:left="422"/>
              <w:jc w:val="center"/>
              <w:rPr>
                <w:rFonts w:hint="eastAsia" w:ascii="黑体" w:hAnsi="黑体" w:eastAsia="黑体" w:cs="宋体"/>
                <w:szCs w:val="21"/>
                <w:lang w:val="zh-CN"/>
              </w:rPr>
            </w:pPr>
          </w:p>
        </w:tc>
        <w:tc>
          <w:tcPr>
            <w:tcW w:w="2015" w:type="dxa"/>
            <w:gridSpan w:val="2"/>
            <w:tcBorders>
              <w:top w:val="single" w:color="auto" w:sz="6" w:space="0"/>
              <w:left w:val="single" w:color="auto" w:sz="6" w:space="0"/>
              <w:bottom w:val="single" w:color="auto" w:sz="6" w:space="0"/>
              <w:right w:val="single" w:color="auto" w:sz="6" w:space="0"/>
            </w:tcBorders>
            <w:noWrap/>
            <w:vAlign w:val="center"/>
          </w:tcPr>
          <w:p w14:paraId="01A01CAA">
            <w:pPr>
              <w:autoSpaceDE w:val="0"/>
              <w:autoSpaceDN w:val="0"/>
              <w:adjustRightInd w:val="0"/>
              <w:ind w:left="422"/>
              <w:jc w:val="center"/>
              <w:rPr>
                <w:rFonts w:hint="eastAsia" w:ascii="黑体" w:hAnsi="黑体" w:eastAsia="黑体" w:cs="宋体"/>
                <w:szCs w:val="21"/>
                <w:lang w:val="zh-CN"/>
              </w:rPr>
            </w:pPr>
          </w:p>
        </w:tc>
        <w:tc>
          <w:tcPr>
            <w:tcW w:w="2480" w:type="dxa"/>
            <w:tcBorders>
              <w:top w:val="single" w:color="auto" w:sz="6" w:space="0"/>
              <w:left w:val="single" w:color="auto" w:sz="6" w:space="0"/>
              <w:bottom w:val="single" w:color="auto" w:sz="6" w:space="0"/>
              <w:right w:val="single" w:color="auto" w:sz="6" w:space="0"/>
            </w:tcBorders>
            <w:noWrap/>
            <w:vAlign w:val="center"/>
          </w:tcPr>
          <w:p w14:paraId="76784693">
            <w:pPr>
              <w:autoSpaceDE w:val="0"/>
              <w:autoSpaceDN w:val="0"/>
              <w:adjustRightInd w:val="0"/>
              <w:ind w:left="422"/>
              <w:jc w:val="center"/>
              <w:rPr>
                <w:rFonts w:hint="eastAsia" w:ascii="黑体" w:hAnsi="黑体" w:eastAsia="黑体" w:cs="宋体"/>
                <w:szCs w:val="21"/>
                <w:lang w:val="zh-CN"/>
              </w:rPr>
            </w:pPr>
          </w:p>
        </w:tc>
      </w:tr>
      <w:tr w14:paraId="49A80B36">
        <w:tblPrEx>
          <w:tblCellMar>
            <w:top w:w="0" w:type="dxa"/>
            <w:left w:w="10" w:type="dxa"/>
            <w:bottom w:w="0" w:type="dxa"/>
            <w:right w:w="10" w:type="dxa"/>
          </w:tblCellMar>
        </w:tblPrEx>
        <w:trPr>
          <w:trHeight w:val="284" w:hRule="atLeast"/>
          <w:jc w:val="center"/>
        </w:trPr>
        <w:tc>
          <w:tcPr>
            <w:tcW w:w="665" w:type="dxa"/>
            <w:tcBorders>
              <w:top w:val="single" w:color="auto" w:sz="6" w:space="0"/>
              <w:left w:val="single" w:color="auto" w:sz="6" w:space="0"/>
              <w:bottom w:val="single" w:color="auto" w:sz="6" w:space="0"/>
              <w:right w:val="single" w:color="auto" w:sz="6" w:space="0"/>
            </w:tcBorders>
            <w:noWrap/>
            <w:vAlign w:val="center"/>
          </w:tcPr>
          <w:p w14:paraId="317AF5D3">
            <w:pPr>
              <w:autoSpaceDE w:val="0"/>
              <w:autoSpaceDN w:val="0"/>
              <w:adjustRightInd w:val="0"/>
              <w:ind w:left="422"/>
              <w:jc w:val="center"/>
              <w:rPr>
                <w:rFonts w:hint="eastAsia" w:ascii="黑体" w:hAnsi="黑体" w:eastAsia="黑体" w:cs="宋体"/>
                <w:szCs w:val="21"/>
                <w:lang w:val="zh-CN"/>
              </w:rPr>
            </w:pPr>
          </w:p>
        </w:tc>
        <w:tc>
          <w:tcPr>
            <w:tcW w:w="2041" w:type="dxa"/>
            <w:tcBorders>
              <w:top w:val="single" w:color="auto" w:sz="6" w:space="0"/>
              <w:left w:val="single" w:color="auto" w:sz="6" w:space="0"/>
              <w:bottom w:val="single" w:color="auto" w:sz="6" w:space="0"/>
              <w:right w:val="single" w:color="auto" w:sz="6" w:space="0"/>
            </w:tcBorders>
            <w:noWrap/>
            <w:vAlign w:val="center"/>
          </w:tcPr>
          <w:p w14:paraId="55356350">
            <w:pPr>
              <w:autoSpaceDE w:val="0"/>
              <w:autoSpaceDN w:val="0"/>
              <w:adjustRightInd w:val="0"/>
              <w:ind w:left="422"/>
              <w:jc w:val="center"/>
              <w:rPr>
                <w:rFonts w:hint="eastAsia" w:ascii="黑体" w:hAnsi="黑体" w:eastAsia="黑体" w:cs="宋体"/>
                <w:szCs w:val="21"/>
                <w:lang w:val="zh-CN"/>
              </w:rPr>
            </w:pPr>
          </w:p>
        </w:tc>
        <w:tc>
          <w:tcPr>
            <w:tcW w:w="2211" w:type="dxa"/>
            <w:tcBorders>
              <w:top w:val="single" w:color="auto" w:sz="6" w:space="0"/>
              <w:left w:val="single" w:color="auto" w:sz="6" w:space="0"/>
              <w:bottom w:val="single" w:color="auto" w:sz="6" w:space="0"/>
              <w:right w:val="single" w:color="auto" w:sz="6" w:space="0"/>
            </w:tcBorders>
            <w:noWrap/>
            <w:vAlign w:val="center"/>
          </w:tcPr>
          <w:p w14:paraId="7C2FCEB9">
            <w:pPr>
              <w:autoSpaceDE w:val="0"/>
              <w:autoSpaceDN w:val="0"/>
              <w:adjustRightInd w:val="0"/>
              <w:ind w:left="422"/>
              <w:jc w:val="center"/>
              <w:rPr>
                <w:rFonts w:hint="eastAsia" w:ascii="黑体" w:hAnsi="黑体" w:eastAsia="黑体" w:cs="宋体"/>
                <w:szCs w:val="21"/>
                <w:lang w:val="zh-CN"/>
              </w:rPr>
            </w:pPr>
          </w:p>
        </w:tc>
        <w:tc>
          <w:tcPr>
            <w:tcW w:w="2015" w:type="dxa"/>
            <w:gridSpan w:val="2"/>
            <w:tcBorders>
              <w:top w:val="single" w:color="auto" w:sz="6" w:space="0"/>
              <w:left w:val="single" w:color="auto" w:sz="6" w:space="0"/>
              <w:bottom w:val="single" w:color="auto" w:sz="6" w:space="0"/>
              <w:right w:val="single" w:color="auto" w:sz="6" w:space="0"/>
            </w:tcBorders>
            <w:noWrap/>
            <w:vAlign w:val="center"/>
          </w:tcPr>
          <w:p w14:paraId="511A872B">
            <w:pPr>
              <w:autoSpaceDE w:val="0"/>
              <w:autoSpaceDN w:val="0"/>
              <w:adjustRightInd w:val="0"/>
              <w:ind w:left="422"/>
              <w:jc w:val="center"/>
              <w:rPr>
                <w:rFonts w:hint="eastAsia" w:ascii="黑体" w:hAnsi="黑体" w:eastAsia="黑体" w:cs="宋体"/>
                <w:szCs w:val="21"/>
                <w:lang w:val="zh-CN"/>
              </w:rPr>
            </w:pPr>
          </w:p>
        </w:tc>
        <w:tc>
          <w:tcPr>
            <w:tcW w:w="2480" w:type="dxa"/>
            <w:tcBorders>
              <w:top w:val="single" w:color="auto" w:sz="6" w:space="0"/>
              <w:left w:val="single" w:color="auto" w:sz="6" w:space="0"/>
              <w:bottom w:val="single" w:color="auto" w:sz="6" w:space="0"/>
              <w:right w:val="single" w:color="auto" w:sz="6" w:space="0"/>
            </w:tcBorders>
            <w:noWrap/>
            <w:vAlign w:val="center"/>
          </w:tcPr>
          <w:p w14:paraId="01C04F1F">
            <w:pPr>
              <w:autoSpaceDE w:val="0"/>
              <w:autoSpaceDN w:val="0"/>
              <w:adjustRightInd w:val="0"/>
              <w:ind w:left="422"/>
              <w:jc w:val="center"/>
              <w:rPr>
                <w:rFonts w:hint="eastAsia" w:ascii="黑体" w:hAnsi="黑体" w:eastAsia="黑体" w:cs="宋体"/>
                <w:szCs w:val="21"/>
                <w:lang w:val="zh-CN"/>
              </w:rPr>
            </w:pPr>
          </w:p>
        </w:tc>
      </w:tr>
      <w:tr w14:paraId="3147C30E">
        <w:tblPrEx>
          <w:tblCellMar>
            <w:top w:w="0" w:type="dxa"/>
            <w:left w:w="10" w:type="dxa"/>
            <w:bottom w:w="0" w:type="dxa"/>
            <w:right w:w="10" w:type="dxa"/>
          </w:tblCellMar>
        </w:tblPrEx>
        <w:trPr>
          <w:trHeight w:val="284" w:hRule="atLeast"/>
          <w:jc w:val="center"/>
        </w:trPr>
        <w:tc>
          <w:tcPr>
            <w:tcW w:w="665" w:type="dxa"/>
            <w:tcBorders>
              <w:top w:val="single" w:color="auto" w:sz="6" w:space="0"/>
              <w:left w:val="single" w:color="auto" w:sz="6" w:space="0"/>
              <w:bottom w:val="single" w:color="auto" w:sz="6" w:space="0"/>
              <w:right w:val="single" w:color="auto" w:sz="6" w:space="0"/>
            </w:tcBorders>
            <w:noWrap/>
            <w:vAlign w:val="center"/>
          </w:tcPr>
          <w:p w14:paraId="4EC3043D">
            <w:pPr>
              <w:autoSpaceDE w:val="0"/>
              <w:autoSpaceDN w:val="0"/>
              <w:adjustRightInd w:val="0"/>
              <w:ind w:left="422"/>
              <w:jc w:val="center"/>
              <w:rPr>
                <w:rFonts w:hint="eastAsia" w:ascii="黑体" w:hAnsi="黑体" w:eastAsia="黑体" w:cs="宋体"/>
                <w:szCs w:val="21"/>
                <w:lang w:val="zh-CN"/>
              </w:rPr>
            </w:pPr>
          </w:p>
        </w:tc>
        <w:tc>
          <w:tcPr>
            <w:tcW w:w="2041" w:type="dxa"/>
            <w:tcBorders>
              <w:top w:val="single" w:color="auto" w:sz="6" w:space="0"/>
              <w:left w:val="single" w:color="auto" w:sz="6" w:space="0"/>
              <w:bottom w:val="single" w:color="auto" w:sz="6" w:space="0"/>
              <w:right w:val="single" w:color="auto" w:sz="6" w:space="0"/>
            </w:tcBorders>
            <w:noWrap/>
            <w:vAlign w:val="center"/>
          </w:tcPr>
          <w:p w14:paraId="2A867F0A">
            <w:pPr>
              <w:autoSpaceDE w:val="0"/>
              <w:autoSpaceDN w:val="0"/>
              <w:adjustRightInd w:val="0"/>
              <w:ind w:left="422"/>
              <w:jc w:val="center"/>
              <w:rPr>
                <w:rFonts w:hint="eastAsia" w:ascii="黑体" w:hAnsi="黑体" w:eastAsia="黑体" w:cs="宋体"/>
                <w:szCs w:val="21"/>
                <w:lang w:val="zh-CN"/>
              </w:rPr>
            </w:pPr>
          </w:p>
        </w:tc>
        <w:tc>
          <w:tcPr>
            <w:tcW w:w="2211" w:type="dxa"/>
            <w:tcBorders>
              <w:top w:val="single" w:color="auto" w:sz="6" w:space="0"/>
              <w:left w:val="single" w:color="auto" w:sz="6" w:space="0"/>
              <w:bottom w:val="single" w:color="auto" w:sz="6" w:space="0"/>
              <w:right w:val="single" w:color="auto" w:sz="6" w:space="0"/>
            </w:tcBorders>
            <w:noWrap/>
            <w:vAlign w:val="center"/>
          </w:tcPr>
          <w:p w14:paraId="04C4652C">
            <w:pPr>
              <w:autoSpaceDE w:val="0"/>
              <w:autoSpaceDN w:val="0"/>
              <w:adjustRightInd w:val="0"/>
              <w:ind w:left="422"/>
              <w:jc w:val="center"/>
              <w:rPr>
                <w:rFonts w:hint="eastAsia" w:ascii="黑体" w:hAnsi="黑体" w:eastAsia="黑体" w:cs="宋体"/>
                <w:szCs w:val="21"/>
                <w:lang w:val="zh-CN"/>
              </w:rPr>
            </w:pPr>
          </w:p>
        </w:tc>
        <w:tc>
          <w:tcPr>
            <w:tcW w:w="2015" w:type="dxa"/>
            <w:gridSpan w:val="2"/>
            <w:tcBorders>
              <w:top w:val="single" w:color="auto" w:sz="6" w:space="0"/>
              <w:left w:val="single" w:color="auto" w:sz="6" w:space="0"/>
              <w:bottom w:val="single" w:color="auto" w:sz="6" w:space="0"/>
              <w:right w:val="single" w:color="auto" w:sz="6" w:space="0"/>
            </w:tcBorders>
            <w:noWrap/>
            <w:vAlign w:val="center"/>
          </w:tcPr>
          <w:p w14:paraId="7D6A07D9">
            <w:pPr>
              <w:autoSpaceDE w:val="0"/>
              <w:autoSpaceDN w:val="0"/>
              <w:adjustRightInd w:val="0"/>
              <w:ind w:left="422"/>
              <w:jc w:val="center"/>
              <w:rPr>
                <w:rFonts w:hint="eastAsia" w:ascii="黑体" w:hAnsi="黑体" w:eastAsia="黑体" w:cs="宋体"/>
                <w:szCs w:val="21"/>
                <w:lang w:val="zh-CN"/>
              </w:rPr>
            </w:pPr>
          </w:p>
        </w:tc>
        <w:tc>
          <w:tcPr>
            <w:tcW w:w="2480" w:type="dxa"/>
            <w:tcBorders>
              <w:top w:val="single" w:color="auto" w:sz="6" w:space="0"/>
              <w:left w:val="single" w:color="auto" w:sz="6" w:space="0"/>
              <w:bottom w:val="single" w:color="auto" w:sz="6" w:space="0"/>
              <w:right w:val="single" w:color="auto" w:sz="6" w:space="0"/>
            </w:tcBorders>
            <w:noWrap/>
            <w:vAlign w:val="center"/>
          </w:tcPr>
          <w:p w14:paraId="67BBF8E1">
            <w:pPr>
              <w:autoSpaceDE w:val="0"/>
              <w:autoSpaceDN w:val="0"/>
              <w:adjustRightInd w:val="0"/>
              <w:ind w:left="422"/>
              <w:jc w:val="center"/>
              <w:rPr>
                <w:rFonts w:hint="eastAsia" w:ascii="黑体" w:hAnsi="黑体" w:eastAsia="黑体" w:cs="宋体"/>
                <w:szCs w:val="21"/>
                <w:lang w:val="zh-CN"/>
              </w:rPr>
            </w:pPr>
          </w:p>
        </w:tc>
      </w:tr>
      <w:tr w14:paraId="370E0C37">
        <w:tblPrEx>
          <w:tblCellMar>
            <w:top w:w="0" w:type="dxa"/>
            <w:left w:w="10" w:type="dxa"/>
            <w:bottom w:w="0" w:type="dxa"/>
            <w:right w:w="10" w:type="dxa"/>
          </w:tblCellMar>
        </w:tblPrEx>
        <w:trPr>
          <w:trHeight w:val="284" w:hRule="atLeast"/>
          <w:jc w:val="center"/>
        </w:trPr>
        <w:tc>
          <w:tcPr>
            <w:tcW w:w="665" w:type="dxa"/>
            <w:tcBorders>
              <w:top w:val="single" w:color="auto" w:sz="6" w:space="0"/>
              <w:left w:val="single" w:color="auto" w:sz="6" w:space="0"/>
              <w:bottom w:val="single" w:color="auto" w:sz="6" w:space="0"/>
              <w:right w:val="single" w:color="auto" w:sz="6" w:space="0"/>
            </w:tcBorders>
            <w:noWrap/>
            <w:vAlign w:val="center"/>
          </w:tcPr>
          <w:p w14:paraId="2912B878">
            <w:pPr>
              <w:autoSpaceDE w:val="0"/>
              <w:autoSpaceDN w:val="0"/>
              <w:adjustRightInd w:val="0"/>
              <w:ind w:left="422"/>
              <w:jc w:val="center"/>
              <w:rPr>
                <w:rFonts w:hint="eastAsia" w:ascii="黑体" w:hAnsi="黑体" w:eastAsia="黑体" w:cs="宋体"/>
                <w:szCs w:val="21"/>
                <w:lang w:val="zh-CN"/>
              </w:rPr>
            </w:pPr>
          </w:p>
        </w:tc>
        <w:tc>
          <w:tcPr>
            <w:tcW w:w="2041" w:type="dxa"/>
            <w:tcBorders>
              <w:top w:val="single" w:color="auto" w:sz="6" w:space="0"/>
              <w:left w:val="single" w:color="auto" w:sz="6" w:space="0"/>
              <w:bottom w:val="single" w:color="auto" w:sz="6" w:space="0"/>
              <w:right w:val="single" w:color="auto" w:sz="6" w:space="0"/>
            </w:tcBorders>
            <w:noWrap/>
            <w:vAlign w:val="center"/>
          </w:tcPr>
          <w:p w14:paraId="4E3B98E7">
            <w:pPr>
              <w:autoSpaceDE w:val="0"/>
              <w:autoSpaceDN w:val="0"/>
              <w:adjustRightInd w:val="0"/>
              <w:ind w:left="422"/>
              <w:jc w:val="center"/>
              <w:rPr>
                <w:rFonts w:hint="eastAsia" w:ascii="黑体" w:hAnsi="黑体" w:eastAsia="黑体" w:cs="宋体"/>
                <w:szCs w:val="21"/>
                <w:lang w:val="zh-CN"/>
              </w:rPr>
            </w:pPr>
          </w:p>
        </w:tc>
        <w:tc>
          <w:tcPr>
            <w:tcW w:w="2211" w:type="dxa"/>
            <w:tcBorders>
              <w:top w:val="single" w:color="auto" w:sz="6" w:space="0"/>
              <w:left w:val="single" w:color="auto" w:sz="6" w:space="0"/>
              <w:bottom w:val="single" w:color="auto" w:sz="6" w:space="0"/>
              <w:right w:val="single" w:color="auto" w:sz="6" w:space="0"/>
            </w:tcBorders>
            <w:noWrap/>
            <w:vAlign w:val="center"/>
          </w:tcPr>
          <w:p w14:paraId="5F65B06E">
            <w:pPr>
              <w:autoSpaceDE w:val="0"/>
              <w:autoSpaceDN w:val="0"/>
              <w:adjustRightInd w:val="0"/>
              <w:ind w:left="422"/>
              <w:jc w:val="center"/>
              <w:rPr>
                <w:rFonts w:hint="eastAsia" w:ascii="黑体" w:hAnsi="黑体" w:eastAsia="黑体" w:cs="宋体"/>
                <w:szCs w:val="21"/>
                <w:lang w:val="zh-CN"/>
              </w:rPr>
            </w:pPr>
          </w:p>
        </w:tc>
        <w:tc>
          <w:tcPr>
            <w:tcW w:w="2015" w:type="dxa"/>
            <w:gridSpan w:val="2"/>
            <w:tcBorders>
              <w:top w:val="single" w:color="auto" w:sz="6" w:space="0"/>
              <w:left w:val="single" w:color="auto" w:sz="6" w:space="0"/>
              <w:bottom w:val="single" w:color="auto" w:sz="6" w:space="0"/>
              <w:right w:val="single" w:color="auto" w:sz="6" w:space="0"/>
            </w:tcBorders>
            <w:noWrap/>
            <w:vAlign w:val="center"/>
          </w:tcPr>
          <w:p w14:paraId="5B2E55FC">
            <w:pPr>
              <w:autoSpaceDE w:val="0"/>
              <w:autoSpaceDN w:val="0"/>
              <w:adjustRightInd w:val="0"/>
              <w:ind w:left="422"/>
              <w:jc w:val="center"/>
              <w:rPr>
                <w:rFonts w:hint="eastAsia" w:ascii="黑体" w:hAnsi="黑体" w:eastAsia="黑体" w:cs="宋体"/>
                <w:szCs w:val="21"/>
                <w:lang w:val="zh-CN"/>
              </w:rPr>
            </w:pPr>
          </w:p>
        </w:tc>
        <w:tc>
          <w:tcPr>
            <w:tcW w:w="2480" w:type="dxa"/>
            <w:tcBorders>
              <w:top w:val="single" w:color="auto" w:sz="6" w:space="0"/>
              <w:left w:val="single" w:color="auto" w:sz="6" w:space="0"/>
              <w:bottom w:val="single" w:color="auto" w:sz="6" w:space="0"/>
              <w:right w:val="single" w:color="auto" w:sz="6" w:space="0"/>
            </w:tcBorders>
            <w:noWrap/>
            <w:vAlign w:val="center"/>
          </w:tcPr>
          <w:p w14:paraId="1BA57F36">
            <w:pPr>
              <w:autoSpaceDE w:val="0"/>
              <w:autoSpaceDN w:val="0"/>
              <w:adjustRightInd w:val="0"/>
              <w:ind w:left="422"/>
              <w:jc w:val="center"/>
              <w:rPr>
                <w:rFonts w:hint="eastAsia" w:ascii="黑体" w:hAnsi="黑体" w:eastAsia="黑体" w:cs="宋体"/>
                <w:szCs w:val="21"/>
                <w:lang w:val="zh-CN"/>
              </w:rPr>
            </w:pPr>
          </w:p>
        </w:tc>
      </w:tr>
    </w:tbl>
    <w:p w14:paraId="30F76C67">
      <w:pPr>
        <w:rPr>
          <w:rFonts w:hint="eastAsia" w:ascii="黑体" w:hAnsi="黑体" w:eastAsia="黑体"/>
          <w:snapToGrid w:val="0"/>
        </w:rPr>
      </w:pPr>
    </w:p>
    <w:p w14:paraId="1F067DC4">
      <w:pPr>
        <w:ind w:left="422" w:firstLine="422"/>
        <w:rPr>
          <w:rFonts w:hint="eastAsia" w:ascii="黑体" w:hAnsi="黑体" w:eastAsia="黑体" w:cs="黑体"/>
          <w:b/>
          <w:bCs/>
          <w:snapToGrid w:val="0"/>
          <w:kern w:val="0"/>
          <w:szCs w:val="21"/>
        </w:rPr>
      </w:pPr>
    </w:p>
    <w:p w14:paraId="57139394">
      <w:pPr>
        <w:rPr>
          <w:rFonts w:hint="eastAsia" w:ascii="黑体" w:hAnsi="黑体" w:eastAsia="黑体"/>
          <w:u w:val="single"/>
        </w:rPr>
      </w:pPr>
      <w:r>
        <w:rPr>
          <w:rFonts w:hint="eastAsia" w:ascii="黑体" w:hAnsi="黑体" w:eastAsia="黑体"/>
        </w:rPr>
        <w:t xml:space="preserve">  供应商名称（公章）</w:t>
      </w:r>
    </w:p>
    <w:p w14:paraId="25118AA1">
      <w:pPr>
        <w:rPr>
          <w:rFonts w:hint="eastAsia" w:ascii="黑体" w:hAnsi="黑体" w:eastAsia="黑体"/>
        </w:rPr>
      </w:pPr>
    </w:p>
    <w:p w14:paraId="2D00119D">
      <w:pPr>
        <w:ind w:firstLine="210" w:firstLineChars="100"/>
        <w:rPr>
          <w:rFonts w:hint="eastAsia" w:ascii="黑体" w:hAnsi="黑体" w:eastAsia="黑体"/>
          <w:u w:val="single"/>
        </w:rPr>
      </w:pPr>
      <w:r>
        <w:rPr>
          <w:rFonts w:hint="eastAsia" w:ascii="黑体" w:hAnsi="黑体" w:eastAsia="黑体"/>
        </w:rPr>
        <w:t xml:space="preserve">授权代表签字： </w:t>
      </w:r>
    </w:p>
    <w:p w14:paraId="76B086AE">
      <w:pPr>
        <w:spacing w:line="400" w:lineRule="exact"/>
        <w:ind w:left="422"/>
        <w:rPr>
          <w:rFonts w:hint="eastAsia" w:ascii="黑体" w:hAnsi="黑体" w:eastAsia="黑体" w:cs="黑体"/>
          <w:szCs w:val="21"/>
        </w:rPr>
      </w:pPr>
    </w:p>
    <w:p w14:paraId="6D2BA876">
      <w:pPr>
        <w:spacing w:line="400" w:lineRule="exact"/>
        <w:ind w:left="422"/>
        <w:rPr>
          <w:rFonts w:hint="eastAsia" w:ascii="黑体" w:hAnsi="黑体" w:eastAsia="黑体" w:cs="黑体"/>
          <w:szCs w:val="21"/>
        </w:rPr>
      </w:pPr>
      <w:bookmarkStart w:id="328" w:name="OLE_LINK9"/>
      <w:r>
        <w:rPr>
          <w:rFonts w:hint="eastAsia" w:ascii="黑体" w:hAnsi="黑体" w:eastAsia="黑体" w:cs="黑体"/>
          <w:szCs w:val="21"/>
        </w:rPr>
        <w:t>注：1.如供应商无任何偏离，也需在响应表中注明并在响应文件中递交此表。</w:t>
      </w:r>
    </w:p>
    <w:p w14:paraId="47C04C65">
      <w:pPr>
        <w:spacing w:line="400" w:lineRule="exact"/>
        <w:ind w:left="422" w:firstLine="420" w:firstLineChars="200"/>
        <w:rPr>
          <w:rFonts w:hint="eastAsia" w:ascii="黑体" w:hAnsi="黑体" w:eastAsia="黑体" w:cs="黑体"/>
          <w:szCs w:val="21"/>
        </w:rPr>
      </w:pPr>
      <w:r>
        <w:rPr>
          <w:rFonts w:hint="eastAsia" w:ascii="黑体" w:hAnsi="黑体" w:eastAsia="黑体" w:cs="黑体"/>
          <w:szCs w:val="21"/>
        </w:rPr>
        <w:t>2.供应商若未填写此表，将被认为响应采购文件全部商务条款。</w:t>
      </w:r>
    </w:p>
    <w:p w14:paraId="497EAD53">
      <w:pPr>
        <w:spacing w:line="400" w:lineRule="exact"/>
        <w:ind w:left="422" w:firstLine="420" w:firstLineChars="200"/>
        <w:rPr>
          <w:rFonts w:hint="eastAsia" w:ascii="黑体" w:hAnsi="黑体" w:eastAsia="黑体" w:cs="黑体"/>
          <w:szCs w:val="21"/>
        </w:rPr>
      </w:pPr>
      <w:r>
        <w:rPr>
          <w:rFonts w:hint="eastAsia" w:ascii="黑体" w:hAnsi="黑体" w:eastAsia="黑体" w:cs="黑体"/>
          <w:szCs w:val="21"/>
        </w:rPr>
        <w:t>3.行数不够，可自行添加。</w:t>
      </w:r>
      <w:bookmarkEnd w:id="328"/>
    </w:p>
    <w:p w14:paraId="78B6B993">
      <w:pPr>
        <w:widowControl/>
        <w:jc w:val="left"/>
      </w:pPr>
      <w:r>
        <w:br w:type="page"/>
      </w:r>
    </w:p>
    <w:p w14:paraId="75F80769">
      <w:pPr>
        <w:pStyle w:val="6"/>
        <w:spacing w:line="360" w:lineRule="auto"/>
        <w:rPr>
          <w:rFonts w:hint="eastAsia" w:ascii="黑体" w:hAnsi="黑体" w:eastAsia="黑体" w:cs="宋体"/>
          <w:b w:val="0"/>
          <w:sz w:val="21"/>
          <w:szCs w:val="21"/>
        </w:rPr>
      </w:pPr>
      <w:r>
        <w:rPr>
          <w:rFonts w:hint="eastAsia" w:ascii="黑体" w:hAnsi="黑体" w:eastAsia="黑体" w:cs="宋体"/>
          <w:b w:val="0"/>
          <w:sz w:val="21"/>
          <w:szCs w:val="21"/>
        </w:rPr>
        <w:t>附件六、技术条款偏离表</w:t>
      </w:r>
    </w:p>
    <w:p w14:paraId="474133A4">
      <w:pPr>
        <w:widowControl/>
        <w:shd w:val="clear" w:color="auto" w:fill="FFFFFF"/>
        <w:spacing w:before="312" w:beforeLines="100" w:line="360" w:lineRule="auto"/>
        <w:ind w:left="422" w:firstLine="2520" w:firstLineChars="700"/>
        <w:rPr>
          <w:rFonts w:hint="eastAsia" w:ascii="黑体" w:hAnsi="黑体" w:eastAsia="黑体" w:cs="黑体"/>
          <w:szCs w:val="21"/>
        </w:rPr>
      </w:pPr>
      <w:r>
        <w:rPr>
          <w:rFonts w:hint="eastAsia" w:ascii="黑体" w:hAnsi="黑体" w:eastAsia="黑体"/>
          <w:b/>
          <w:kern w:val="0"/>
          <w:sz w:val="36"/>
          <w:szCs w:val="36"/>
        </w:rPr>
        <w:t>技术条款偏离表</w:t>
      </w:r>
    </w:p>
    <w:p w14:paraId="2B66F505">
      <w:pPr>
        <w:spacing w:after="240" w:line="400" w:lineRule="exact"/>
        <w:ind w:left="422"/>
        <w:rPr>
          <w:rFonts w:hint="eastAsia" w:ascii="黑体" w:hAnsi="黑体" w:eastAsia="黑体" w:cs="黑体"/>
          <w:szCs w:val="21"/>
          <w:u w:val="single"/>
        </w:rPr>
      </w:pPr>
      <w:r>
        <w:rPr>
          <w:rFonts w:hint="eastAsia" w:ascii="黑体" w:hAnsi="黑体" w:eastAsia="黑体" w:cs="黑体"/>
          <w:szCs w:val="21"/>
        </w:rPr>
        <w:t>供应商名称：                                          采购编号：</w:t>
      </w:r>
    </w:p>
    <w:tbl>
      <w:tblPr>
        <w:tblStyle w:val="24"/>
        <w:tblW w:w="0" w:type="auto"/>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2706"/>
        <w:gridCol w:w="2625"/>
        <w:gridCol w:w="1631"/>
      </w:tblGrid>
      <w:tr w14:paraId="3616E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365" w:type="dxa"/>
            <w:noWrap/>
            <w:vAlign w:val="center"/>
          </w:tcPr>
          <w:p w14:paraId="27D27D83">
            <w:pPr>
              <w:spacing w:line="400" w:lineRule="exact"/>
              <w:ind w:left="422"/>
              <w:rPr>
                <w:rFonts w:hint="eastAsia" w:ascii="黑体" w:hAnsi="黑体" w:eastAsia="黑体" w:cs="黑体"/>
                <w:szCs w:val="21"/>
              </w:rPr>
            </w:pPr>
            <w:r>
              <w:rPr>
                <w:rFonts w:hint="eastAsia" w:ascii="黑体" w:hAnsi="黑体" w:eastAsia="黑体" w:cs="黑体"/>
                <w:szCs w:val="21"/>
              </w:rPr>
              <w:t>序号</w:t>
            </w:r>
          </w:p>
        </w:tc>
        <w:tc>
          <w:tcPr>
            <w:tcW w:w="2706" w:type="dxa"/>
            <w:noWrap/>
            <w:vAlign w:val="center"/>
          </w:tcPr>
          <w:p w14:paraId="5125C303">
            <w:pPr>
              <w:spacing w:line="400" w:lineRule="exact"/>
              <w:rPr>
                <w:rFonts w:hint="eastAsia" w:ascii="黑体" w:hAnsi="黑体" w:eastAsia="黑体" w:cs="黑体"/>
                <w:szCs w:val="21"/>
              </w:rPr>
            </w:pPr>
            <w:r>
              <w:rPr>
                <w:rFonts w:hint="eastAsia" w:ascii="黑体" w:hAnsi="黑体" w:eastAsia="黑体" w:cs="黑体"/>
                <w:szCs w:val="21"/>
              </w:rPr>
              <w:t>采购文件技术规格及要求</w:t>
            </w:r>
          </w:p>
        </w:tc>
        <w:tc>
          <w:tcPr>
            <w:tcW w:w="2625" w:type="dxa"/>
            <w:noWrap/>
            <w:vAlign w:val="center"/>
          </w:tcPr>
          <w:p w14:paraId="30B71B50">
            <w:pPr>
              <w:spacing w:line="400" w:lineRule="exact"/>
              <w:rPr>
                <w:rFonts w:hint="eastAsia" w:ascii="黑体" w:hAnsi="黑体" w:eastAsia="黑体" w:cs="黑体"/>
                <w:szCs w:val="21"/>
              </w:rPr>
            </w:pPr>
            <w:r>
              <w:rPr>
                <w:rFonts w:hint="eastAsia" w:ascii="黑体" w:hAnsi="黑体" w:eastAsia="黑体" w:cs="黑体"/>
                <w:szCs w:val="21"/>
              </w:rPr>
              <w:t>响应文件技术指标情况</w:t>
            </w:r>
          </w:p>
        </w:tc>
        <w:tc>
          <w:tcPr>
            <w:tcW w:w="1631" w:type="dxa"/>
            <w:noWrap/>
            <w:vAlign w:val="center"/>
          </w:tcPr>
          <w:p w14:paraId="7B9FA200">
            <w:pPr>
              <w:spacing w:line="400" w:lineRule="exact"/>
              <w:ind w:firstLine="210" w:firstLineChars="100"/>
              <w:rPr>
                <w:rFonts w:hint="eastAsia" w:ascii="黑体" w:hAnsi="黑体" w:eastAsia="黑体" w:cs="黑体"/>
                <w:szCs w:val="21"/>
              </w:rPr>
            </w:pPr>
            <w:r>
              <w:rPr>
                <w:rFonts w:hint="eastAsia" w:ascii="黑体" w:hAnsi="黑体" w:eastAsia="黑体" w:cs="黑体"/>
                <w:szCs w:val="21"/>
              </w:rPr>
              <w:t>具体说明</w:t>
            </w:r>
          </w:p>
        </w:tc>
      </w:tr>
      <w:tr w14:paraId="47439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365" w:type="dxa"/>
            <w:noWrap/>
          </w:tcPr>
          <w:p w14:paraId="27B4D815">
            <w:pPr>
              <w:spacing w:line="400" w:lineRule="exact"/>
              <w:ind w:left="422"/>
              <w:jc w:val="center"/>
              <w:rPr>
                <w:rFonts w:hint="eastAsia" w:ascii="黑体" w:hAnsi="黑体" w:eastAsia="黑体" w:cs="黑体"/>
                <w:szCs w:val="21"/>
              </w:rPr>
            </w:pPr>
          </w:p>
        </w:tc>
        <w:tc>
          <w:tcPr>
            <w:tcW w:w="2706" w:type="dxa"/>
            <w:noWrap/>
          </w:tcPr>
          <w:p w14:paraId="5FD2664F">
            <w:pPr>
              <w:spacing w:line="400" w:lineRule="exact"/>
              <w:ind w:left="422"/>
              <w:jc w:val="center"/>
              <w:rPr>
                <w:rFonts w:hint="eastAsia" w:ascii="黑体" w:hAnsi="黑体" w:eastAsia="黑体" w:cs="黑体"/>
                <w:szCs w:val="21"/>
              </w:rPr>
            </w:pPr>
          </w:p>
        </w:tc>
        <w:tc>
          <w:tcPr>
            <w:tcW w:w="2625" w:type="dxa"/>
            <w:noWrap/>
          </w:tcPr>
          <w:p w14:paraId="25ABC5E2">
            <w:pPr>
              <w:spacing w:line="400" w:lineRule="exact"/>
              <w:ind w:left="422"/>
              <w:rPr>
                <w:rFonts w:hint="eastAsia" w:ascii="黑体" w:hAnsi="黑体" w:eastAsia="黑体" w:cs="黑体"/>
                <w:szCs w:val="21"/>
              </w:rPr>
            </w:pPr>
          </w:p>
        </w:tc>
        <w:tc>
          <w:tcPr>
            <w:tcW w:w="1631" w:type="dxa"/>
            <w:noWrap/>
          </w:tcPr>
          <w:p w14:paraId="49D33921">
            <w:pPr>
              <w:spacing w:line="400" w:lineRule="exact"/>
              <w:ind w:left="422"/>
              <w:rPr>
                <w:rFonts w:hint="eastAsia" w:ascii="黑体" w:hAnsi="黑体" w:eastAsia="黑体" w:cs="黑体"/>
                <w:szCs w:val="21"/>
              </w:rPr>
            </w:pPr>
          </w:p>
        </w:tc>
      </w:tr>
      <w:tr w14:paraId="0BD39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365" w:type="dxa"/>
            <w:noWrap/>
          </w:tcPr>
          <w:p w14:paraId="0658782C">
            <w:pPr>
              <w:spacing w:line="400" w:lineRule="exact"/>
              <w:ind w:left="422"/>
              <w:jc w:val="center"/>
              <w:rPr>
                <w:rFonts w:hint="eastAsia" w:ascii="黑体" w:hAnsi="黑体" w:eastAsia="黑体" w:cs="黑体"/>
                <w:szCs w:val="21"/>
              </w:rPr>
            </w:pPr>
          </w:p>
        </w:tc>
        <w:tc>
          <w:tcPr>
            <w:tcW w:w="2706" w:type="dxa"/>
            <w:noWrap/>
          </w:tcPr>
          <w:p w14:paraId="0B06D587">
            <w:pPr>
              <w:spacing w:line="400" w:lineRule="exact"/>
              <w:ind w:left="422"/>
              <w:jc w:val="center"/>
              <w:rPr>
                <w:rFonts w:hint="eastAsia" w:ascii="黑体" w:hAnsi="黑体" w:eastAsia="黑体" w:cs="黑体"/>
                <w:szCs w:val="21"/>
              </w:rPr>
            </w:pPr>
          </w:p>
        </w:tc>
        <w:tc>
          <w:tcPr>
            <w:tcW w:w="2625" w:type="dxa"/>
            <w:noWrap/>
          </w:tcPr>
          <w:p w14:paraId="203A4F99">
            <w:pPr>
              <w:spacing w:line="400" w:lineRule="exact"/>
              <w:ind w:left="422"/>
              <w:rPr>
                <w:rFonts w:hint="eastAsia" w:ascii="黑体" w:hAnsi="黑体" w:eastAsia="黑体" w:cs="黑体"/>
                <w:szCs w:val="21"/>
              </w:rPr>
            </w:pPr>
          </w:p>
        </w:tc>
        <w:tc>
          <w:tcPr>
            <w:tcW w:w="1631" w:type="dxa"/>
            <w:noWrap/>
          </w:tcPr>
          <w:p w14:paraId="780C52DB">
            <w:pPr>
              <w:spacing w:line="400" w:lineRule="exact"/>
              <w:ind w:left="422"/>
              <w:rPr>
                <w:rFonts w:hint="eastAsia" w:ascii="黑体" w:hAnsi="黑体" w:eastAsia="黑体" w:cs="黑体"/>
                <w:szCs w:val="21"/>
              </w:rPr>
            </w:pPr>
          </w:p>
        </w:tc>
      </w:tr>
      <w:tr w14:paraId="65141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365" w:type="dxa"/>
            <w:noWrap/>
          </w:tcPr>
          <w:p w14:paraId="4F5C018D">
            <w:pPr>
              <w:spacing w:line="400" w:lineRule="exact"/>
              <w:ind w:left="422"/>
              <w:jc w:val="center"/>
              <w:rPr>
                <w:rFonts w:hint="eastAsia" w:ascii="黑体" w:hAnsi="黑体" w:eastAsia="黑体" w:cs="黑体"/>
                <w:szCs w:val="21"/>
              </w:rPr>
            </w:pPr>
          </w:p>
        </w:tc>
        <w:tc>
          <w:tcPr>
            <w:tcW w:w="2706" w:type="dxa"/>
            <w:noWrap/>
          </w:tcPr>
          <w:p w14:paraId="17B45465">
            <w:pPr>
              <w:spacing w:line="400" w:lineRule="exact"/>
              <w:ind w:left="422"/>
              <w:jc w:val="center"/>
              <w:rPr>
                <w:rFonts w:hint="eastAsia" w:ascii="黑体" w:hAnsi="黑体" w:eastAsia="黑体" w:cs="黑体"/>
                <w:szCs w:val="21"/>
              </w:rPr>
            </w:pPr>
          </w:p>
        </w:tc>
        <w:tc>
          <w:tcPr>
            <w:tcW w:w="2625" w:type="dxa"/>
            <w:noWrap/>
          </w:tcPr>
          <w:p w14:paraId="7C1655D1">
            <w:pPr>
              <w:spacing w:line="400" w:lineRule="exact"/>
              <w:ind w:left="422"/>
              <w:rPr>
                <w:rFonts w:hint="eastAsia" w:ascii="黑体" w:hAnsi="黑体" w:eastAsia="黑体" w:cs="黑体"/>
                <w:szCs w:val="21"/>
              </w:rPr>
            </w:pPr>
          </w:p>
        </w:tc>
        <w:tc>
          <w:tcPr>
            <w:tcW w:w="1631" w:type="dxa"/>
            <w:noWrap/>
          </w:tcPr>
          <w:p w14:paraId="7FE73CCA">
            <w:pPr>
              <w:spacing w:line="400" w:lineRule="exact"/>
              <w:ind w:left="422"/>
              <w:rPr>
                <w:rFonts w:hint="eastAsia" w:ascii="黑体" w:hAnsi="黑体" w:eastAsia="黑体" w:cs="黑体"/>
                <w:szCs w:val="21"/>
              </w:rPr>
            </w:pPr>
          </w:p>
        </w:tc>
      </w:tr>
      <w:tr w14:paraId="6B2C8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365" w:type="dxa"/>
            <w:noWrap/>
          </w:tcPr>
          <w:p w14:paraId="4F356AC1">
            <w:pPr>
              <w:spacing w:line="400" w:lineRule="exact"/>
              <w:ind w:left="422"/>
              <w:jc w:val="center"/>
              <w:rPr>
                <w:rFonts w:hint="eastAsia" w:ascii="黑体" w:hAnsi="黑体" w:eastAsia="黑体" w:cs="黑体"/>
                <w:szCs w:val="21"/>
              </w:rPr>
            </w:pPr>
          </w:p>
        </w:tc>
        <w:tc>
          <w:tcPr>
            <w:tcW w:w="2706" w:type="dxa"/>
            <w:noWrap/>
          </w:tcPr>
          <w:p w14:paraId="4F4D4D46">
            <w:pPr>
              <w:spacing w:line="400" w:lineRule="exact"/>
              <w:ind w:left="422"/>
              <w:jc w:val="center"/>
              <w:rPr>
                <w:rFonts w:hint="eastAsia" w:ascii="黑体" w:hAnsi="黑体" w:eastAsia="黑体" w:cs="黑体"/>
                <w:szCs w:val="21"/>
              </w:rPr>
            </w:pPr>
          </w:p>
        </w:tc>
        <w:tc>
          <w:tcPr>
            <w:tcW w:w="2625" w:type="dxa"/>
            <w:noWrap/>
          </w:tcPr>
          <w:p w14:paraId="639A4421">
            <w:pPr>
              <w:spacing w:line="400" w:lineRule="exact"/>
              <w:ind w:left="422"/>
              <w:rPr>
                <w:rFonts w:hint="eastAsia" w:ascii="黑体" w:hAnsi="黑体" w:eastAsia="黑体" w:cs="黑体"/>
                <w:szCs w:val="21"/>
              </w:rPr>
            </w:pPr>
          </w:p>
        </w:tc>
        <w:tc>
          <w:tcPr>
            <w:tcW w:w="1631" w:type="dxa"/>
            <w:noWrap/>
          </w:tcPr>
          <w:p w14:paraId="30348DB1">
            <w:pPr>
              <w:spacing w:line="400" w:lineRule="exact"/>
              <w:ind w:left="422"/>
              <w:rPr>
                <w:rFonts w:hint="eastAsia" w:ascii="黑体" w:hAnsi="黑体" w:eastAsia="黑体" w:cs="黑体"/>
                <w:szCs w:val="21"/>
              </w:rPr>
            </w:pPr>
          </w:p>
        </w:tc>
      </w:tr>
      <w:tr w14:paraId="5A910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365" w:type="dxa"/>
            <w:noWrap/>
          </w:tcPr>
          <w:p w14:paraId="257AF41A">
            <w:pPr>
              <w:spacing w:line="400" w:lineRule="exact"/>
              <w:ind w:left="422"/>
              <w:jc w:val="center"/>
              <w:rPr>
                <w:rFonts w:hint="eastAsia" w:ascii="黑体" w:hAnsi="黑体" w:eastAsia="黑体" w:cs="黑体"/>
                <w:szCs w:val="21"/>
              </w:rPr>
            </w:pPr>
          </w:p>
        </w:tc>
        <w:tc>
          <w:tcPr>
            <w:tcW w:w="2706" w:type="dxa"/>
            <w:noWrap/>
          </w:tcPr>
          <w:p w14:paraId="78F35066">
            <w:pPr>
              <w:spacing w:line="400" w:lineRule="exact"/>
              <w:ind w:left="422"/>
              <w:jc w:val="center"/>
              <w:rPr>
                <w:rFonts w:hint="eastAsia" w:ascii="黑体" w:hAnsi="黑体" w:eastAsia="黑体" w:cs="黑体"/>
                <w:szCs w:val="21"/>
              </w:rPr>
            </w:pPr>
          </w:p>
        </w:tc>
        <w:tc>
          <w:tcPr>
            <w:tcW w:w="2625" w:type="dxa"/>
            <w:noWrap/>
          </w:tcPr>
          <w:p w14:paraId="296059C9">
            <w:pPr>
              <w:spacing w:line="400" w:lineRule="exact"/>
              <w:ind w:left="422"/>
              <w:rPr>
                <w:rFonts w:hint="eastAsia" w:ascii="黑体" w:hAnsi="黑体" w:eastAsia="黑体" w:cs="黑体"/>
                <w:szCs w:val="21"/>
              </w:rPr>
            </w:pPr>
          </w:p>
        </w:tc>
        <w:tc>
          <w:tcPr>
            <w:tcW w:w="1631" w:type="dxa"/>
            <w:noWrap/>
          </w:tcPr>
          <w:p w14:paraId="706129E4">
            <w:pPr>
              <w:spacing w:line="400" w:lineRule="exact"/>
              <w:ind w:left="422"/>
              <w:rPr>
                <w:rFonts w:hint="eastAsia" w:ascii="黑体" w:hAnsi="黑体" w:eastAsia="黑体" w:cs="黑体"/>
                <w:szCs w:val="21"/>
              </w:rPr>
            </w:pPr>
          </w:p>
        </w:tc>
      </w:tr>
      <w:tr w14:paraId="3E3BC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365" w:type="dxa"/>
            <w:noWrap/>
          </w:tcPr>
          <w:p w14:paraId="07D38F3E">
            <w:pPr>
              <w:spacing w:line="400" w:lineRule="exact"/>
              <w:ind w:left="422"/>
              <w:jc w:val="center"/>
              <w:rPr>
                <w:rFonts w:hint="eastAsia" w:ascii="黑体" w:hAnsi="黑体" w:eastAsia="黑体" w:cs="黑体"/>
                <w:szCs w:val="21"/>
              </w:rPr>
            </w:pPr>
          </w:p>
        </w:tc>
        <w:tc>
          <w:tcPr>
            <w:tcW w:w="2706" w:type="dxa"/>
            <w:noWrap/>
          </w:tcPr>
          <w:p w14:paraId="5A2AFF4F">
            <w:pPr>
              <w:spacing w:line="400" w:lineRule="exact"/>
              <w:ind w:left="422"/>
              <w:jc w:val="center"/>
              <w:rPr>
                <w:rFonts w:hint="eastAsia" w:ascii="黑体" w:hAnsi="黑体" w:eastAsia="黑体" w:cs="黑体"/>
                <w:szCs w:val="21"/>
              </w:rPr>
            </w:pPr>
          </w:p>
        </w:tc>
        <w:tc>
          <w:tcPr>
            <w:tcW w:w="2625" w:type="dxa"/>
            <w:noWrap/>
          </w:tcPr>
          <w:p w14:paraId="3E9165F9">
            <w:pPr>
              <w:spacing w:line="400" w:lineRule="exact"/>
              <w:ind w:left="422"/>
              <w:rPr>
                <w:rFonts w:hint="eastAsia" w:ascii="黑体" w:hAnsi="黑体" w:eastAsia="黑体" w:cs="黑体"/>
                <w:szCs w:val="21"/>
              </w:rPr>
            </w:pPr>
          </w:p>
        </w:tc>
        <w:tc>
          <w:tcPr>
            <w:tcW w:w="1631" w:type="dxa"/>
            <w:noWrap/>
          </w:tcPr>
          <w:p w14:paraId="6B01C6FD">
            <w:pPr>
              <w:spacing w:line="400" w:lineRule="exact"/>
              <w:ind w:left="422"/>
              <w:rPr>
                <w:rFonts w:hint="eastAsia" w:ascii="黑体" w:hAnsi="黑体" w:eastAsia="黑体" w:cs="黑体"/>
                <w:szCs w:val="21"/>
              </w:rPr>
            </w:pPr>
          </w:p>
        </w:tc>
      </w:tr>
      <w:tr w14:paraId="5B54A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365" w:type="dxa"/>
            <w:noWrap/>
          </w:tcPr>
          <w:p w14:paraId="165ABF41">
            <w:pPr>
              <w:spacing w:line="400" w:lineRule="exact"/>
              <w:ind w:left="422"/>
              <w:jc w:val="center"/>
              <w:rPr>
                <w:rFonts w:hint="eastAsia" w:ascii="黑体" w:hAnsi="黑体" w:eastAsia="黑体" w:cs="黑体"/>
                <w:szCs w:val="21"/>
              </w:rPr>
            </w:pPr>
          </w:p>
        </w:tc>
        <w:tc>
          <w:tcPr>
            <w:tcW w:w="2706" w:type="dxa"/>
            <w:noWrap/>
          </w:tcPr>
          <w:p w14:paraId="3267DD02">
            <w:pPr>
              <w:spacing w:line="400" w:lineRule="exact"/>
              <w:ind w:left="422"/>
              <w:jc w:val="center"/>
              <w:rPr>
                <w:rFonts w:hint="eastAsia" w:ascii="黑体" w:hAnsi="黑体" w:eastAsia="黑体" w:cs="黑体"/>
                <w:szCs w:val="21"/>
              </w:rPr>
            </w:pPr>
          </w:p>
        </w:tc>
        <w:tc>
          <w:tcPr>
            <w:tcW w:w="2625" w:type="dxa"/>
            <w:noWrap/>
          </w:tcPr>
          <w:p w14:paraId="559658A3">
            <w:pPr>
              <w:spacing w:line="400" w:lineRule="exact"/>
              <w:ind w:left="422"/>
              <w:rPr>
                <w:rFonts w:hint="eastAsia" w:ascii="黑体" w:hAnsi="黑体" w:eastAsia="黑体" w:cs="黑体"/>
                <w:szCs w:val="21"/>
              </w:rPr>
            </w:pPr>
          </w:p>
        </w:tc>
        <w:tc>
          <w:tcPr>
            <w:tcW w:w="1631" w:type="dxa"/>
            <w:noWrap/>
          </w:tcPr>
          <w:p w14:paraId="03D346ED">
            <w:pPr>
              <w:spacing w:line="400" w:lineRule="exact"/>
              <w:ind w:left="422"/>
              <w:rPr>
                <w:rFonts w:hint="eastAsia" w:ascii="黑体" w:hAnsi="黑体" w:eastAsia="黑体" w:cs="黑体"/>
                <w:szCs w:val="21"/>
              </w:rPr>
            </w:pPr>
          </w:p>
        </w:tc>
      </w:tr>
      <w:tr w14:paraId="14786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365" w:type="dxa"/>
            <w:noWrap/>
          </w:tcPr>
          <w:p w14:paraId="5891D362">
            <w:pPr>
              <w:spacing w:line="400" w:lineRule="exact"/>
              <w:ind w:left="422"/>
              <w:jc w:val="center"/>
              <w:rPr>
                <w:rFonts w:hint="eastAsia" w:ascii="黑体" w:hAnsi="黑体" w:eastAsia="黑体" w:cs="黑体"/>
                <w:szCs w:val="21"/>
              </w:rPr>
            </w:pPr>
          </w:p>
        </w:tc>
        <w:tc>
          <w:tcPr>
            <w:tcW w:w="2706" w:type="dxa"/>
            <w:noWrap/>
          </w:tcPr>
          <w:p w14:paraId="6D674C29">
            <w:pPr>
              <w:spacing w:line="400" w:lineRule="exact"/>
              <w:ind w:left="422"/>
              <w:jc w:val="center"/>
              <w:rPr>
                <w:rFonts w:hint="eastAsia" w:ascii="黑体" w:hAnsi="黑体" w:eastAsia="黑体" w:cs="黑体"/>
                <w:szCs w:val="21"/>
              </w:rPr>
            </w:pPr>
          </w:p>
        </w:tc>
        <w:tc>
          <w:tcPr>
            <w:tcW w:w="2625" w:type="dxa"/>
            <w:noWrap/>
          </w:tcPr>
          <w:p w14:paraId="2EE1C0E0">
            <w:pPr>
              <w:spacing w:line="400" w:lineRule="exact"/>
              <w:ind w:left="422"/>
              <w:rPr>
                <w:rFonts w:hint="eastAsia" w:ascii="黑体" w:hAnsi="黑体" w:eastAsia="黑体" w:cs="黑体"/>
                <w:szCs w:val="21"/>
              </w:rPr>
            </w:pPr>
          </w:p>
        </w:tc>
        <w:tc>
          <w:tcPr>
            <w:tcW w:w="1631" w:type="dxa"/>
            <w:noWrap/>
          </w:tcPr>
          <w:p w14:paraId="25B10E25">
            <w:pPr>
              <w:spacing w:line="400" w:lineRule="exact"/>
              <w:ind w:left="422"/>
              <w:rPr>
                <w:rFonts w:hint="eastAsia" w:ascii="黑体" w:hAnsi="黑体" w:eastAsia="黑体" w:cs="黑体"/>
                <w:szCs w:val="21"/>
              </w:rPr>
            </w:pPr>
          </w:p>
        </w:tc>
      </w:tr>
    </w:tbl>
    <w:p w14:paraId="6927987A"/>
    <w:p w14:paraId="2F117D01">
      <w:pPr>
        <w:rPr>
          <w:rFonts w:hint="eastAsia" w:ascii="黑体" w:hAnsi="黑体" w:eastAsia="黑体"/>
        </w:rPr>
      </w:pPr>
      <w:bookmarkStart w:id="329" w:name="_Toc24309"/>
      <w:bookmarkStart w:id="330" w:name="_Toc15458"/>
      <w:r>
        <w:rPr>
          <w:rFonts w:hint="eastAsia" w:ascii="黑体" w:hAnsi="黑体" w:eastAsia="黑体"/>
        </w:rPr>
        <w:t xml:space="preserve"> 供应商名称（公章）：</w:t>
      </w:r>
      <w:bookmarkEnd w:id="329"/>
      <w:bookmarkEnd w:id="330"/>
    </w:p>
    <w:p w14:paraId="4CF54C6E">
      <w:pPr>
        <w:spacing w:line="400" w:lineRule="exact"/>
        <w:ind w:left="422" w:firstLine="422"/>
        <w:jc w:val="center"/>
        <w:rPr>
          <w:rFonts w:hint="eastAsia" w:ascii="黑体" w:hAnsi="黑体" w:eastAsia="黑体" w:cs="黑体"/>
          <w:b/>
          <w:szCs w:val="21"/>
        </w:rPr>
      </w:pPr>
    </w:p>
    <w:p w14:paraId="7981F338">
      <w:pPr>
        <w:ind w:firstLine="140" w:firstLineChars="67"/>
        <w:rPr>
          <w:rFonts w:hint="eastAsia" w:ascii="黑体" w:hAnsi="黑体" w:eastAsia="黑体"/>
          <w:i/>
        </w:rPr>
      </w:pPr>
      <w:bookmarkStart w:id="331" w:name="_Toc32441"/>
      <w:bookmarkStart w:id="332" w:name="_Toc3954"/>
      <w:r>
        <w:rPr>
          <w:rFonts w:hint="eastAsia" w:ascii="黑体" w:hAnsi="黑体" w:eastAsia="黑体"/>
        </w:rPr>
        <w:t>授权代表签字：</w:t>
      </w:r>
      <w:bookmarkEnd w:id="331"/>
      <w:bookmarkEnd w:id="332"/>
    </w:p>
    <w:p w14:paraId="095CB4B1">
      <w:pPr>
        <w:spacing w:line="400" w:lineRule="exact"/>
        <w:ind w:left="422"/>
        <w:rPr>
          <w:rFonts w:hint="eastAsia" w:ascii="黑体" w:hAnsi="黑体" w:eastAsia="黑体" w:cs="黑体"/>
          <w:szCs w:val="21"/>
        </w:rPr>
      </w:pPr>
    </w:p>
    <w:p w14:paraId="2440B110">
      <w:pPr>
        <w:spacing w:line="400" w:lineRule="exact"/>
        <w:ind w:left="422"/>
        <w:rPr>
          <w:rFonts w:hint="eastAsia" w:ascii="黑体" w:hAnsi="黑体" w:eastAsia="黑体" w:cs="黑体"/>
          <w:szCs w:val="21"/>
        </w:rPr>
      </w:pPr>
      <w:r>
        <w:rPr>
          <w:rFonts w:hint="eastAsia" w:ascii="黑体" w:hAnsi="黑体" w:eastAsia="黑体" w:cs="黑体"/>
          <w:szCs w:val="21"/>
        </w:rPr>
        <w:t>注：1.如供应商无任何偏离，也需在响应表中注明并在响应文件中递交此表。</w:t>
      </w:r>
    </w:p>
    <w:p w14:paraId="60D56C22">
      <w:pPr>
        <w:spacing w:line="400" w:lineRule="exact"/>
        <w:ind w:left="422" w:firstLine="420" w:firstLineChars="200"/>
        <w:rPr>
          <w:rFonts w:hint="eastAsia" w:ascii="黑体" w:hAnsi="黑体" w:eastAsia="黑体" w:cs="黑体"/>
          <w:szCs w:val="21"/>
        </w:rPr>
      </w:pPr>
      <w:r>
        <w:rPr>
          <w:rFonts w:hint="eastAsia" w:ascii="黑体" w:hAnsi="黑体" w:eastAsia="黑体" w:cs="黑体"/>
          <w:szCs w:val="21"/>
        </w:rPr>
        <w:t>2.供应商若未填写此表，将被认为响应采购文件全部技术条款。</w:t>
      </w:r>
    </w:p>
    <w:p w14:paraId="600A97F6">
      <w:pPr>
        <w:spacing w:line="400" w:lineRule="exact"/>
        <w:ind w:left="210" w:leftChars="100" w:firstLine="630" w:firstLineChars="300"/>
        <w:rPr>
          <w:rFonts w:hint="eastAsia" w:ascii="黑体" w:hAnsi="黑体" w:eastAsia="黑体" w:cs="黑体"/>
          <w:szCs w:val="21"/>
        </w:rPr>
      </w:pPr>
      <w:r>
        <w:rPr>
          <w:rFonts w:hint="eastAsia" w:ascii="黑体" w:hAnsi="黑体" w:eastAsia="黑体" w:cs="黑体"/>
          <w:szCs w:val="21"/>
        </w:rPr>
        <w:t>3.行数不够，可自行添加。</w:t>
      </w:r>
    </w:p>
    <w:p w14:paraId="0C75E193">
      <w:pPr>
        <w:widowControl/>
        <w:jc w:val="left"/>
      </w:pPr>
      <w:r>
        <w:br w:type="page"/>
      </w:r>
    </w:p>
    <w:p w14:paraId="67955772">
      <w:pPr>
        <w:pStyle w:val="6"/>
        <w:spacing w:line="360" w:lineRule="auto"/>
        <w:rPr>
          <w:rFonts w:hint="eastAsia" w:ascii="黑体" w:hAnsi="黑体" w:eastAsia="黑体" w:cs="宋体"/>
          <w:b w:val="0"/>
          <w:sz w:val="21"/>
          <w:szCs w:val="21"/>
        </w:rPr>
      </w:pPr>
      <w:r>
        <w:rPr>
          <w:rFonts w:hint="eastAsia" w:ascii="黑体" w:hAnsi="黑体" w:eastAsia="黑体" w:cs="宋体"/>
          <w:b w:val="0"/>
          <w:sz w:val="21"/>
          <w:szCs w:val="21"/>
        </w:rPr>
        <w:t>附件七、无重大违法记录声明格式</w:t>
      </w:r>
    </w:p>
    <w:p w14:paraId="6748A3F4">
      <w:pPr>
        <w:spacing w:line="360" w:lineRule="auto"/>
        <w:ind w:left="422"/>
        <w:rPr>
          <w:rFonts w:hint="eastAsia" w:ascii="黑体" w:hAnsi="黑体" w:eastAsia="黑体"/>
          <w:b/>
        </w:rPr>
      </w:pPr>
    </w:p>
    <w:p w14:paraId="68C6A4ED">
      <w:pPr>
        <w:widowControl/>
        <w:adjustRightInd w:val="0"/>
        <w:spacing w:line="240" w:lineRule="atLeast"/>
        <w:ind w:left="422" w:firstLine="480"/>
        <w:rPr>
          <w:b/>
          <w:sz w:val="24"/>
          <w:szCs w:val="24"/>
        </w:rPr>
      </w:pPr>
    </w:p>
    <w:p w14:paraId="27B1F769">
      <w:pPr>
        <w:widowControl/>
        <w:shd w:val="clear" w:color="auto" w:fill="FFFFFF"/>
        <w:spacing w:before="312" w:beforeLines="100" w:line="360" w:lineRule="auto"/>
        <w:ind w:left="422" w:firstLine="2520" w:firstLineChars="700"/>
        <w:rPr>
          <w:rFonts w:hint="eastAsia" w:ascii="黑体" w:hAnsi="黑体" w:eastAsia="黑体"/>
          <w:b/>
          <w:kern w:val="0"/>
          <w:sz w:val="36"/>
          <w:szCs w:val="36"/>
        </w:rPr>
      </w:pPr>
      <w:r>
        <w:rPr>
          <w:rFonts w:hint="eastAsia" w:ascii="黑体" w:hAnsi="黑体" w:eastAsia="黑体"/>
          <w:b/>
          <w:kern w:val="0"/>
          <w:sz w:val="36"/>
          <w:szCs w:val="36"/>
        </w:rPr>
        <w:t>无重大违法记录声明</w:t>
      </w:r>
    </w:p>
    <w:p w14:paraId="716D2C6A">
      <w:pPr>
        <w:spacing w:line="360" w:lineRule="auto"/>
        <w:ind w:left="422" w:firstLine="480"/>
        <w:rPr>
          <w:sz w:val="24"/>
          <w:szCs w:val="24"/>
        </w:rPr>
      </w:pPr>
    </w:p>
    <w:p w14:paraId="044DE455">
      <w:pPr>
        <w:spacing w:line="360" w:lineRule="auto"/>
        <w:ind w:left="422"/>
        <w:rPr>
          <w:sz w:val="24"/>
          <w:szCs w:val="24"/>
        </w:rPr>
      </w:pPr>
      <w:r>
        <w:rPr>
          <w:rFonts w:hint="eastAsia" w:ascii="黑体" w:hAnsi="黑体" w:eastAsia="黑体" w:cs="黑体"/>
          <w:snapToGrid w:val="0"/>
          <w:kern w:val="0"/>
          <w:szCs w:val="21"/>
          <w:u w:val="single"/>
        </w:rPr>
        <w:t xml:space="preserve">                         </w:t>
      </w:r>
      <w:r>
        <w:rPr>
          <w:rFonts w:hint="eastAsia"/>
          <w:sz w:val="24"/>
          <w:szCs w:val="24"/>
        </w:rPr>
        <w:t>：</w:t>
      </w:r>
    </w:p>
    <w:p w14:paraId="3B3D543D">
      <w:pPr>
        <w:spacing w:line="400" w:lineRule="exact"/>
        <w:ind w:left="422"/>
        <w:rPr>
          <w:rFonts w:hint="eastAsia" w:ascii="黑体" w:hAnsi="黑体" w:eastAsia="黑体" w:cs="黑体"/>
          <w:szCs w:val="21"/>
        </w:rPr>
      </w:pPr>
      <w:r>
        <w:rPr>
          <w:rFonts w:hint="eastAsia" w:ascii="黑体" w:hAnsi="黑体" w:eastAsia="黑体" w:cs="黑体"/>
          <w:szCs w:val="21"/>
        </w:rPr>
        <w:t xml:space="preserve">    我单位（供应商名称）郑重声明：</w:t>
      </w:r>
    </w:p>
    <w:p w14:paraId="3AD58D50">
      <w:pPr>
        <w:spacing w:line="400" w:lineRule="exact"/>
        <w:ind w:left="422"/>
        <w:rPr>
          <w:rFonts w:hint="eastAsia" w:ascii="黑体" w:hAnsi="黑体" w:eastAsia="黑体" w:cs="黑体"/>
          <w:szCs w:val="21"/>
        </w:rPr>
      </w:pPr>
      <w:r>
        <w:rPr>
          <w:rFonts w:hint="eastAsia" w:ascii="黑体" w:hAnsi="黑体" w:eastAsia="黑体" w:cs="黑体"/>
          <w:szCs w:val="21"/>
        </w:rPr>
        <w:t xml:space="preserve">    参加政府采购活动前3年内在经营活动中（在下划线上如实填写：有或没有）重大违法记录。</w:t>
      </w:r>
    </w:p>
    <w:p w14:paraId="2D9B1825">
      <w:pPr>
        <w:spacing w:line="400" w:lineRule="exact"/>
        <w:ind w:left="422"/>
        <w:rPr>
          <w:rFonts w:hint="eastAsia" w:ascii="黑体" w:hAnsi="黑体" w:eastAsia="黑体" w:cs="黑体"/>
          <w:szCs w:val="21"/>
        </w:rPr>
      </w:pPr>
      <w:r>
        <w:rPr>
          <w:rFonts w:hint="eastAsia" w:ascii="黑体" w:hAnsi="黑体" w:eastAsia="黑体" w:cs="黑体"/>
          <w:szCs w:val="21"/>
        </w:rPr>
        <w:t xml:space="preserve">    （说明：政府采购法第二十二条第一款第五项所称重大违法记录，是指供应商因违法经营受到刑事处罚或者责令停产停业、吊销许可证或者执照、较大数额罚款等行政处罚。）</w:t>
      </w:r>
    </w:p>
    <w:p w14:paraId="31FA145D">
      <w:pPr>
        <w:spacing w:line="400" w:lineRule="exact"/>
        <w:ind w:left="422"/>
        <w:rPr>
          <w:rFonts w:hint="eastAsia" w:ascii="黑体" w:hAnsi="黑体" w:eastAsia="黑体" w:cs="黑体"/>
          <w:szCs w:val="21"/>
        </w:rPr>
      </w:pPr>
    </w:p>
    <w:p w14:paraId="61EC1437">
      <w:pPr>
        <w:spacing w:line="400" w:lineRule="exact"/>
        <w:ind w:left="422"/>
        <w:rPr>
          <w:rFonts w:hint="eastAsia" w:ascii="黑体" w:hAnsi="黑体" w:eastAsia="黑体" w:cs="黑体"/>
          <w:szCs w:val="21"/>
        </w:rPr>
      </w:pPr>
      <w:r>
        <w:rPr>
          <w:rFonts w:hint="eastAsia" w:ascii="黑体" w:hAnsi="黑体" w:eastAsia="黑体" w:cs="黑体"/>
          <w:szCs w:val="21"/>
        </w:rPr>
        <w:t xml:space="preserve">                                                声明人：（公章）</w:t>
      </w:r>
    </w:p>
    <w:p w14:paraId="38D0796B">
      <w:pPr>
        <w:spacing w:line="400" w:lineRule="exact"/>
        <w:ind w:left="422"/>
        <w:rPr>
          <w:rFonts w:hint="eastAsia" w:ascii="黑体" w:hAnsi="黑体" w:eastAsia="黑体" w:cs="黑体"/>
          <w:szCs w:val="21"/>
        </w:rPr>
      </w:pPr>
      <w:r>
        <w:rPr>
          <w:rFonts w:hint="eastAsia" w:ascii="黑体" w:hAnsi="黑体" w:eastAsia="黑体" w:cs="黑体"/>
          <w:szCs w:val="21"/>
        </w:rPr>
        <w:t xml:space="preserve">                                                年     月    日</w:t>
      </w:r>
    </w:p>
    <w:p w14:paraId="74068682">
      <w:pPr>
        <w:widowControl/>
        <w:jc w:val="left"/>
        <w:rPr>
          <w:rFonts w:hint="eastAsia" w:ascii="宋体" w:hAnsi="宋体"/>
          <w:b/>
        </w:rPr>
      </w:pPr>
      <w:r>
        <w:rPr>
          <w:rFonts w:hint="eastAsia" w:ascii="宋体" w:hAnsi="宋体"/>
          <w:b/>
        </w:rPr>
        <w:br w:type="page"/>
      </w:r>
    </w:p>
    <w:p w14:paraId="39632310">
      <w:pPr>
        <w:pStyle w:val="6"/>
        <w:spacing w:line="360" w:lineRule="auto"/>
        <w:rPr>
          <w:rFonts w:hint="eastAsia" w:ascii="黑体" w:hAnsi="黑体" w:eastAsia="黑体" w:cs="宋体"/>
          <w:b w:val="0"/>
          <w:sz w:val="21"/>
          <w:szCs w:val="21"/>
        </w:rPr>
      </w:pPr>
      <w:r>
        <w:rPr>
          <w:rFonts w:hint="eastAsia" w:ascii="黑体" w:hAnsi="黑体" w:eastAsia="黑体" w:cs="宋体"/>
          <w:b w:val="0"/>
          <w:sz w:val="21"/>
          <w:szCs w:val="21"/>
        </w:rPr>
        <w:t>附件八、具备履行合同所必需的设备和专业技术能力的声明格式及证明材料</w:t>
      </w:r>
    </w:p>
    <w:p w14:paraId="2B44DDC7">
      <w:pPr>
        <w:widowControl/>
        <w:shd w:val="clear" w:color="auto" w:fill="FFFFFF"/>
        <w:spacing w:before="312" w:beforeLines="100" w:line="360" w:lineRule="auto"/>
        <w:ind w:left="422"/>
        <w:rPr>
          <w:rFonts w:hint="eastAsia" w:ascii="黑体" w:hAnsi="黑体" w:eastAsia="黑体"/>
          <w:b/>
          <w:kern w:val="0"/>
          <w:sz w:val="32"/>
          <w:szCs w:val="32"/>
        </w:rPr>
      </w:pPr>
      <w:r>
        <w:rPr>
          <w:rFonts w:hint="eastAsia" w:ascii="黑体" w:hAnsi="黑体" w:eastAsia="黑体"/>
          <w:b/>
          <w:kern w:val="0"/>
          <w:sz w:val="32"/>
          <w:szCs w:val="32"/>
        </w:rPr>
        <w:t>具备履行合同所必需的设备和专业技术能力的声明格式</w:t>
      </w:r>
    </w:p>
    <w:p w14:paraId="0BFCE148">
      <w:pPr>
        <w:spacing w:line="360" w:lineRule="auto"/>
        <w:ind w:left="422"/>
        <w:rPr>
          <w:sz w:val="24"/>
          <w:szCs w:val="24"/>
        </w:rPr>
      </w:pPr>
      <w:r>
        <w:rPr>
          <w:rFonts w:hint="eastAsia" w:ascii="黑体" w:hAnsi="黑体" w:eastAsia="黑体" w:cs="黑体"/>
          <w:snapToGrid w:val="0"/>
          <w:kern w:val="0"/>
          <w:szCs w:val="21"/>
          <w:u w:val="single"/>
        </w:rPr>
        <w:t xml:space="preserve">                         </w:t>
      </w:r>
      <w:r>
        <w:rPr>
          <w:rFonts w:hint="eastAsia"/>
          <w:sz w:val="24"/>
          <w:szCs w:val="24"/>
        </w:rPr>
        <w:t>：</w:t>
      </w:r>
    </w:p>
    <w:p w14:paraId="7F5B2D4B">
      <w:pPr>
        <w:spacing w:line="400" w:lineRule="exact"/>
        <w:ind w:left="422" w:firstLine="420" w:firstLineChars="200"/>
        <w:rPr>
          <w:rFonts w:hint="eastAsia" w:ascii="黑体" w:hAnsi="黑体" w:eastAsia="黑体" w:cs="黑体"/>
          <w:szCs w:val="21"/>
        </w:rPr>
      </w:pPr>
      <w:r>
        <w:rPr>
          <w:rFonts w:hint="eastAsia" w:ascii="黑体" w:hAnsi="黑体" w:eastAsia="黑体" w:cs="黑体"/>
          <w:szCs w:val="21"/>
        </w:rPr>
        <w:t>我单位（供应商名称）郑重声明：我公司具备履行本项采购合同所必需的设备和专业技术能力，为履行本项采购合同我单位具备如下主要设备和主要专业技术能力：</w:t>
      </w:r>
    </w:p>
    <w:p w14:paraId="67E5818B">
      <w:pPr>
        <w:spacing w:line="400" w:lineRule="exact"/>
        <w:ind w:left="422"/>
        <w:rPr>
          <w:rFonts w:hint="eastAsia" w:ascii="黑体" w:hAnsi="黑体" w:eastAsia="黑体" w:cs="黑体"/>
          <w:szCs w:val="21"/>
        </w:rPr>
      </w:pPr>
      <w:r>
        <w:rPr>
          <w:rFonts w:hint="eastAsia" w:ascii="黑体" w:hAnsi="黑体" w:eastAsia="黑体" w:cs="黑体"/>
          <w:szCs w:val="21"/>
        </w:rPr>
        <w:t>主要设备有：。( 若有 )</w:t>
      </w:r>
    </w:p>
    <w:p w14:paraId="6AA78F87">
      <w:pPr>
        <w:spacing w:line="400" w:lineRule="exact"/>
        <w:ind w:left="422"/>
        <w:rPr>
          <w:rFonts w:hint="eastAsia" w:ascii="黑体" w:hAnsi="黑体" w:eastAsia="黑体" w:cs="黑体"/>
          <w:szCs w:val="21"/>
        </w:rPr>
      </w:pPr>
      <w:r>
        <w:rPr>
          <w:rFonts w:hint="eastAsia" w:ascii="黑体" w:hAnsi="黑体" w:eastAsia="黑体" w:cs="黑体"/>
          <w:szCs w:val="21"/>
        </w:rPr>
        <w:t>主要专业技术能力有：。( 若有 )</w:t>
      </w:r>
    </w:p>
    <w:p w14:paraId="393A2CAC">
      <w:pPr>
        <w:spacing w:line="400" w:lineRule="exact"/>
        <w:ind w:left="422"/>
        <w:rPr>
          <w:rFonts w:hint="eastAsia" w:ascii="黑体" w:hAnsi="黑体" w:eastAsia="黑体" w:cs="黑体"/>
          <w:szCs w:val="21"/>
        </w:rPr>
      </w:pPr>
    </w:p>
    <w:p w14:paraId="07D09B47">
      <w:pPr>
        <w:spacing w:line="400" w:lineRule="exact"/>
        <w:ind w:left="422"/>
        <w:rPr>
          <w:rFonts w:hint="eastAsia" w:ascii="黑体" w:hAnsi="黑体" w:eastAsia="黑体" w:cs="黑体"/>
          <w:szCs w:val="21"/>
        </w:rPr>
      </w:pPr>
    </w:p>
    <w:p w14:paraId="68E1AFA2">
      <w:pPr>
        <w:spacing w:line="400" w:lineRule="exact"/>
        <w:ind w:left="422"/>
        <w:rPr>
          <w:rFonts w:hint="eastAsia" w:ascii="黑体" w:hAnsi="黑体" w:eastAsia="黑体" w:cs="黑体"/>
          <w:szCs w:val="21"/>
        </w:rPr>
      </w:pPr>
      <w:r>
        <w:rPr>
          <w:rFonts w:hint="eastAsia" w:ascii="黑体" w:hAnsi="黑体" w:eastAsia="黑体" w:cs="黑体"/>
          <w:szCs w:val="21"/>
        </w:rPr>
        <w:t xml:space="preserve">                                           声明人：（公章）</w:t>
      </w:r>
    </w:p>
    <w:p w14:paraId="351BC693">
      <w:pPr>
        <w:spacing w:line="400" w:lineRule="exact"/>
        <w:ind w:left="422"/>
        <w:rPr>
          <w:rFonts w:hint="eastAsia" w:ascii="黑体" w:hAnsi="黑体" w:eastAsia="黑体" w:cs="黑体"/>
          <w:szCs w:val="21"/>
        </w:rPr>
      </w:pPr>
      <w:r>
        <w:rPr>
          <w:rFonts w:hint="eastAsia" w:ascii="黑体" w:hAnsi="黑体" w:eastAsia="黑体" w:cs="黑体"/>
          <w:szCs w:val="21"/>
        </w:rPr>
        <w:t xml:space="preserve">                                           日期：_____年</w:t>
      </w:r>
      <w:r>
        <w:rPr>
          <w:rFonts w:hint="eastAsia" w:ascii="黑体" w:hAnsi="黑体" w:eastAsia="黑体" w:cs="黑体"/>
          <w:szCs w:val="21"/>
          <w:u w:val="single"/>
        </w:rPr>
        <w:t xml:space="preserve">     </w:t>
      </w:r>
      <w:r>
        <w:rPr>
          <w:rFonts w:hint="eastAsia" w:ascii="黑体" w:hAnsi="黑体" w:eastAsia="黑体" w:cs="黑体"/>
          <w:szCs w:val="21"/>
        </w:rPr>
        <w:t>月</w:t>
      </w:r>
      <w:r>
        <w:rPr>
          <w:rFonts w:hint="eastAsia" w:ascii="黑体" w:hAnsi="黑体" w:eastAsia="黑体" w:cs="黑体"/>
          <w:szCs w:val="21"/>
          <w:u w:val="single"/>
        </w:rPr>
        <w:t xml:space="preserve">    </w:t>
      </w:r>
      <w:r>
        <w:rPr>
          <w:rFonts w:hint="eastAsia" w:ascii="黑体" w:hAnsi="黑体" w:eastAsia="黑体" w:cs="黑体"/>
          <w:szCs w:val="21"/>
        </w:rPr>
        <w:t>日</w:t>
      </w:r>
    </w:p>
    <w:p w14:paraId="059DBE63">
      <w:pPr>
        <w:ind w:left="422"/>
        <w:rPr>
          <w:rFonts w:hint="eastAsia" w:ascii="宋体" w:hAnsi="宋体"/>
          <w:b/>
        </w:rPr>
      </w:pPr>
    </w:p>
    <w:p w14:paraId="0F9D8C4C">
      <w:pPr>
        <w:ind w:left="422"/>
        <w:rPr>
          <w:rFonts w:hint="eastAsia" w:ascii="宋体" w:hAnsi="宋体"/>
          <w:b/>
        </w:rPr>
      </w:pPr>
    </w:p>
    <w:p w14:paraId="2A1BF928">
      <w:pPr>
        <w:spacing w:line="400" w:lineRule="exact"/>
        <w:ind w:left="422"/>
        <w:rPr>
          <w:rFonts w:hint="eastAsia" w:ascii="黑体" w:hAnsi="黑体" w:eastAsia="黑体" w:cs="黑体"/>
          <w:szCs w:val="21"/>
        </w:rPr>
      </w:pPr>
      <w:r>
        <w:rPr>
          <w:rFonts w:hint="eastAsia" w:ascii="黑体" w:hAnsi="黑体" w:eastAsia="黑体" w:cs="黑体"/>
          <w:szCs w:val="21"/>
        </w:rPr>
        <w:t>其他证明材料及文件：（如果供应商认为需要提供的话）</w:t>
      </w:r>
    </w:p>
    <w:p w14:paraId="7D8C68E1">
      <w:pPr>
        <w:widowControl/>
        <w:jc w:val="left"/>
        <w:rPr>
          <w:rFonts w:hint="eastAsia" w:ascii="黑体" w:hAnsi="黑体" w:eastAsia="黑体" w:cs="黑体"/>
          <w:szCs w:val="21"/>
        </w:rPr>
      </w:pPr>
      <w:r>
        <w:rPr>
          <w:rFonts w:hint="eastAsia" w:ascii="黑体" w:hAnsi="黑体" w:eastAsia="黑体" w:cs="黑体"/>
          <w:szCs w:val="21"/>
        </w:rPr>
        <w:br w:type="page"/>
      </w:r>
    </w:p>
    <w:p w14:paraId="47CE9F5F">
      <w:pPr>
        <w:pStyle w:val="2"/>
        <w:ind w:left="0"/>
      </w:pPr>
    </w:p>
    <w:p w14:paraId="2075619E">
      <w:pPr>
        <w:pStyle w:val="6"/>
        <w:spacing w:line="360" w:lineRule="auto"/>
        <w:rPr>
          <w:rFonts w:hint="eastAsia" w:ascii="黑体" w:hAnsi="黑体" w:eastAsia="黑体" w:cs="宋体"/>
          <w:b w:val="0"/>
          <w:sz w:val="21"/>
          <w:szCs w:val="21"/>
        </w:rPr>
      </w:pPr>
      <w:r>
        <w:rPr>
          <w:rFonts w:hint="eastAsia" w:ascii="黑体" w:hAnsi="黑体" w:eastAsia="黑体" w:cs="宋体"/>
          <w:b w:val="0"/>
          <w:sz w:val="21"/>
          <w:szCs w:val="21"/>
        </w:rPr>
        <w:t>附件九、业绩（按评分表逐项编写，格式自拟）</w:t>
      </w:r>
    </w:p>
    <w:p w14:paraId="4D322E32">
      <w:pPr>
        <w:pStyle w:val="2"/>
      </w:pPr>
    </w:p>
    <w:p w14:paraId="522EA3B8">
      <w:pPr>
        <w:pStyle w:val="6"/>
        <w:spacing w:line="360" w:lineRule="auto"/>
        <w:rPr>
          <w:rFonts w:hint="eastAsia" w:ascii="黑体" w:hAnsi="黑体" w:eastAsia="黑体" w:cs="宋体"/>
          <w:b w:val="0"/>
          <w:sz w:val="21"/>
          <w:szCs w:val="21"/>
        </w:rPr>
      </w:pPr>
      <w:r>
        <w:rPr>
          <w:rFonts w:hint="eastAsia" w:ascii="黑体" w:hAnsi="黑体" w:eastAsia="黑体" w:cs="宋体"/>
          <w:b w:val="0"/>
          <w:sz w:val="21"/>
          <w:szCs w:val="21"/>
        </w:rPr>
        <w:t>附件十、人员配备（按评分表逐项编写，格式自拟）</w:t>
      </w:r>
    </w:p>
    <w:p w14:paraId="6ED7A550">
      <w:pPr>
        <w:pStyle w:val="2"/>
      </w:pPr>
    </w:p>
    <w:p w14:paraId="624BA1F5">
      <w:pPr>
        <w:pStyle w:val="6"/>
        <w:spacing w:line="360" w:lineRule="auto"/>
        <w:rPr>
          <w:rFonts w:hint="eastAsia" w:ascii="黑体" w:hAnsi="黑体" w:eastAsia="黑体" w:cs="宋体"/>
          <w:b w:val="0"/>
          <w:sz w:val="21"/>
          <w:szCs w:val="21"/>
        </w:rPr>
      </w:pPr>
      <w:r>
        <w:rPr>
          <w:rFonts w:hint="eastAsia" w:ascii="黑体" w:hAnsi="黑体" w:eastAsia="黑体" w:cs="宋体"/>
          <w:b w:val="0"/>
          <w:sz w:val="21"/>
          <w:szCs w:val="21"/>
        </w:rPr>
        <w:t>附件十一、主要设备（按评分表逐项编写，格式自拟）</w:t>
      </w:r>
    </w:p>
    <w:p w14:paraId="7BF7E531">
      <w:pPr>
        <w:pStyle w:val="2"/>
      </w:pPr>
    </w:p>
    <w:p w14:paraId="0A912539">
      <w:pPr>
        <w:pStyle w:val="6"/>
        <w:spacing w:line="360" w:lineRule="auto"/>
        <w:rPr>
          <w:rFonts w:hint="eastAsia" w:ascii="黑体" w:hAnsi="黑体" w:eastAsia="黑体" w:cs="宋体"/>
          <w:b w:val="0"/>
          <w:sz w:val="21"/>
          <w:szCs w:val="21"/>
        </w:rPr>
      </w:pPr>
      <w:r>
        <w:rPr>
          <w:rFonts w:hint="eastAsia" w:ascii="黑体" w:hAnsi="黑体" w:eastAsia="黑体" w:cs="宋体"/>
          <w:b w:val="0"/>
          <w:sz w:val="21"/>
          <w:szCs w:val="21"/>
        </w:rPr>
        <w:t>附件十二、被普查人员分配计划（按评分表逐项编写，格式自拟）</w:t>
      </w:r>
    </w:p>
    <w:p w14:paraId="2D2606AA">
      <w:pPr>
        <w:pStyle w:val="2"/>
      </w:pPr>
    </w:p>
    <w:p w14:paraId="7D4DC0CA">
      <w:pPr>
        <w:pStyle w:val="6"/>
        <w:spacing w:line="360" w:lineRule="auto"/>
        <w:rPr>
          <w:rFonts w:hint="eastAsia" w:ascii="黑体" w:hAnsi="黑体" w:eastAsia="黑体" w:cs="宋体"/>
          <w:b w:val="0"/>
          <w:sz w:val="21"/>
          <w:szCs w:val="21"/>
        </w:rPr>
      </w:pPr>
      <w:r>
        <w:rPr>
          <w:rFonts w:hint="eastAsia" w:ascii="黑体" w:hAnsi="黑体" w:eastAsia="黑体" w:cs="宋体"/>
          <w:b w:val="0"/>
          <w:sz w:val="21"/>
          <w:szCs w:val="21"/>
        </w:rPr>
        <w:t>附件十三、整体方案（按评分表逐项编写，格式自拟）</w:t>
      </w:r>
    </w:p>
    <w:p w14:paraId="2440C392">
      <w:pPr>
        <w:pStyle w:val="2"/>
      </w:pPr>
    </w:p>
    <w:p w14:paraId="5B0D9DE4">
      <w:pPr>
        <w:pStyle w:val="6"/>
        <w:spacing w:line="360" w:lineRule="auto"/>
        <w:rPr>
          <w:rFonts w:hint="eastAsia" w:ascii="黑体" w:hAnsi="黑体" w:eastAsia="黑体" w:cs="宋体"/>
          <w:b w:val="0"/>
          <w:sz w:val="21"/>
          <w:szCs w:val="21"/>
        </w:rPr>
      </w:pPr>
      <w:r>
        <w:rPr>
          <w:rFonts w:hint="eastAsia" w:ascii="黑体" w:hAnsi="黑体" w:eastAsia="黑体" w:cs="宋体"/>
          <w:b w:val="0"/>
          <w:sz w:val="21"/>
          <w:szCs w:val="21"/>
        </w:rPr>
        <w:t>附件十四、服务承诺（按评分表逐项编写，格式自拟）</w:t>
      </w:r>
    </w:p>
    <w:p w14:paraId="10091759"/>
    <w:p w14:paraId="1AE2C4A6"/>
    <w:p w14:paraId="506E3DCA">
      <w:pPr>
        <w:pStyle w:val="2"/>
      </w:pPr>
    </w:p>
    <w:p w14:paraId="16EE41FF">
      <w:pPr>
        <w:widowControl/>
        <w:jc w:val="left"/>
      </w:pPr>
      <w:r>
        <w:br w:type="page"/>
      </w:r>
    </w:p>
    <w:p w14:paraId="4D668EE8">
      <w:pPr>
        <w:pStyle w:val="6"/>
        <w:spacing w:line="360" w:lineRule="auto"/>
        <w:rPr>
          <w:rFonts w:hint="eastAsia" w:ascii="黑体" w:hAnsi="黑体" w:eastAsia="黑体" w:cs="宋体"/>
          <w:b w:val="0"/>
          <w:sz w:val="21"/>
          <w:szCs w:val="21"/>
        </w:rPr>
      </w:pPr>
      <w:r>
        <w:rPr>
          <w:rFonts w:hint="eastAsia" w:ascii="黑体" w:hAnsi="黑体" w:eastAsia="黑体" w:cs="宋体"/>
          <w:b w:val="0"/>
          <w:sz w:val="21"/>
          <w:szCs w:val="21"/>
        </w:rPr>
        <w:t>附件十五、供应商的资格证明材料</w:t>
      </w:r>
    </w:p>
    <w:p w14:paraId="728527C1">
      <w:pPr>
        <w:ind w:left="422"/>
        <w:jc w:val="left"/>
        <w:rPr>
          <w:rFonts w:hint="eastAsia" w:ascii="黑体" w:hAnsi="黑体" w:eastAsia="黑体" w:cs="黑体"/>
          <w:b/>
          <w:bCs/>
          <w:sz w:val="24"/>
          <w:szCs w:val="24"/>
        </w:rPr>
      </w:pPr>
      <w:r>
        <w:rPr>
          <w:rFonts w:hint="eastAsia" w:ascii="黑体" w:hAnsi="黑体" w:eastAsia="黑体" w:cs="黑体"/>
          <w:b/>
          <w:bCs/>
          <w:sz w:val="24"/>
          <w:szCs w:val="24"/>
        </w:rPr>
        <w:t>（按采购公告提供申请人的资格要求证明材料，不限于以下列举条款）</w:t>
      </w:r>
    </w:p>
    <w:p w14:paraId="6461D901">
      <w:pPr>
        <w:pStyle w:val="2"/>
      </w:pPr>
    </w:p>
    <w:p w14:paraId="79531045">
      <w:pPr>
        <w:snapToGrid w:val="0"/>
        <w:spacing w:before="19" w:line="400" w:lineRule="exact"/>
        <w:ind w:left="422" w:firstLine="420" w:firstLineChars="200"/>
        <w:rPr>
          <w:rFonts w:hint="eastAsia" w:ascii="黑体" w:hAnsi="黑体" w:eastAsia="黑体" w:cs="黑体"/>
          <w:szCs w:val="21"/>
        </w:rPr>
      </w:pPr>
    </w:p>
    <w:p w14:paraId="02A41C55">
      <w:pPr>
        <w:snapToGrid w:val="0"/>
        <w:spacing w:before="19" w:line="420" w:lineRule="exact"/>
        <w:rPr>
          <w:rFonts w:hint="eastAsia" w:ascii="黑体" w:hAnsi="黑体" w:eastAsia="黑体" w:cs="黑体"/>
          <w:szCs w:val="21"/>
        </w:rPr>
      </w:pPr>
      <w:r>
        <w:rPr>
          <w:rFonts w:hint="eastAsia" w:ascii="黑体" w:hAnsi="黑体" w:eastAsia="黑体" w:cs="黑体"/>
          <w:szCs w:val="21"/>
        </w:rPr>
        <w:t xml:space="preserve">(一)供应商基本情况表 </w:t>
      </w:r>
    </w:p>
    <w:p w14:paraId="6CDFA6B1">
      <w:pPr>
        <w:adjustRightInd w:val="0"/>
        <w:snapToGrid w:val="0"/>
        <w:spacing w:line="420" w:lineRule="exact"/>
        <w:ind w:left="420" w:firstLine="420" w:firstLineChars="200"/>
        <w:rPr>
          <w:rFonts w:hint="eastAsia" w:ascii="黑体" w:hAnsi="黑体" w:eastAsia="黑体" w:cs="黑体"/>
          <w:szCs w:val="21"/>
        </w:rPr>
      </w:pPr>
      <w:r>
        <w:rPr>
          <w:rFonts w:hint="eastAsia" w:ascii="黑体" w:hAnsi="黑体" w:eastAsia="黑体" w:cs="黑体"/>
          <w:szCs w:val="21"/>
        </w:rPr>
        <w:t xml:space="preserve">  供应商：(公章) </w:t>
      </w:r>
    </w:p>
    <w:tbl>
      <w:tblPr>
        <w:tblStyle w:val="24"/>
        <w:tblW w:w="8522" w:type="dxa"/>
        <w:tblInd w:w="1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11"/>
        <w:gridCol w:w="1968"/>
        <w:gridCol w:w="2131"/>
        <w:gridCol w:w="1512"/>
      </w:tblGrid>
      <w:tr w14:paraId="3EFD18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911" w:type="dxa"/>
          </w:tcPr>
          <w:p w14:paraId="5B0ACEE2">
            <w:pPr>
              <w:pStyle w:val="52"/>
              <w:spacing w:line="289" w:lineRule="exact"/>
              <w:ind w:right="407"/>
              <w:jc w:val="center"/>
              <w:rPr>
                <w:rFonts w:hint="eastAsia" w:ascii="黑体" w:hAnsi="黑体" w:eastAsia="黑体" w:cs="黑体"/>
                <w:sz w:val="24"/>
              </w:rPr>
            </w:pPr>
            <w:r>
              <w:rPr>
                <w:rFonts w:hint="eastAsia" w:ascii="黑体" w:hAnsi="黑体" w:eastAsia="黑体" w:cs="黑体"/>
                <w:sz w:val="24"/>
              </w:rPr>
              <w:t>供应商名称</w:t>
            </w:r>
          </w:p>
        </w:tc>
        <w:tc>
          <w:tcPr>
            <w:tcW w:w="1968" w:type="dxa"/>
          </w:tcPr>
          <w:p w14:paraId="48AFAB50">
            <w:pPr>
              <w:pStyle w:val="52"/>
              <w:spacing w:line="289" w:lineRule="exact"/>
              <w:ind w:left="422" w:firstLine="480"/>
              <w:jc w:val="center"/>
              <w:rPr>
                <w:rFonts w:hint="eastAsia" w:ascii="黑体" w:hAnsi="黑体" w:eastAsia="黑体" w:cs="黑体"/>
                <w:sz w:val="24"/>
              </w:rPr>
            </w:pPr>
          </w:p>
        </w:tc>
        <w:tc>
          <w:tcPr>
            <w:tcW w:w="2131" w:type="dxa"/>
          </w:tcPr>
          <w:p w14:paraId="164BF588">
            <w:pPr>
              <w:pStyle w:val="52"/>
              <w:spacing w:line="289" w:lineRule="exact"/>
              <w:ind w:left="422" w:right="375"/>
              <w:rPr>
                <w:rFonts w:hint="eastAsia" w:ascii="黑体" w:hAnsi="黑体" w:eastAsia="黑体" w:cs="黑体"/>
                <w:sz w:val="24"/>
              </w:rPr>
            </w:pPr>
            <w:r>
              <w:rPr>
                <w:rFonts w:hint="eastAsia" w:ascii="黑体" w:hAnsi="黑体" w:eastAsia="黑体" w:cs="黑体"/>
                <w:sz w:val="24"/>
              </w:rPr>
              <w:t xml:space="preserve">法定代表人 </w:t>
            </w:r>
          </w:p>
        </w:tc>
        <w:tc>
          <w:tcPr>
            <w:tcW w:w="1512" w:type="dxa"/>
          </w:tcPr>
          <w:p w14:paraId="7B17113C">
            <w:pPr>
              <w:pStyle w:val="52"/>
              <w:spacing w:line="289" w:lineRule="exact"/>
              <w:ind w:left="422" w:firstLine="480"/>
              <w:jc w:val="center"/>
              <w:rPr>
                <w:rFonts w:hint="eastAsia" w:ascii="黑体" w:hAnsi="黑体" w:eastAsia="黑体" w:cs="黑体"/>
                <w:sz w:val="24"/>
              </w:rPr>
            </w:pPr>
          </w:p>
        </w:tc>
      </w:tr>
      <w:tr w14:paraId="1A3F41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911" w:type="dxa"/>
          </w:tcPr>
          <w:p w14:paraId="0EACF01A">
            <w:pPr>
              <w:pStyle w:val="52"/>
              <w:spacing w:line="289" w:lineRule="exact"/>
              <w:ind w:left="422" w:right="407"/>
              <w:rPr>
                <w:rFonts w:hint="eastAsia" w:ascii="黑体" w:hAnsi="黑体" w:eastAsia="黑体" w:cs="黑体"/>
                <w:sz w:val="24"/>
              </w:rPr>
            </w:pPr>
            <w:r>
              <w:rPr>
                <w:rFonts w:hint="eastAsia" w:ascii="黑体" w:hAnsi="黑体" w:eastAsia="黑体" w:cs="黑体"/>
                <w:sz w:val="24"/>
              </w:rPr>
              <w:t xml:space="preserve">统一社会信用代码 </w:t>
            </w:r>
          </w:p>
        </w:tc>
        <w:tc>
          <w:tcPr>
            <w:tcW w:w="1968" w:type="dxa"/>
          </w:tcPr>
          <w:p w14:paraId="1B83CC72">
            <w:pPr>
              <w:pStyle w:val="52"/>
              <w:spacing w:line="289" w:lineRule="exact"/>
              <w:ind w:left="422" w:firstLine="480"/>
              <w:jc w:val="center"/>
              <w:rPr>
                <w:rFonts w:hint="eastAsia" w:ascii="黑体" w:hAnsi="黑体" w:eastAsia="黑体" w:cs="黑体"/>
                <w:sz w:val="24"/>
              </w:rPr>
            </w:pPr>
          </w:p>
        </w:tc>
        <w:tc>
          <w:tcPr>
            <w:tcW w:w="2131" w:type="dxa"/>
          </w:tcPr>
          <w:p w14:paraId="2A46F154">
            <w:pPr>
              <w:pStyle w:val="52"/>
              <w:spacing w:line="289" w:lineRule="exact"/>
              <w:ind w:left="422" w:right="375"/>
              <w:rPr>
                <w:rFonts w:hint="eastAsia" w:ascii="黑体" w:hAnsi="黑体" w:eastAsia="黑体" w:cs="黑体"/>
                <w:sz w:val="24"/>
              </w:rPr>
            </w:pPr>
            <w:r>
              <w:rPr>
                <w:rFonts w:hint="eastAsia" w:ascii="黑体" w:hAnsi="黑体" w:eastAsia="黑体" w:cs="黑体"/>
                <w:sz w:val="24"/>
              </w:rPr>
              <w:t xml:space="preserve">邮政编码 </w:t>
            </w:r>
          </w:p>
        </w:tc>
        <w:tc>
          <w:tcPr>
            <w:tcW w:w="1512" w:type="dxa"/>
          </w:tcPr>
          <w:p w14:paraId="7EA4FB07">
            <w:pPr>
              <w:pStyle w:val="52"/>
              <w:spacing w:line="289" w:lineRule="exact"/>
              <w:ind w:left="422" w:firstLine="480"/>
              <w:jc w:val="center"/>
              <w:rPr>
                <w:rFonts w:hint="eastAsia" w:ascii="黑体" w:hAnsi="黑体" w:eastAsia="黑体" w:cs="黑体"/>
                <w:sz w:val="24"/>
              </w:rPr>
            </w:pPr>
          </w:p>
        </w:tc>
      </w:tr>
      <w:tr w14:paraId="5B2E48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911" w:type="dxa"/>
          </w:tcPr>
          <w:p w14:paraId="07C9D5CB">
            <w:pPr>
              <w:pStyle w:val="52"/>
              <w:spacing w:line="289" w:lineRule="exact"/>
              <w:ind w:left="422" w:right="407" w:firstLine="480"/>
              <w:rPr>
                <w:rFonts w:hint="eastAsia" w:ascii="黑体" w:hAnsi="黑体" w:eastAsia="黑体" w:cs="黑体"/>
                <w:sz w:val="24"/>
              </w:rPr>
            </w:pPr>
            <w:r>
              <w:rPr>
                <w:rFonts w:hint="eastAsia" w:ascii="黑体" w:hAnsi="黑体" w:eastAsia="黑体" w:cs="黑体"/>
                <w:sz w:val="24"/>
              </w:rPr>
              <w:t xml:space="preserve">授权代表 </w:t>
            </w:r>
          </w:p>
        </w:tc>
        <w:tc>
          <w:tcPr>
            <w:tcW w:w="1968" w:type="dxa"/>
          </w:tcPr>
          <w:p w14:paraId="651B6FF6">
            <w:pPr>
              <w:pStyle w:val="52"/>
              <w:spacing w:line="289" w:lineRule="exact"/>
              <w:ind w:left="422" w:firstLine="480"/>
              <w:jc w:val="center"/>
              <w:rPr>
                <w:rFonts w:hint="eastAsia" w:ascii="黑体" w:hAnsi="黑体" w:eastAsia="黑体" w:cs="黑体"/>
                <w:sz w:val="24"/>
              </w:rPr>
            </w:pPr>
          </w:p>
        </w:tc>
        <w:tc>
          <w:tcPr>
            <w:tcW w:w="2131" w:type="dxa"/>
          </w:tcPr>
          <w:p w14:paraId="68A31871">
            <w:pPr>
              <w:pStyle w:val="52"/>
              <w:spacing w:line="289" w:lineRule="exact"/>
              <w:ind w:left="422" w:right="375"/>
              <w:rPr>
                <w:rFonts w:hint="eastAsia" w:ascii="黑体" w:hAnsi="黑体" w:eastAsia="黑体" w:cs="黑体"/>
                <w:sz w:val="24"/>
              </w:rPr>
            </w:pPr>
            <w:r>
              <w:rPr>
                <w:rFonts w:hint="eastAsia" w:ascii="黑体" w:hAnsi="黑体" w:eastAsia="黑体" w:cs="黑体"/>
                <w:sz w:val="24"/>
              </w:rPr>
              <w:t xml:space="preserve">联系电话 </w:t>
            </w:r>
          </w:p>
        </w:tc>
        <w:tc>
          <w:tcPr>
            <w:tcW w:w="1512" w:type="dxa"/>
          </w:tcPr>
          <w:p w14:paraId="53ED8C5A">
            <w:pPr>
              <w:pStyle w:val="52"/>
              <w:spacing w:line="289" w:lineRule="exact"/>
              <w:ind w:left="422" w:firstLine="480"/>
              <w:jc w:val="center"/>
              <w:rPr>
                <w:rFonts w:hint="eastAsia" w:ascii="黑体" w:hAnsi="黑体" w:eastAsia="黑体" w:cs="黑体"/>
                <w:sz w:val="24"/>
              </w:rPr>
            </w:pPr>
          </w:p>
        </w:tc>
      </w:tr>
      <w:tr w14:paraId="0C98B6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2911" w:type="dxa"/>
          </w:tcPr>
          <w:p w14:paraId="19A85D2A">
            <w:pPr>
              <w:pStyle w:val="52"/>
              <w:spacing w:before="4" w:line="289" w:lineRule="exact"/>
              <w:ind w:left="422" w:right="407" w:firstLine="480"/>
              <w:rPr>
                <w:rFonts w:hint="eastAsia" w:ascii="黑体" w:hAnsi="黑体" w:eastAsia="黑体" w:cs="黑体"/>
                <w:sz w:val="24"/>
              </w:rPr>
            </w:pPr>
            <w:r>
              <w:rPr>
                <w:rFonts w:hint="eastAsia" w:ascii="黑体" w:hAnsi="黑体" w:eastAsia="黑体" w:cs="黑体"/>
                <w:sz w:val="24"/>
              </w:rPr>
              <w:t xml:space="preserve">电子邮箱 </w:t>
            </w:r>
          </w:p>
        </w:tc>
        <w:tc>
          <w:tcPr>
            <w:tcW w:w="1968" w:type="dxa"/>
          </w:tcPr>
          <w:p w14:paraId="6B0ACF13">
            <w:pPr>
              <w:pStyle w:val="52"/>
              <w:spacing w:before="4" w:line="289" w:lineRule="exact"/>
              <w:ind w:left="422" w:firstLine="480"/>
              <w:jc w:val="center"/>
              <w:rPr>
                <w:rFonts w:hint="eastAsia" w:ascii="黑体" w:hAnsi="黑体" w:eastAsia="黑体" w:cs="黑体"/>
                <w:sz w:val="24"/>
              </w:rPr>
            </w:pPr>
          </w:p>
        </w:tc>
        <w:tc>
          <w:tcPr>
            <w:tcW w:w="2131" w:type="dxa"/>
          </w:tcPr>
          <w:p w14:paraId="18B6FC4C">
            <w:pPr>
              <w:pStyle w:val="52"/>
              <w:spacing w:before="4" w:line="289" w:lineRule="exact"/>
              <w:ind w:left="422" w:right="375" w:firstLine="480"/>
              <w:rPr>
                <w:rFonts w:hint="eastAsia" w:ascii="黑体" w:hAnsi="黑体" w:eastAsia="黑体" w:cs="黑体"/>
                <w:sz w:val="24"/>
              </w:rPr>
            </w:pPr>
            <w:r>
              <w:rPr>
                <w:rFonts w:hint="eastAsia" w:ascii="黑体" w:hAnsi="黑体" w:eastAsia="黑体" w:cs="黑体"/>
                <w:sz w:val="24"/>
              </w:rPr>
              <w:t xml:space="preserve">传真 </w:t>
            </w:r>
          </w:p>
        </w:tc>
        <w:tc>
          <w:tcPr>
            <w:tcW w:w="1512" w:type="dxa"/>
          </w:tcPr>
          <w:p w14:paraId="3EF9B4C5">
            <w:pPr>
              <w:pStyle w:val="52"/>
              <w:spacing w:before="4" w:line="289" w:lineRule="exact"/>
              <w:ind w:left="422" w:firstLine="480"/>
              <w:jc w:val="center"/>
              <w:rPr>
                <w:rFonts w:hint="eastAsia" w:ascii="黑体" w:hAnsi="黑体" w:eastAsia="黑体" w:cs="黑体"/>
                <w:sz w:val="24"/>
              </w:rPr>
            </w:pPr>
          </w:p>
        </w:tc>
      </w:tr>
      <w:tr w14:paraId="6044F9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911" w:type="dxa"/>
          </w:tcPr>
          <w:p w14:paraId="59907558">
            <w:pPr>
              <w:pStyle w:val="52"/>
              <w:spacing w:line="289" w:lineRule="exact"/>
              <w:ind w:right="407" w:firstLine="720" w:firstLineChars="300"/>
              <w:rPr>
                <w:rFonts w:hint="eastAsia" w:ascii="黑体" w:hAnsi="黑体" w:eastAsia="黑体" w:cs="黑体"/>
                <w:sz w:val="24"/>
              </w:rPr>
            </w:pPr>
            <w:r>
              <w:rPr>
                <w:rFonts w:hint="eastAsia" w:ascii="黑体" w:hAnsi="黑体" w:eastAsia="黑体" w:cs="黑体"/>
                <w:sz w:val="24"/>
              </w:rPr>
              <w:t xml:space="preserve">上年营业收入 </w:t>
            </w:r>
          </w:p>
        </w:tc>
        <w:tc>
          <w:tcPr>
            <w:tcW w:w="1968" w:type="dxa"/>
          </w:tcPr>
          <w:p w14:paraId="15F28AE3">
            <w:pPr>
              <w:pStyle w:val="52"/>
              <w:spacing w:line="289" w:lineRule="exact"/>
              <w:ind w:left="422" w:firstLine="480"/>
              <w:jc w:val="center"/>
              <w:rPr>
                <w:rFonts w:hint="eastAsia" w:ascii="黑体" w:hAnsi="黑体" w:eastAsia="黑体" w:cs="黑体"/>
                <w:sz w:val="24"/>
              </w:rPr>
            </w:pPr>
          </w:p>
        </w:tc>
        <w:tc>
          <w:tcPr>
            <w:tcW w:w="2131" w:type="dxa"/>
          </w:tcPr>
          <w:p w14:paraId="14C6D8BF">
            <w:pPr>
              <w:pStyle w:val="52"/>
              <w:spacing w:line="289" w:lineRule="exact"/>
              <w:ind w:left="422" w:right="375"/>
              <w:rPr>
                <w:rFonts w:hint="eastAsia" w:ascii="黑体" w:hAnsi="黑体" w:eastAsia="黑体" w:cs="黑体"/>
                <w:sz w:val="24"/>
              </w:rPr>
            </w:pPr>
            <w:r>
              <w:rPr>
                <w:rFonts w:hint="eastAsia" w:ascii="黑体" w:hAnsi="黑体" w:eastAsia="黑体" w:cs="黑体"/>
                <w:sz w:val="24"/>
              </w:rPr>
              <w:t xml:space="preserve">员工总人数 </w:t>
            </w:r>
          </w:p>
        </w:tc>
        <w:tc>
          <w:tcPr>
            <w:tcW w:w="1512" w:type="dxa"/>
          </w:tcPr>
          <w:p w14:paraId="2B75C64B">
            <w:pPr>
              <w:pStyle w:val="52"/>
              <w:spacing w:line="289" w:lineRule="exact"/>
              <w:ind w:left="422" w:firstLine="480"/>
              <w:jc w:val="center"/>
              <w:rPr>
                <w:rFonts w:hint="eastAsia" w:ascii="黑体" w:hAnsi="黑体" w:eastAsia="黑体" w:cs="黑体"/>
                <w:sz w:val="24"/>
              </w:rPr>
            </w:pPr>
          </w:p>
        </w:tc>
      </w:tr>
      <w:tr w14:paraId="4C0C5E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911" w:type="dxa"/>
          </w:tcPr>
          <w:p w14:paraId="5131C210">
            <w:pPr>
              <w:pStyle w:val="52"/>
              <w:spacing w:line="289" w:lineRule="exact"/>
              <w:ind w:left="422"/>
              <w:rPr>
                <w:rFonts w:hint="eastAsia" w:ascii="黑体" w:hAnsi="黑体" w:eastAsia="黑体" w:cs="黑体"/>
                <w:sz w:val="24"/>
              </w:rPr>
            </w:pPr>
            <w:r>
              <w:rPr>
                <w:rFonts w:hint="eastAsia" w:ascii="黑体" w:hAnsi="黑体" w:eastAsia="黑体" w:cs="黑体"/>
                <w:sz w:val="24"/>
              </w:rPr>
              <w:t xml:space="preserve">基本账户开户行及账号 </w:t>
            </w:r>
          </w:p>
        </w:tc>
        <w:tc>
          <w:tcPr>
            <w:tcW w:w="1968" w:type="dxa"/>
          </w:tcPr>
          <w:p w14:paraId="7CEEBD8B">
            <w:pPr>
              <w:pStyle w:val="52"/>
              <w:spacing w:line="289" w:lineRule="exact"/>
              <w:ind w:left="422" w:firstLine="480"/>
              <w:jc w:val="center"/>
              <w:rPr>
                <w:rFonts w:hint="eastAsia" w:ascii="黑体" w:hAnsi="黑体" w:eastAsia="黑体" w:cs="黑体"/>
                <w:sz w:val="24"/>
              </w:rPr>
            </w:pPr>
          </w:p>
        </w:tc>
        <w:tc>
          <w:tcPr>
            <w:tcW w:w="2131" w:type="dxa"/>
          </w:tcPr>
          <w:p w14:paraId="6DEA869D">
            <w:pPr>
              <w:pStyle w:val="52"/>
              <w:spacing w:line="289" w:lineRule="exact"/>
              <w:ind w:left="422" w:firstLine="480"/>
              <w:jc w:val="center"/>
              <w:rPr>
                <w:rFonts w:hint="eastAsia" w:ascii="黑体" w:hAnsi="黑体" w:eastAsia="黑体" w:cs="黑体"/>
                <w:sz w:val="24"/>
              </w:rPr>
            </w:pPr>
          </w:p>
        </w:tc>
        <w:tc>
          <w:tcPr>
            <w:tcW w:w="1512" w:type="dxa"/>
          </w:tcPr>
          <w:p w14:paraId="593B1E75">
            <w:pPr>
              <w:pStyle w:val="52"/>
              <w:spacing w:line="289" w:lineRule="exact"/>
              <w:ind w:left="422" w:firstLine="480"/>
              <w:jc w:val="center"/>
              <w:rPr>
                <w:rFonts w:hint="eastAsia" w:ascii="黑体" w:hAnsi="黑体" w:eastAsia="黑体" w:cs="黑体"/>
                <w:sz w:val="24"/>
              </w:rPr>
            </w:pPr>
          </w:p>
        </w:tc>
      </w:tr>
      <w:tr w14:paraId="624FDF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911" w:type="dxa"/>
          </w:tcPr>
          <w:p w14:paraId="118783E1">
            <w:pPr>
              <w:pStyle w:val="52"/>
              <w:spacing w:line="289" w:lineRule="exact"/>
              <w:ind w:left="422" w:firstLine="480"/>
              <w:rPr>
                <w:rFonts w:hint="eastAsia" w:ascii="黑体" w:hAnsi="黑体" w:eastAsia="黑体" w:cs="黑体"/>
                <w:sz w:val="24"/>
              </w:rPr>
            </w:pPr>
            <w:r>
              <w:rPr>
                <w:rFonts w:hint="eastAsia" w:ascii="黑体" w:hAnsi="黑体" w:eastAsia="黑体" w:cs="黑体"/>
                <w:sz w:val="24"/>
              </w:rPr>
              <w:t xml:space="preserve">税务登记机关 </w:t>
            </w:r>
          </w:p>
        </w:tc>
        <w:tc>
          <w:tcPr>
            <w:tcW w:w="1968" w:type="dxa"/>
          </w:tcPr>
          <w:p w14:paraId="16DB1A0B">
            <w:pPr>
              <w:pStyle w:val="52"/>
              <w:spacing w:line="289" w:lineRule="exact"/>
              <w:ind w:left="422" w:firstLine="480"/>
              <w:jc w:val="center"/>
              <w:rPr>
                <w:rFonts w:hint="eastAsia" w:ascii="黑体" w:hAnsi="黑体" w:eastAsia="黑体" w:cs="黑体"/>
                <w:sz w:val="24"/>
              </w:rPr>
            </w:pPr>
          </w:p>
        </w:tc>
        <w:tc>
          <w:tcPr>
            <w:tcW w:w="2131" w:type="dxa"/>
          </w:tcPr>
          <w:p w14:paraId="6E82E086">
            <w:pPr>
              <w:pStyle w:val="52"/>
              <w:spacing w:line="289" w:lineRule="exact"/>
              <w:ind w:left="422" w:firstLine="480"/>
              <w:jc w:val="center"/>
              <w:rPr>
                <w:rFonts w:hint="eastAsia" w:ascii="黑体" w:hAnsi="黑体" w:eastAsia="黑体" w:cs="黑体"/>
                <w:sz w:val="24"/>
              </w:rPr>
            </w:pPr>
          </w:p>
        </w:tc>
        <w:tc>
          <w:tcPr>
            <w:tcW w:w="1512" w:type="dxa"/>
          </w:tcPr>
          <w:p w14:paraId="2DEC6E4A">
            <w:pPr>
              <w:pStyle w:val="52"/>
              <w:spacing w:line="289" w:lineRule="exact"/>
              <w:ind w:left="422" w:firstLine="480"/>
              <w:jc w:val="center"/>
              <w:rPr>
                <w:rFonts w:hint="eastAsia" w:ascii="黑体" w:hAnsi="黑体" w:eastAsia="黑体" w:cs="黑体"/>
                <w:sz w:val="24"/>
              </w:rPr>
            </w:pPr>
          </w:p>
        </w:tc>
      </w:tr>
      <w:tr w14:paraId="119047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911" w:type="dxa"/>
          </w:tcPr>
          <w:p w14:paraId="2D33A5D0">
            <w:pPr>
              <w:pStyle w:val="52"/>
              <w:spacing w:line="289" w:lineRule="exact"/>
              <w:ind w:left="422" w:firstLine="480"/>
              <w:rPr>
                <w:rFonts w:hint="eastAsia" w:ascii="黑体" w:hAnsi="黑体" w:eastAsia="黑体" w:cs="黑体"/>
                <w:sz w:val="24"/>
              </w:rPr>
            </w:pPr>
            <w:r>
              <w:rPr>
                <w:rFonts w:hint="eastAsia" w:ascii="黑体" w:hAnsi="黑体" w:eastAsia="黑体" w:cs="黑体"/>
                <w:sz w:val="24"/>
              </w:rPr>
              <w:t xml:space="preserve">资质名称 </w:t>
            </w:r>
          </w:p>
        </w:tc>
        <w:tc>
          <w:tcPr>
            <w:tcW w:w="1968" w:type="dxa"/>
          </w:tcPr>
          <w:p w14:paraId="316CEC10">
            <w:pPr>
              <w:pStyle w:val="52"/>
              <w:spacing w:line="289" w:lineRule="exact"/>
              <w:ind w:right="445" w:firstLine="720" w:firstLineChars="300"/>
              <w:rPr>
                <w:rFonts w:hint="eastAsia" w:ascii="黑体" w:hAnsi="黑体" w:eastAsia="黑体" w:cs="黑体"/>
                <w:sz w:val="24"/>
              </w:rPr>
            </w:pPr>
            <w:r>
              <w:rPr>
                <w:rFonts w:hint="eastAsia" w:ascii="黑体" w:hAnsi="黑体" w:eastAsia="黑体" w:cs="黑体"/>
                <w:sz w:val="24"/>
              </w:rPr>
              <w:t xml:space="preserve">等级 </w:t>
            </w:r>
          </w:p>
        </w:tc>
        <w:tc>
          <w:tcPr>
            <w:tcW w:w="2131" w:type="dxa"/>
          </w:tcPr>
          <w:p w14:paraId="3AA8F0F0">
            <w:pPr>
              <w:pStyle w:val="52"/>
              <w:spacing w:line="289" w:lineRule="exact"/>
              <w:ind w:left="422" w:right="375"/>
              <w:rPr>
                <w:rFonts w:hint="eastAsia" w:ascii="黑体" w:hAnsi="黑体" w:eastAsia="黑体" w:cs="黑体"/>
                <w:sz w:val="24"/>
              </w:rPr>
            </w:pPr>
            <w:r>
              <w:rPr>
                <w:rFonts w:hint="eastAsia" w:ascii="黑体" w:hAnsi="黑体" w:eastAsia="黑体" w:cs="黑体"/>
                <w:sz w:val="24"/>
              </w:rPr>
              <w:t xml:space="preserve">发证机关 </w:t>
            </w:r>
          </w:p>
        </w:tc>
        <w:tc>
          <w:tcPr>
            <w:tcW w:w="1512" w:type="dxa"/>
          </w:tcPr>
          <w:p w14:paraId="7E2FF9D4">
            <w:pPr>
              <w:pStyle w:val="52"/>
              <w:spacing w:line="289" w:lineRule="exact"/>
              <w:ind w:left="422" w:right="306"/>
              <w:rPr>
                <w:rFonts w:hint="eastAsia" w:ascii="黑体" w:hAnsi="黑体" w:eastAsia="黑体" w:cs="黑体"/>
                <w:sz w:val="24"/>
              </w:rPr>
            </w:pPr>
            <w:r>
              <w:rPr>
                <w:rFonts w:hint="eastAsia" w:ascii="黑体" w:hAnsi="黑体" w:eastAsia="黑体" w:cs="黑体"/>
                <w:sz w:val="24"/>
              </w:rPr>
              <w:t xml:space="preserve">有效期 </w:t>
            </w:r>
          </w:p>
        </w:tc>
      </w:tr>
      <w:tr w14:paraId="017571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911" w:type="dxa"/>
          </w:tcPr>
          <w:p w14:paraId="6718D104">
            <w:pPr>
              <w:pStyle w:val="52"/>
              <w:spacing w:line="289" w:lineRule="exact"/>
              <w:ind w:left="422" w:firstLine="480"/>
              <w:jc w:val="center"/>
              <w:rPr>
                <w:rFonts w:hint="eastAsia" w:ascii="黑体" w:hAnsi="黑体" w:eastAsia="黑体" w:cs="黑体"/>
                <w:sz w:val="24"/>
              </w:rPr>
            </w:pPr>
          </w:p>
        </w:tc>
        <w:tc>
          <w:tcPr>
            <w:tcW w:w="1968" w:type="dxa"/>
          </w:tcPr>
          <w:p w14:paraId="3E176503">
            <w:pPr>
              <w:pStyle w:val="52"/>
              <w:spacing w:line="289" w:lineRule="exact"/>
              <w:ind w:left="422" w:firstLine="480"/>
              <w:jc w:val="center"/>
              <w:rPr>
                <w:rFonts w:hint="eastAsia" w:ascii="黑体" w:hAnsi="黑体" w:eastAsia="黑体" w:cs="黑体"/>
                <w:sz w:val="24"/>
              </w:rPr>
            </w:pPr>
          </w:p>
        </w:tc>
        <w:tc>
          <w:tcPr>
            <w:tcW w:w="2131" w:type="dxa"/>
          </w:tcPr>
          <w:p w14:paraId="228B06C6">
            <w:pPr>
              <w:pStyle w:val="52"/>
              <w:spacing w:line="289" w:lineRule="exact"/>
              <w:ind w:left="422" w:firstLine="480"/>
              <w:jc w:val="center"/>
              <w:rPr>
                <w:rFonts w:hint="eastAsia" w:ascii="黑体" w:hAnsi="黑体" w:eastAsia="黑体" w:cs="黑体"/>
                <w:sz w:val="24"/>
              </w:rPr>
            </w:pPr>
          </w:p>
        </w:tc>
        <w:tc>
          <w:tcPr>
            <w:tcW w:w="1512" w:type="dxa"/>
          </w:tcPr>
          <w:p w14:paraId="4A8F95DF">
            <w:pPr>
              <w:pStyle w:val="52"/>
              <w:spacing w:line="289" w:lineRule="exact"/>
              <w:ind w:left="422" w:firstLine="480"/>
              <w:jc w:val="center"/>
              <w:rPr>
                <w:rFonts w:hint="eastAsia" w:ascii="黑体" w:hAnsi="黑体" w:eastAsia="黑体" w:cs="黑体"/>
                <w:sz w:val="24"/>
              </w:rPr>
            </w:pPr>
          </w:p>
        </w:tc>
      </w:tr>
      <w:tr w14:paraId="612437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2911" w:type="dxa"/>
          </w:tcPr>
          <w:p w14:paraId="119D192E">
            <w:pPr>
              <w:pStyle w:val="52"/>
              <w:spacing w:before="4" w:line="289" w:lineRule="exact"/>
              <w:ind w:left="422" w:firstLine="480"/>
              <w:jc w:val="center"/>
              <w:rPr>
                <w:rFonts w:hint="eastAsia" w:ascii="黑体" w:hAnsi="黑体" w:eastAsia="黑体" w:cs="黑体"/>
                <w:sz w:val="24"/>
              </w:rPr>
            </w:pPr>
          </w:p>
        </w:tc>
        <w:tc>
          <w:tcPr>
            <w:tcW w:w="1968" w:type="dxa"/>
          </w:tcPr>
          <w:p w14:paraId="52DBA58B">
            <w:pPr>
              <w:pStyle w:val="52"/>
              <w:spacing w:before="4" w:line="289" w:lineRule="exact"/>
              <w:ind w:left="422" w:firstLine="480"/>
              <w:jc w:val="center"/>
              <w:rPr>
                <w:rFonts w:hint="eastAsia" w:ascii="黑体" w:hAnsi="黑体" w:eastAsia="黑体" w:cs="黑体"/>
                <w:sz w:val="24"/>
              </w:rPr>
            </w:pPr>
          </w:p>
        </w:tc>
        <w:tc>
          <w:tcPr>
            <w:tcW w:w="2131" w:type="dxa"/>
          </w:tcPr>
          <w:p w14:paraId="4F6AB4CD">
            <w:pPr>
              <w:pStyle w:val="52"/>
              <w:spacing w:before="4" w:line="289" w:lineRule="exact"/>
              <w:ind w:left="422" w:firstLine="480"/>
              <w:jc w:val="center"/>
              <w:rPr>
                <w:rFonts w:hint="eastAsia" w:ascii="黑体" w:hAnsi="黑体" w:eastAsia="黑体" w:cs="黑体"/>
                <w:sz w:val="24"/>
              </w:rPr>
            </w:pPr>
          </w:p>
        </w:tc>
        <w:tc>
          <w:tcPr>
            <w:tcW w:w="1512" w:type="dxa"/>
          </w:tcPr>
          <w:p w14:paraId="4BA702D3">
            <w:pPr>
              <w:pStyle w:val="52"/>
              <w:spacing w:before="4" w:line="289" w:lineRule="exact"/>
              <w:ind w:left="422" w:firstLine="480"/>
              <w:jc w:val="center"/>
              <w:rPr>
                <w:rFonts w:hint="eastAsia" w:ascii="黑体" w:hAnsi="黑体" w:eastAsia="黑体" w:cs="黑体"/>
                <w:sz w:val="24"/>
              </w:rPr>
            </w:pPr>
          </w:p>
        </w:tc>
      </w:tr>
      <w:tr w14:paraId="395B6F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911" w:type="dxa"/>
          </w:tcPr>
          <w:p w14:paraId="4564156D">
            <w:pPr>
              <w:pStyle w:val="52"/>
              <w:spacing w:line="289" w:lineRule="exact"/>
              <w:ind w:left="422" w:right="407" w:firstLine="720" w:firstLineChars="300"/>
              <w:rPr>
                <w:rFonts w:hint="eastAsia" w:ascii="黑体" w:hAnsi="黑体" w:eastAsia="黑体" w:cs="黑体"/>
                <w:sz w:val="24"/>
              </w:rPr>
            </w:pPr>
            <w:r>
              <w:rPr>
                <w:rFonts w:hint="eastAsia" w:ascii="黑体" w:hAnsi="黑体" w:eastAsia="黑体" w:cs="黑体"/>
                <w:sz w:val="24"/>
              </w:rPr>
              <w:t xml:space="preserve">备注 </w:t>
            </w:r>
          </w:p>
        </w:tc>
        <w:tc>
          <w:tcPr>
            <w:tcW w:w="1968" w:type="dxa"/>
          </w:tcPr>
          <w:p w14:paraId="2B96DD07">
            <w:pPr>
              <w:pStyle w:val="52"/>
              <w:spacing w:line="289" w:lineRule="exact"/>
              <w:ind w:left="422" w:firstLine="480"/>
              <w:jc w:val="center"/>
              <w:rPr>
                <w:rFonts w:hint="eastAsia" w:ascii="黑体" w:hAnsi="黑体" w:eastAsia="黑体" w:cs="黑体"/>
                <w:sz w:val="24"/>
              </w:rPr>
            </w:pPr>
          </w:p>
        </w:tc>
        <w:tc>
          <w:tcPr>
            <w:tcW w:w="2131" w:type="dxa"/>
          </w:tcPr>
          <w:p w14:paraId="55AA14A2">
            <w:pPr>
              <w:pStyle w:val="52"/>
              <w:spacing w:line="289" w:lineRule="exact"/>
              <w:ind w:left="422" w:firstLine="480"/>
              <w:jc w:val="center"/>
              <w:rPr>
                <w:rFonts w:hint="eastAsia" w:ascii="黑体" w:hAnsi="黑体" w:eastAsia="黑体" w:cs="黑体"/>
                <w:sz w:val="24"/>
              </w:rPr>
            </w:pPr>
          </w:p>
        </w:tc>
        <w:tc>
          <w:tcPr>
            <w:tcW w:w="1512" w:type="dxa"/>
          </w:tcPr>
          <w:p w14:paraId="78E66271">
            <w:pPr>
              <w:pStyle w:val="52"/>
              <w:spacing w:line="289" w:lineRule="exact"/>
              <w:ind w:left="422" w:firstLine="480"/>
              <w:jc w:val="center"/>
              <w:rPr>
                <w:rFonts w:hint="eastAsia" w:ascii="黑体" w:hAnsi="黑体" w:eastAsia="黑体" w:cs="黑体"/>
                <w:sz w:val="24"/>
              </w:rPr>
            </w:pPr>
          </w:p>
        </w:tc>
      </w:tr>
    </w:tbl>
    <w:p w14:paraId="03DEE021"/>
    <w:p w14:paraId="184914FA">
      <w:pPr>
        <w:snapToGrid w:val="0"/>
        <w:spacing w:before="19" w:line="400" w:lineRule="exact"/>
        <w:ind w:left="422" w:firstLine="420" w:firstLineChars="200"/>
        <w:rPr>
          <w:rFonts w:hint="eastAsia" w:ascii="黑体" w:hAnsi="黑体" w:eastAsia="黑体" w:cs="黑体"/>
          <w:szCs w:val="21"/>
        </w:rPr>
      </w:pPr>
    </w:p>
    <w:p w14:paraId="46B67D22">
      <w:pPr>
        <w:snapToGrid w:val="0"/>
        <w:spacing w:before="19" w:line="400" w:lineRule="exact"/>
        <w:rPr>
          <w:rFonts w:hint="eastAsia" w:ascii="黑体" w:hAnsi="黑体" w:eastAsia="黑体" w:cs="黑体"/>
          <w:szCs w:val="21"/>
        </w:rPr>
      </w:pPr>
      <w:r>
        <w:rPr>
          <w:rFonts w:hint="eastAsia" w:ascii="黑体" w:hAnsi="黑体" w:eastAsia="黑体" w:cs="黑体"/>
          <w:szCs w:val="21"/>
        </w:rPr>
        <w:t>（二）参加政府采购活动的供应商应当具备</w:t>
      </w:r>
      <w:r>
        <w:rPr>
          <w:rFonts w:hint="eastAsia" w:ascii="黑体" w:hAnsi="黑体" w:eastAsia="黑体" w:cs="黑体"/>
          <w:szCs w:val="21"/>
          <w:lang w:eastAsia="zh-CN"/>
        </w:rPr>
        <w:t>《中华人民共和国政府采购法》</w:t>
      </w:r>
      <w:r>
        <w:rPr>
          <w:rFonts w:hint="eastAsia" w:ascii="黑体" w:hAnsi="黑体" w:eastAsia="黑体" w:cs="黑体"/>
          <w:szCs w:val="21"/>
        </w:rPr>
        <w:t>第二十二条第一款规定的条件，提供承诺书；</w:t>
      </w:r>
    </w:p>
    <w:p w14:paraId="61EB51AC">
      <w:pPr>
        <w:spacing w:line="432" w:lineRule="auto"/>
        <w:ind w:left="422"/>
        <w:rPr>
          <w:rFonts w:hint="eastAsia" w:ascii="黑体" w:hAnsi="黑体" w:eastAsia="黑体" w:cs="黑体"/>
          <w:szCs w:val="21"/>
        </w:rPr>
      </w:pPr>
      <w:r>
        <w:rPr>
          <w:rFonts w:hint="eastAsia" w:ascii="黑体" w:hAnsi="黑体" w:eastAsia="黑体" w:cs="黑体"/>
          <w:szCs w:val="21"/>
        </w:rPr>
        <w:t>1、具有独立承担民事责任的能力</w:t>
      </w:r>
    </w:p>
    <w:p w14:paraId="1BA928E6">
      <w:pPr>
        <w:spacing w:line="432" w:lineRule="auto"/>
        <w:ind w:left="422"/>
        <w:rPr>
          <w:rFonts w:hint="eastAsia" w:ascii="黑体" w:hAnsi="黑体" w:eastAsia="黑体" w:cs="黑体"/>
          <w:szCs w:val="21"/>
        </w:rPr>
      </w:pPr>
      <w:r>
        <w:rPr>
          <w:rFonts w:hint="eastAsia" w:ascii="黑体" w:hAnsi="黑体" w:eastAsia="黑体" w:cs="黑体"/>
          <w:szCs w:val="21"/>
        </w:rPr>
        <w:t>2、具有良好的商业信誉和健全的财务会计制度</w:t>
      </w:r>
    </w:p>
    <w:p w14:paraId="4392CB3B">
      <w:pPr>
        <w:spacing w:line="432" w:lineRule="auto"/>
        <w:ind w:left="422"/>
        <w:rPr>
          <w:rFonts w:hint="eastAsia" w:ascii="黑体" w:hAnsi="黑体" w:eastAsia="黑体" w:cs="黑体"/>
          <w:szCs w:val="21"/>
        </w:rPr>
      </w:pPr>
      <w:r>
        <w:rPr>
          <w:rFonts w:hint="eastAsia" w:ascii="黑体" w:hAnsi="黑体" w:eastAsia="黑体" w:cs="黑体"/>
          <w:szCs w:val="21"/>
        </w:rPr>
        <w:t>3、具有履行合同所必需的设备和专业技术能力</w:t>
      </w:r>
    </w:p>
    <w:p w14:paraId="718B81CE">
      <w:pPr>
        <w:spacing w:line="432" w:lineRule="auto"/>
        <w:ind w:left="422"/>
        <w:rPr>
          <w:rFonts w:hint="eastAsia" w:ascii="黑体" w:hAnsi="黑体" w:eastAsia="黑体" w:cs="黑体"/>
          <w:szCs w:val="21"/>
        </w:rPr>
      </w:pPr>
      <w:r>
        <w:rPr>
          <w:rFonts w:hint="eastAsia" w:ascii="黑体" w:hAnsi="黑体" w:eastAsia="黑体" w:cs="黑体"/>
          <w:szCs w:val="21"/>
        </w:rPr>
        <w:t>4、有依法缴纳税收和社会保障资金的良好记录</w:t>
      </w:r>
    </w:p>
    <w:p w14:paraId="0FFFA0D8">
      <w:pPr>
        <w:spacing w:line="432" w:lineRule="auto"/>
        <w:ind w:left="422"/>
        <w:rPr>
          <w:rFonts w:hint="eastAsia" w:ascii="黑体" w:hAnsi="黑体" w:eastAsia="黑体" w:cs="黑体"/>
          <w:szCs w:val="21"/>
        </w:rPr>
      </w:pPr>
      <w:r>
        <w:rPr>
          <w:rFonts w:hint="eastAsia" w:ascii="黑体" w:hAnsi="黑体" w:eastAsia="黑体" w:cs="黑体"/>
          <w:szCs w:val="21"/>
        </w:rPr>
        <w:t>5、参加政府采购活动前三年内，在经营活动中没有重大违法记录</w:t>
      </w:r>
    </w:p>
    <w:p w14:paraId="381BFE31">
      <w:pPr>
        <w:spacing w:line="432" w:lineRule="auto"/>
        <w:ind w:left="422"/>
        <w:rPr>
          <w:rFonts w:hint="eastAsia" w:ascii="黑体" w:hAnsi="黑体" w:eastAsia="黑体" w:cs="黑体"/>
          <w:szCs w:val="21"/>
        </w:rPr>
      </w:pPr>
      <w:r>
        <w:rPr>
          <w:rFonts w:hint="eastAsia" w:ascii="黑体" w:hAnsi="黑体" w:eastAsia="黑体" w:cs="黑体"/>
          <w:szCs w:val="21"/>
        </w:rPr>
        <w:t>6、</w:t>
      </w:r>
      <w:r>
        <w:rPr>
          <w:rFonts w:hint="eastAsia" w:ascii="黑体" w:hAnsi="黑体" w:eastAsia="黑体" w:cs="黑体"/>
          <w:snapToGrid w:val="0"/>
          <w:kern w:val="0"/>
          <w:szCs w:val="21"/>
        </w:rPr>
        <w:t>法律、行政法规规定的其他条件。</w:t>
      </w:r>
    </w:p>
    <w:p w14:paraId="24F375EB">
      <w:pPr>
        <w:spacing w:line="432" w:lineRule="auto"/>
        <w:ind w:left="422" w:firstLine="4200" w:firstLineChars="2000"/>
        <w:rPr>
          <w:rFonts w:hint="eastAsia" w:ascii="黑体" w:hAnsi="黑体" w:eastAsia="黑体" w:cs="黑体"/>
          <w:szCs w:val="21"/>
        </w:rPr>
      </w:pPr>
      <w:r>
        <w:rPr>
          <w:rFonts w:hint="eastAsia" w:ascii="黑体" w:hAnsi="黑体" w:eastAsia="黑体" w:cs="黑体"/>
          <w:szCs w:val="21"/>
        </w:rPr>
        <w:t xml:space="preserve">供应商名称（盖章）： </w:t>
      </w:r>
    </w:p>
    <w:p w14:paraId="2AFF833A">
      <w:pPr>
        <w:ind w:left="422" w:firstLine="4200" w:firstLineChars="2000"/>
        <w:rPr>
          <w:rFonts w:hint="eastAsia" w:ascii="黑体" w:hAnsi="黑体" w:eastAsia="黑体" w:cs="黑体"/>
          <w:szCs w:val="21"/>
        </w:rPr>
      </w:pPr>
      <w:r>
        <w:rPr>
          <w:rFonts w:hint="eastAsia" w:ascii="黑体" w:hAnsi="黑体" w:eastAsia="黑体" w:cs="黑体"/>
          <w:szCs w:val="21"/>
        </w:rPr>
        <w:t>日 期： 年 月 日</w:t>
      </w:r>
    </w:p>
    <w:p w14:paraId="275A0D28">
      <w:pPr>
        <w:rPr>
          <w:lang w:val="zh-CN"/>
        </w:rPr>
      </w:pPr>
    </w:p>
    <w:p w14:paraId="44B77D24">
      <w:pPr>
        <w:widowControl/>
        <w:jc w:val="left"/>
      </w:pPr>
      <w:r>
        <w:br w:type="page"/>
      </w:r>
    </w:p>
    <w:p w14:paraId="6225B3B5">
      <w:pPr>
        <w:snapToGrid w:val="0"/>
        <w:spacing w:before="19" w:line="400" w:lineRule="exact"/>
        <w:rPr>
          <w:rFonts w:hint="eastAsia" w:ascii="黑体" w:hAnsi="黑体" w:eastAsia="黑体" w:cs="黑体"/>
          <w:szCs w:val="21"/>
        </w:rPr>
      </w:pPr>
    </w:p>
    <w:p w14:paraId="5B6C10A0">
      <w:pPr>
        <w:snapToGrid w:val="0"/>
        <w:spacing w:before="19" w:line="400" w:lineRule="exact"/>
        <w:ind w:left="422" w:firstLine="420" w:firstLineChars="200"/>
        <w:rPr>
          <w:rFonts w:hint="eastAsia" w:ascii="黑体" w:hAnsi="黑体" w:eastAsia="黑体" w:cs="黑体"/>
          <w:b/>
          <w:bCs/>
          <w:szCs w:val="21"/>
        </w:rPr>
      </w:pPr>
      <w:r>
        <w:rPr>
          <w:rFonts w:hint="eastAsia" w:ascii="黑体" w:hAnsi="黑体" w:eastAsia="黑体" w:cs="黑体"/>
          <w:b/>
          <w:bCs/>
          <w:szCs w:val="21"/>
        </w:rPr>
        <w:t>（三)提供符合响应文件要求的供应商特定资格条件的证明材料</w:t>
      </w:r>
    </w:p>
    <w:p w14:paraId="5BC6BD37">
      <w:pPr>
        <w:ind w:left="422"/>
        <w:rPr>
          <w:rFonts w:hint="eastAsia" w:ascii="黑体" w:hAnsi="黑体" w:eastAsia="黑体" w:cs="黑体"/>
          <w:szCs w:val="21"/>
        </w:rPr>
      </w:pPr>
    </w:p>
    <w:p w14:paraId="7255C0D1"/>
    <w:p w14:paraId="5ED309F6">
      <w:pPr>
        <w:ind w:left="422"/>
        <w:rPr>
          <w:rFonts w:hint="eastAsia" w:ascii="黑体" w:hAnsi="黑体" w:eastAsia="黑体" w:cs="黑体"/>
          <w:szCs w:val="21"/>
        </w:rPr>
      </w:pPr>
    </w:p>
    <w:p w14:paraId="6131FBE8"/>
    <w:p w14:paraId="5599CF71">
      <w:pPr>
        <w:snapToGrid w:val="0"/>
        <w:spacing w:before="19" w:line="400" w:lineRule="exact"/>
        <w:ind w:left="422" w:firstLine="420" w:firstLineChars="200"/>
        <w:rPr>
          <w:rFonts w:hint="eastAsia" w:ascii="黑体" w:hAnsi="黑体" w:eastAsia="黑体" w:cs="黑体"/>
          <w:b/>
          <w:bCs/>
          <w:szCs w:val="21"/>
        </w:rPr>
      </w:pPr>
      <w:r>
        <w:rPr>
          <w:rFonts w:hint="eastAsia" w:ascii="黑体" w:hAnsi="黑体" w:eastAsia="黑体" w:cs="黑体"/>
          <w:b/>
          <w:bCs/>
          <w:szCs w:val="21"/>
        </w:rPr>
        <w:t>（四）其他特殊/专业资质文件要求。</w:t>
      </w:r>
    </w:p>
    <w:p w14:paraId="3234A7B4">
      <w:pPr>
        <w:widowControl/>
        <w:jc w:val="left"/>
        <w:rPr>
          <w:rFonts w:hint="eastAsia" w:ascii="宋体" w:hAnsi="宋体"/>
          <w:b/>
          <w:szCs w:val="22"/>
        </w:rPr>
      </w:pPr>
      <w:r>
        <w:rPr>
          <w:rFonts w:hint="eastAsia"/>
          <w:b/>
          <w:szCs w:val="22"/>
        </w:rPr>
        <w:br w:type="page"/>
      </w:r>
    </w:p>
    <w:p w14:paraId="2B91FD2F">
      <w:pPr>
        <w:pStyle w:val="100"/>
        <w:spacing w:after="500" w:line="240" w:lineRule="auto"/>
        <w:ind w:left="422" w:firstLine="420"/>
        <w:jc w:val="left"/>
        <w:rPr>
          <w:rFonts w:hint="eastAsia" w:eastAsia="等线" w:cs="Times New Roman"/>
          <w:b/>
          <w:sz w:val="21"/>
          <w:szCs w:val="22"/>
          <w:lang w:val="en-US" w:eastAsia="zh-CN" w:bidi="ar-SA"/>
        </w:rPr>
      </w:pPr>
    </w:p>
    <w:p w14:paraId="2912607C">
      <w:pPr>
        <w:pStyle w:val="6"/>
        <w:spacing w:line="360" w:lineRule="auto"/>
        <w:rPr>
          <w:rFonts w:hint="eastAsia" w:ascii="黑体" w:hAnsi="黑体" w:eastAsia="黑体" w:cs="宋体"/>
          <w:b w:val="0"/>
          <w:sz w:val="21"/>
          <w:szCs w:val="21"/>
        </w:rPr>
      </w:pPr>
      <w:r>
        <w:rPr>
          <w:rFonts w:hint="eastAsia" w:ascii="黑体" w:hAnsi="黑体" w:eastAsia="黑体" w:cs="宋体"/>
          <w:b w:val="0"/>
          <w:sz w:val="21"/>
          <w:szCs w:val="21"/>
        </w:rPr>
        <w:t>附件十六、提供南京市政府采购供应商信用记录表暨信用承诺书（线上打印）</w:t>
      </w:r>
    </w:p>
    <w:p w14:paraId="0EDBACF3">
      <w:pPr>
        <w:widowControl/>
        <w:jc w:val="left"/>
        <w:rPr>
          <w:rFonts w:hint="eastAsia" w:ascii="黑体" w:hAnsi="黑体" w:eastAsia="黑体" w:cs="黑体"/>
          <w:szCs w:val="21"/>
        </w:rPr>
      </w:pPr>
      <w:r>
        <w:rPr>
          <w:rFonts w:hint="eastAsia" w:ascii="黑体" w:hAnsi="黑体" w:eastAsia="黑体" w:cs="黑体"/>
          <w:szCs w:val="21"/>
        </w:rPr>
        <w:br w:type="page"/>
      </w:r>
    </w:p>
    <w:p w14:paraId="763AC758"/>
    <w:p w14:paraId="1C869110">
      <w:pPr>
        <w:pStyle w:val="6"/>
        <w:spacing w:line="360" w:lineRule="auto"/>
        <w:rPr>
          <w:rFonts w:hint="eastAsia" w:ascii="黑体" w:hAnsi="黑体" w:eastAsia="黑体" w:cs="宋体"/>
          <w:b w:val="0"/>
          <w:sz w:val="21"/>
          <w:szCs w:val="21"/>
        </w:rPr>
      </w:pPr>
      <w:r>
        <w:rPr>
          <w:rFonts w:hint="eastAsia" w:ascii="黑体" w:hAnsi="黑体" w:eastAsia="黑体" w:cs="宋体"/>
          <w:b w:val="0"/>
          <w:sz w:val="21"/>
          <w:szCs w:val="21"/>
        </w:rPr>
        <w:t>附件十七、提供符合政府采购政策的证明材料附件</w:t>
      </w:r>
    </w:p>
    <w:p w14:paraId="7177E1C9">
      <w:pPr>
        <w:ind w:left="422" w:firstLine="2880" w:firstLineChars="800"/>
        <w:rPr>
          <w:rFonts w:hint="eastAsia" w:ascii="黑体" w:hAnsi="黑体" w:eastAsia="黑体" w:cs="宋体"/>
          <w:b/>
          <w:sz w:val="36"/>
          <w:szCs w:val="36"/>
        </w:rPr>
      </w:pPr>
      <w:r>
        <w:rPr>
          <w:rFonts w:hint="eastAsia" w:ascii="黑体" w:hAnsi="黑体" w:eastAsia="黑体" w:cs="宋体"/>
          <w:b/>
          <w:sz w:val="36"/>
          <w:szCs w:val="36"/>
        </w:rPr>
        <w:t>政府采购政策</w:t>
      </w:r>
    </w:p>
    <w:p w14:paraId="1F1DC718"/>
    <w:p w14:paraId="41D5C555">
      <w:pPr>
        <w:spacing w:line="440" w:lineRule="exact"/>
        <w:rPr>
          <w:rFonts w:hint="eastAsia" w:ascii="黑体" w:hAnsi="黑体" w:eastAsia="黑体" w:cs="宋体"/>
          <w:szCs w:val="21"/>
        </w:rPr>
      </w:pPr>
      <w:bookmarkStart w:id="333" w:name="_Toc32229"/>
      <w:bookmarkStart w:id="334" w:name="_Toc20476"/>
      <w:r>
        <w:rPr>
          <w:rFonts w:ascii="黑体" w:hAnsi="黑体" w:eastAsia="黑体" w:cs="宋体"/>
          <w:szCs w:val="21"/>
        </w:rPr>
        <w:t>中小企业声明函（工程、服务）</w:t>
      </w:r>
      <w:bookmarkEnd w:id="333"/>
      <w:bookmarkEnd w:id="334"/>
    </w:p>
    <w:p w14:paraId="4100216D">
      <w:pPr>
        <w:pStyle w:val="9"/>
        <w:ind w:firstLine="420" w:firstLineChars="200"/>
        <w:rPr>
          <w:rFonts w:hint="eastAsia"/>
        </w:rPr>
      </w:pPr>
      <w:r>
        <w:rPr>
          <w:rFonts w:hint="eastAsia"/>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3D0F1A61">
      <w:pPr>
        <w:pStyle w:val="68"/>
        <w:numPr>
          <w:ilvl w:val="0"/>
          <w:numId w:val="0"/>
        </w:numPr>
        <w:ind w:firstLine="420" w:firstLineChars="200"/>
        <w:rPr>
          <w:rFonts w:hint="eastAsia"/>
        </w:rPr>
      </w:pPr>
      <w:r>
        <w:rPr>
          <w:rFonts w:hint="eastAsia"/>
        </w:rPr>
        <w:t>1.</w:t>
      </w:r>
      <w:r>
        <w:rPr>
          <w:rFonts w:hint="eastAsia"/>
          <w:u w:val="single"/>
        </w:rPr>
        <w:t>（标的名称）</w:t>
      </w:r>
      <w:r>
        <w:rPr>
          <w:rFonts w:hint="eastAsia"/>
        </w:rPr>
        <w:t>，属于</w:t>
      </w:r>
      <w:r>
        <w:rPr>
          <w:rFonts w:hint="eastAsia"/>
          <w:u w:val="single"/>
        </w:rPr>
        <w:t>（招标文件中明确的所属行业）</w:t>
      </w:r>
      <w:r>
        <w:rPr>
          <w:rFonts w:hint="eastAsia"/>
        </w:rPr>
        <w:t>；承建（承接）企业为</w:t>
      </w:r>
      <w:r>
        <w:rPr>
          <w:rFonts w:hint="eastAsia"/>
          <w:u w:val="single"/>
        </w:rPr>
        <w:t>（企业名称）</w:t>
      </w:r>
      <w:r>
        <w:rPr>
          <w:rFonts w:hint="eastAsia"/>
        </w:rPr>
        <w:t>，从业人员</w:t>
      </w:r>
      <w:r>
        <w:rPr>
          <w:rFonts w:hint="eastAsia"/>
          <w:u w:val="single"/>
        </w:rPr>
        <w:t xml:space="preserve">   </w:t>
      </w:r>
      <w:r>
        <w:rPr>
          <w:rFonts w:hint="eastAsia"/>
          <w:u w:val="single"/>
        </w:rPr>
        <w:tab/>
      </w:r>
      <w:r>
        <w:rPr>
          <w:rFonts w:hint="eastAsia"/>
        </w:rPr>
        <w:t>人，营业收入为</w:t>
      </w:r>
      <w:r>
        <w:rPr>
          <w:rFonts w:hint="eastAsia"/>
          <w:u w:val="single"/>
        </w:rPr>
        <w:t xml:space="preserve">   </w:t>
      </w:r>
      <w:r>
        <w:rPr>
          <w:rFonts w:hint="eastAsia"/>
          <w:u w:val="single"/>
        </w:rPr>
        <w:tab/>
      </w:r>
      <w:r>
        <w:rPr>
          <w:rFonts w:hint="eastAsia"/>
        </w:rPr>
        <w:t>万元，资产总额为</w:t>
      </w:r>
      <w:r>
        <w:rPr>
          <w:rFonts w:hint="eastAsia"/>
          <w:u w:val="single"/>
        </w:rPr>
        <w:tab/>
      </w:r>
      <w:r>
        <w:rPr>
          <w:rFonts w:hint="eastAsia"/>
        </w:rPr>
        <w:t>万元，属于</w:t>
      </w:r>
      <w:r>
        <w:rPr>
          <w:rFonts w:hint="eastAsia"/>
          <w:u w:val="single"/>
        </w:rPr>
        <w:t xml:space="preserve">   </w:t>
      </w:r>
      <w:r>
        <w:rPr>
          <w:rFonts w:hint="eastAsia"/>
        </w:rPr>
        <w:t>（中型企业、小型企业、微型企业）；</w:t>
      </w:r>
    </w:p>
    <w:p w14:paraId="0773D588">
      <w:pPr>
        <w:ind w:firstLine="420" w:firstLineChars="200"/>
      </w:pPr>
      <w:r>
        <w:rPr>
          <w:rFonts w:hint="eastAsia"/>
        </w:rPr>
        <w:t>2.</w:t>
      </w:r>
      <w:r>
        <w:rPr>
          <w:rFonts w:hint="eastAsia"/>
          <w:u w:val="single"/>
        </w:rPr>
        <w:t>（标的名称）</w:t>
      </w:r>
      <w:r>
        <w:rPr>
          <w:rFonts w:hint="eastAsia"/>
        </w:rPr>
        <w:t>，属于</w:t>
      </w:r>
      <w:r>
        <w:rPr>
          <w:rFonts w:hint="eastAsia"/>
          <w:u w:val="single"/>
        </w:rPr>
        <w:t>（招标文件中明确的所属行业）</w:t>
      </w:r>
      <w:r>
        <w:rPr>
          <w:rFonts w:hint="eastAsia"/>
        </w:rPr>
        <w:t>；承建（承接）企业为</w:t>
      </w:r>
      <w:r>
        <w:rPr>
          <w:rFonts w:hint="eastAsia"/>
          <w:u w:val="single"/>
        </w:rPr>
        <w:t>（企业名称）</w:t>
      </w:r>
      <w:r>
        <w:rPr>
          <w:rFonts w:hint="eastAsia"/>
        </w:rPr>
        <w:t>，从业人员</w:t>
      </w:r>
      <w:r>
        <w:rPr>
          <w:rFonts w:hint="eastAsia"/>
          <w:u w:val="single"/>
        </w:rPr>
        <w:tab/>
      </w:r>
      <w:r>
        <w:rPr>
          <w:rFonts w:hint="eastAsia"/>
        </w:rPr>
        <w:t>人，营业收入为</w:t>
      </w:r>
      <w:r>
        <w:rPr>
          <w:rFonts w:hint="eastAsia"/>
          <w:u w:val="single"/>
        </w:rPr>
        <w:t xml:space="preserve">   </w:t>
      </w:r>
      <w:r>
        <w:rPr>
          <w:rFonts w:hint="eastAsia"/>
        </w:rPr>
        <w:t>万元，资产总额为</w:t>
      </w:r>
      <w:r>
        <w:rPr>
          <w:rFonts w:hint="eastAsia"/>
          <w:u w:val="single"/>
        </w:rPr>
        <w:t xml:space="preserve">     </w:t>
      </w:r>
      <w:r>
        <w:rPr>
          <w:rFonts w:hint="eastAsia"/>
        </w:rPr>
        <w:t>万元，属于</w:t>
      </w:r>
      <w:r>
        <w:rPr>
          <w:rFonts w:hint="eastAsia"/>
          <w:u w:val="single"/>
        </w:rPr>
        <w:t xml:space="preserve"> </w:t>
      </w:r>
      <w:r>
        <w:rPr>
          <w:u w:val="single"/>
        </w:rPr>
        <w:t xml:space="preserve">      </w:t>
      </w:r>
      <w:r>
        <w:rPr>
          <w:rFonts w:hint="eastAsia"/>
        </w:rPr>
        <w:t>（中型企业、小型企业、微型企业）；</w:t>
      </w:r>
    </w:p>
    <w:p w14:paraId="01D3712A">
      <w:pPr>
        <w:pStyle w:val="9"/>
        <w:rPr>
          <w:rFonts w:hint="eastAsia"/>
        </w:rPr>
      </w:pPr>
      <w:r>
        <w:rPr>
          <w:rFonts w:hint="eastAsia"/>
        </w:rPr>
        <w:t>……</w:t>
      </w:r>
    </w:p>
    <w:p w14:paraId="27A918EC">
      <w:pPr>
        <w:pStyle w:val="9"/>
        <w:ind w:firstLine="420" w:firstLineChars="200"/>
        <w:rPr>
          <w:rFonts w:hint="eastAsia"/>
        </w:rPr>
      </w:pPr>
      <w:r>
        <w:rPr>
          <w:rFonts w:hint="eastAsia"/>
        </w:rPr>
        <w:t>以上企业，不属于大企业的分支机构，不存在控股股东为大企业的情形，也不存在与大企业的负责人为同一人的情形。</w:t>
      </w:r>
    </w:p>
    <w:p w14:paraId="1D2DE636">
      <w:pPr>
        <w:pStyle w:val="9"/>
        <w:ind w:firstLine="420" w:firstLineChars="200"/>
        <w:rPr>
          <w:rFonts w:hint="eastAsia"/>
        </w:rPr>
      </w:pPr>
      <w:r>
        <w:rPr>
          <w:rFonts w:hint="eastAsia"/>
        </w:rPr>
        <w:t>本企业对上述声明内容的真实性负责。如有虚假，将依法承担相应责任。</w:t>
      </w:r>
    </w:p>
    <w:p w14:paraId="04E5733F">
      <w:pPr>
        <w:pStyle w:val="9"/>
        <w:rPr>
          <w:rFonts w:hint="eastAsia"/>
        </w:rPr>
      </w:pPr>
    </w:p>
    <w:p w14:paraId="7182F241">
      <w:pPr>
        <w:pStyle w:val="9"/>
        <w:rPr>
          <w:rFonts w:hint="eastAsia"/>
        </w:rPr>
      </w:pPr>
      <w:r>
        <w:rPr>
          <w:rFonts w:hint="eastAsia"/>
        </w:rPr>
        <w:t xml:space="preserve">                                                           供应商名称（盖章）：</w:t>
      </w:r>
    </w:p>
    <w:p w14:paraId="4794948F">
      <w:pPr>
        <w:pStyle w:val="9"/>
        <w:jc w:val="right"/>
        <w:rPr>
          <w:rFonts w:hint="eastAsia"/>
        </w:rPr>
      </w:pPr>
      <w:r>
        <w:rPr>
          <w:rFonts w:hint="eastAsia"/>
        </w:rPr>
        <w:t xml:space="preserve"> 日   期：年    月    日</w:t>
      </w:r>
    </w:p>
    <w:p w14:paraId="311BB31C">
      <w:pPr>
        <w:pStyle w:val="2"/>
        <w:rPr>
          <w:rFonts w:hint="eastAsia" w:ascii="黑体" w:hAnsi="黑体" w:eastAsia="黑体" w:cs="宋体"/>
        </w:rPr>
      </w:pPr>
      <w:r>
        <w:rPr>
          <w:rFonts w:hint="eastAsia"/>
        </w:rPr>
        <w:br w:type="page"/>
      </w:r>
    </w:p>
    <w:p w14:paraId="2A140FFC">
      <w:pPr>
        <w:wordWrap w:val="0"/>
        <w:spacing w:line="400" w:lineRule="exact"/>
        <w:rPr>
          <w:rFonts w:hint="eastAsia" w:ascii="黑体" w:hAnsi="黑体" w:eastAsia="黑体" w:cs="黑体"/>
          <w:szCs w:val="21"/>
        </w:rPr>
      </w:pPr>
    </w:p>
    <w:p w14:paraId="5EB60ED0">
      <w:pPr>
        <w:ind w:firstLine="2160" w:firstLineChars="600"/>
        <w:rPr>
          <w:rFonts w:hint="eastAsia" w:ascii="黑体" w:hAnsi="黑体" w:eastAsia="黑体" w:cs="宋体"/>
          <w:b/>
          <w:sz w:val="36"/>
          <w:szCs w:val="36"/>
        </w:rPr>
      </w:pPr>
      <w:bookmarkStart w:id="335" w:name="_Toc12855"/>
      <w:r>
        <w:rPr>
          <w:rFonts w:ascii="黑体" w:hAnsi="黑体" w:eastAsia="黑体" w:cs="宋体"/>
          <w:b/>
          <w:sz w:val="36"/>
          <w:szCs w:val="36"/>
        </w:rPr>
        <w:t>残疾人福利性单位声明函</w:t>
      </w:r>
      <w:bookmarkEnd w:id="335"/>
    </w:p>
    <w:p w14:paraId="09631A5B">
      <w:pPr>
        <w:widowControl/>
        <w:spacing w:line="400" w:lineRule="exact"/>
        <w:ind w:left="422" w:firstLine="420" w:firstLineChars="200"/>
        <w:jc w:val="left"/>
        <w:rPr>
          <w:rFonts w:hint="eastAsia" w:ascii="黑体" w:hAnsi="黑体" w:eastAsia="黑体" w:cs="黑体"/>
          <w:szCs w:val="21"/>
        </w:rPr>
      </w:pPr>
      <w:r>
        <w:rPr>
          <w:rFonts w:hint="eastAsia" w:ascii="黑体" w:hAnsi="黑体" w:eastAsia="黑体" w:cs="黑体"/>
          <w:szCs w:val="21"/>
        </w:rPr>
        <w:t>本单位郑重声明，根据《财政部 民政部 中国残疾人联合会关于促进残疾人就业政府采购政策的通知》（财库〔2017〕 141号）的规定，本单位为符合条件的残疾人福利性单位，且本单位参加_</w:t>
      </w:r>
      <w:r>
        <w:rPr>
          <w:rFonts w:hint="eastAsia" w:ascii="黑体" w:hAnsi="黑体" w:eastAsia="黑体" w:cs="黑体"/>
          <w:szCs w:val="21"/>
          <w:u w:val="single"/>
        </w:rPr>
        <w:t>___</w:t>
      </w:r>
      <w:r>
        <w:rPr>
          <w:rFonts w:hint="eastAsia" w:ascii="黑体" w:hAnsi="黑体" w:eastAsia="黑体" w:cs="黑体"/>
          <w:szCs w:val="21"/>
        </w:rPr>
        <w:t>__单位的______项目采购活动提供本单位制造的货物（由本单位承担工程/提供服务），或者提供其他残疾人福利性单位制造的货物（不包括使用非残疾人福利性单位注册商标的货物）。</w:t>
      </w:r>
    </w:p>
    <w:p w14:paraId="39F6D1E7">
      <w:pPr>
        <w:widowControl/>
        <w:spacing w:line="400" w:lineRule="exact"/>
        <w:ind w:left="422" w:firstLine="420" w:firstLineChars="200"/>
        <w:jc w:val="left"/>
        <w:rPr>
          <w:rFonts w:hint="eastAsia" w:ascii="黑体" w:hAnsi="黑体" w:eastAsia="黑体" w:cs="黑体"/>
          <w:szCs w:val="21"/>
        </w:rPr>
      </w:pPr>
      <w:r>
        <w:rPr>
          <w:rFonts w:hint="eastAsia" w:ascii="黑体" w:hAnsi="黑体" w:eastAsia="黑体" w:cs="黑体"/>
          <w:szCs w:val="21"/>
        </w:rPr>
        <w:t>本单位对上述声明的真实性负责。如有虚假，将依法承担相应责任。</w:t>
      </w:r>
    </w:p>
    <w:p w14:paraId="4CDF5146">
      <w:pPr>
        <w:widowControl/>
        <w:tabs>
          <w:tab w:val="left" w:pos="5245"/>
        </w:tabs>
        <w:spacing w:line="400" w:lineRule="exact"/>
        <w:ind w:left="422" w:right="1260" w:firstLine="420" w:firstLineChars="200"/>
        <w:jc w:val="right"/>
        <w:rPr>
          <w:rFonts w:hint="eastAsia" w:ascii="黑体" w:hAnsi="黑体" w:eastAsia="黑体" w:cs="黑体"/>
          <w:szCs w:val="21"/>
        </w:rPr>
      </w:pPr>
      <w:r>
        <w:rPr>
          <w:rFonts w:hint="eastAsia" w:ascii="黑体" w:hAnsi="黑体" w:eastAsia="黑体" w:cs="黑体"/>
          <w:szCs w:val="21"/>
        </w:rPr>
        <w:t xml:space="preserve">供应商（盖章）: </w:t>
      </w:r>
    </w:p>
    <w:p w14:paraId="2E3DD9C6">
      <w:pPr>
        <w:widowControl/>
        <w:spacing w:line="400" w:lineRule="exact"/>
        <w:ind w:left="422" w:right="210" w:firstLine="420" w:firstLineChars="200"/>
        <w:jc w:val="right"/>
        <w:rPr>
          <w:rFonts w:hint="eastAsia" w:ascii="黑体" w:hAnsi="黑体" w:eastAsia="黑体" w:cs="黑体"/>
          <w:szCs w:val="21"/>
        </w:rPr>
      </w:pPr>
      <w:r>
        <w:rPr>
          <w:rFonts w:hint="eastAsia" w:ascii="黑体" w:hAnsi="黑体" w:eastAsia="黑体" w:cs="黑体"/>
          <w:szCs w:val="21"/>
        </w:rPr>
        <w:t>日  期：</w:t>
      </w:r>
      <w:r>
        <w:rPr>
          <w:rFonts w:hint="eastAsia" w:ascii="黑体" w:hAnsi="黑体" w:eastAsia="黑体" w:cs="黑体"/>
          <w:szCs w:val="21"/>
          <w:u w:val="single"/>
        </w:rPr>
        <w:t xml:space="preserve">  </w:t>
      </w:r>
      <w:bookmarkStart w:id="336" w:name="OLE_LINK10"/>
      <w:r>
        <w:rPr>
          <w:rFonts w:hint="eastAsia" w:ascii="黑体" w:hAnsi="黑体" w:eastAsia="黑体" w:cs="黑体"/>
          <w:szCs w:val="21"/>
          <w:u w:val="single"/>
        </w:rPr>
        <w:t xml:space="preserve"> </w:t>
      </w:r>
      <w:r>
        <w:rPr>
          <w:rFonts w:hint="eastAsia" w:ascii="黑体" w:hAnsi="黑体" w:eastAsia="黑体" w:cs="黑体"/>
          <w:szCs w:val="21"/>
        </w:rPr>
        <w:t>年</w:t>
      </w:r>
      <w:r>
        <w:rPr>
          <w:rFonts w:hint="eastAsia" w:ascii="黑体" w:hAnsi="黑体" w:eastAsia="黑体" w:cs="黑体"/>
          <w:szCs w:val="21"/>
          <w:u w:val="single"/>
        </w:rPr>
        <w:t xml:space="preserve">   </w:t>
      </w:r>
      <w:r>
        <w:rPr>
          <w:rFonts w:hint="eastAsia" w:ascii="黑体" w:hAnsi="黑体" w:eastAsia="黑体" w:cs="黑体"/>
          <w:szCs w:val="21"/>
        </w:rPr>
        <w:t xml:space="preserve"> 月</w:t>
      </w:r>
      <w:r>
        <w:rPr>
          <w:rFonts w:hint="eastAsia" w:ascii="黑体" w:hAnsi="黑体" w:eastAsia="黑体" w:cs="黑体"/>
          <w:szCs w:val="21"/>
          <w:u w:val="single"/>
        </w:rPr>
        <w:t xml:space="preserve">   </w:t>
      </w:r>
      <w:r>
        <w:rPr>
          <w:rFonts w:hint="eastAsia" w:ascii="黑体" w:hAnsi="黑体" w:eastAsia="黑体" w:cs="黑体"/>
          <w:szCs w:val="21"/>
        </w:rPr>
        <w:t xml:space="preserve"> 日</w:t>
      </w:r>
      <w:bookmarkEnd w:id="336"/>
    </w:p>
    <w:p w14:paraId="15D857A0">
      <w:pPr>
        <w:ind w:firstLine="2160" w:firstLineChars="600"/>
        <w:rPr>
          <w:rFonts w:hint="eastAsia" w:ascii="黑体" w:hAnsi="黑体" w:eastAsia="黑体" w:cs="宋体"/>
          <w:b/>
          <w:sz w:val="36"/>
          <w:szCs w:val="36"/>
        </w:rPr>
      </w:pPr>
      <w:bookmarkStart w:id="337" w:name="_Toc21658"/>
      <w:bookmarkStart w:id="338" w:name="_Toc30894"/>
      <w:r>
        <w:rPr>
          <w:rFonts w:hint="eastAsia" w:ascii="黑体" w:hAnsi="黑体" w:eastAsia="黑体" w:cs="宋体"/>
          <w:b/>
          <w:sz w:val="36"/>
          <w:szCs w:val="36"/>
        </w:rPr>
        <w:t>属于监狱企业的证明文件</w:t>
      </w:r>
      <w:bookmarkEnd w:id="337"/>
      <w:bookmarkEnd w:id="338"/>
    </w:p>
    <w:p w14:paraId="3224E325">
      <w:pPr>
        <w:widowControl/>
        <w:spacing w:line="400" w:lineRule="exact"/>
        <w:ind w:left="422" w:firstLine="420" w:firstLineChars="200"/>
        <w:jc w:val="left"/>
        <w:rPr>
          <w:rFonts w:hint="eastAsia" w:ascii="黑体" w:hAnsi="黑体" w:eastAsia="黑体" w:cs="黑体"/>
          <w:szCs w:val="21"/>
        </w:rPr>
      </w:pPr>
      <w:r>
        <w:rPr>
          <w:rFonts w:hint="eastAsia" w:ascii="黑体" w:hAnsi="黑体" w:eastAsia="黑体" w:cs="黑体"/>
          <w:szCs w:val="21"/>
        </w:rPr>
        <w:t>（提供由省级以上监狱管理局、戒毒管理局(含新疆生产建设兵团)出具的属于监狱企业的证明文件）</w:t>
      </w:r>
    </w:p>
    <w:p w14:paraId="4C2AC0EE">
      <w:pPr>
        <w:jc w:val="center"/>
        <w:rPr>
          <w:rFonts w:hint="eastAsia" w:ascii="黑体" w:hAnsi="黑体" w:eastAsia="黑体"/>
        </w:rPr>
      </w:pPr>
      <w:bookmarkStart w:id="339" w:name="_Toc11461"/>
      <w:bookmarkStart w:id="340" w:name="_Toc29442"/>
      <w:r>
        <w:rPr>
          <w:rFonts w:hint="eastAsia" w:ascii="黑体" w:hAnsi="黑体" w:eastAsia="黑体"/>
        </w:rPr>
        <w:t>节能产品认证证书</w:t>
      </w:r>
      <w:bookmarkEnd w:id="339"/>
      <w:bookmarkEnd w:id="340"/>
    </w:p>
    <w:p w14:paraId="1F385709">
      <w:pPr>
        <w:widowControl/>
        <w:spacing w:line="400" w:lineRule="exact"/>
        <w:ind w:left="422" w:firstLine="420" w:firstLineChars="200"/>
        <w:jc w:val="left"/>
        <w:rPr>
          <w:rFonts w:hint="eastAsia" w:ascii="黑体" w:hAnsi="黑体" w:eastAsia="黑体" w:cs="黑体"/>
          <w:szCs w:val="21"/>
        </w:rPr>
      </w:pPr>
      <w:r>
        <w:rPr>
          <w:rFonts w:hint="eastAsia" w:ascii="黑体" w:hAnsi="黑体" w:eastAsia="黑体" w:cs="黑体"/>
          <w:szCs w:val="21"/>
        </w:rPr>
        <w:t>（提供国家确定的认证机构出具的、处于有效期之内的产品认证证书）</w:t>
      </w:r>
    </w:p>
    <w:p w14:paraId="0AA56F00">
      <w:pPr>
        <w:spacing w:line="360" w:lineRule="auto"/>
        <w:rPr>
          <w:rFonts w:hint="eastAsia" w:ascii="黑体" w:hAnsi="黑体" w:eastAsia="黑体" w:cs="Arial"/>
          <w:b/>
          <w:bCs/>
          <w:szCs w:val="21"/>
        </w:rPr>
      </w:pPr>
    </w:p>
    <w:p w14:paraId="07A00BCD">
      <w:pPr>
        <w:jc w:val="center"/>
        <w:rPr>
          <w:rFonts w:hint="eastAsia" w:ascii="黑体" w:hAnsi="黑体" w:eastAsia="黑体" w:cs="Arial"/>
          <w:bCs/>
        </w:rPr>
      </w:pPr>
      <w:bookmarkStart w:id="341" w:name="_Toc31825"/>
      <w:bookmarkStart w:id="342" w:name="_Toc19775"/>
      <w:r>
        <w:rPr>
          <w:rFonts w:hint="eastAsia" w:ascii="黑体" w:hAnsi="黑体" w:eastAsia="黑体"/>
        </w:rPr>
        <w:t>环境标志产品认证证书</w:t>
      </w:r>
      <w:bookmarkEnd w:id="341"/>
      <w:bookmarkEnd w:id="342"/>
    </w:p>
    <w:p w14:paraId="21F15ED0">
      <w:pPr>
        <w:widowControl/>
        <w:spacing w:line="400" w:lineRule="exact"/>
        <w:ind w:left="422" w:firstLine="420" w:firstLineChars="200"/>
        <w:jc w:val="left"/>
        <w:rPr>
          <w:rFonts w:hint="eastAsia" w:ascii="黑体" w:hAnsi="黑体" w:eastAsia="黑体" w:cs="黑体"/>
          <w:szCs w:val="21"/>
        </w:rPr>
      </w:pPr>
      <w:r>
        <w:rPr>
          <w:rFonts w:hint="eastAsia" w:ascii="黑体" w:hAnsi="黑体" w:eastAsia="黑体" w:cs="黑体"/>
          <w:szCs w:val="21"/>
        </w:rPr>
        <w:t>（提供国家确定的认证机构出具的、处于有效期之内的产品认证证书）</w:t>
      </w:r>
    </w:p>
    <w:p w14:paraId="0F706980">
      <w:pPr>
        <w:spacing w:line="360" w:lineRule="auto"/>
        <w:rPr>
          <w:rFonts w:hint="eastAsia" w:ascii="黑体" w:hAnsi="黑体" w:eastAsia="黑体" w:cs="Arial"/>
          <w:b/>
          <w:bCs/>
          <w:szCs w:val="21"/>
        </w:rPr>
      </w:pPr>
    </w:p>
    <w:p w14:paraId="668C1A74">
      <w:pPr>
        <w:jc w:val="center"/>
        <w:rPr>
          <w:rFonts w:hint="eastAsia" w:ascii="黑体" w:hAnsi="黑体" w:eastAsia="黑体"/>
        </w:rPr>
      </w:pPr>
      <w:bookmarkStart w:id="343" w:name="_Toc31749"/>
      <w:bookmarkStart w:id="344" w:name="_Toc31229"/>
      <w:r>
        <w:rPr>
          <w:rFonts w:hint="eastAsia" w:ascii="黑体" w:hAnsi="黑体" w:eastAsia="黑体"/>
        </w:rPr>
        <w:t>进口产品转让技术、消化吸收再创新方案</w:t>
      </w:r>
      <w:bookmarkEnd w:id="343"/>
      <w:bookmarkEnd w:id="344"/>
    </w:p>
    <w:p w14:paraId="27DFD4DF">
      <w:pPr>
        <w:widowControl/>
        <w:spacing w:line="400" w:lineRule="exact"/>
        <w:ind w:left="422" w:firstLine="420" w:firstLineChars="200"/>
        <w:jc w:val="center"/>
        <w:rPr>
          <w:rFonts w:hint="eastAsia" w:ascii="黑体" w:hAnsi="黑体" w:eastAsia="黑体" w:cs="黑体"/>
          <w:szCs w:val="21"/>
        </w:rPr>
      </w:pPr>
      <w:r>
        <w:rPr>
          <w:rFonts w:hint="eastAsia" w:ascii="黑体" w:hAnsi="黑体" w:eastAsia="黑体" w:cs="黑体"/>
          <w:szCs w:val="21"/>
        </w:rPr>
        <w:t>（对于允许进口产品参加的项目）</w:t>
      </w:r>
    </w:p>
    <w:p w14:paraId="370F52BD">
      <w:pPr>
        <w:rPr>
          <w:rFonts w:hint="eastAsia" w:ascii="黑体" w:hAnsi="黑体" w:eastAsia="黑体"/>
        </w:rPr>
      </w:pPr>
    </w:p>
    <w:p w14:paraId="61E5F61F">
      <w:pPr>
        <w:spacing w:line="440" w:lineRule="exact"/>
        <w:ind w:firstLine="420" w:firstLineChars="200"/>
        <w:rPr>
          <w:rFonts w:hint="eastAsia" w:ascii="黑体" w:hAnsi="黑体" w:eastAsia="黑体" w:cs="黑体"/>
          <w:szCs w:val="21"/>
        </w:rPr>
      </w:pPr>
      <w:r>
        <w:rPr>
          <w:rFonts w:hint="eastAsia" w:ascii="黑体" w:hAnsi="黑体" w:eastAsia="黑体" w:cs="黑体"/>
          <w:szCs w:val="21"/>
        </w:rPr>
        <w:t>注：1、供应商为中小企业（含中型、小型、微型企业，下同）的，提供《中小企业声明函》原件（加盖公章，格式见上，非必须提供）。</w:t>
      </w:r>
    </w:p>
    <w:p w14:paraId="4E1FFED1">
      <w:pPr>
        <w:spacing w:line="440" w:lineRule="exact"/>
        <w:ind w:firstLine="420" w:firstLineChars="200"/>
        <w:rPr>
          <w:rFonts w:hint="eastAsia" w:ascii="黑体" w:hAnsi="黑体" w:eastAsia="黑体" w:cs="黑体"/>
          <w:szCs w:val="21"/>
        </w:rPr>
      </w:pPr>
      <w:r>
        <w:rPr>
          <w:rFonts w:hint="eastAsia" w:ascii="黑体" w:hAnsi="黑体" w:eastAsia="黑体" w:cs="黑体"/>
          <w:szCs w:val="21"/>
        </w:rPr>
        <w:t>注：中小企业（含中型、小型、微型企业，下同），应当同时符合以下条件：</w:t>
      </w:r>
    </w:p>
    <w:p w14:paraId="3C7F85EC">
      <w:pPr>
        <w:spacing w:line="440" w:lineRule="exact"/>
        <w:ind w:firstLine="420" w:firstLineChars="200"/>
        <w:rPr>
          <w:rFonts w:hint="eastAsia" w:ascii="黑体" w:hAnsi="黑体" w:eastAsia="黑体" w:cs="黑体"/>
          <w:szCs w:val="21"/>
        </w:rPr>
      </w:pPr>
      <w:r>
        <w:rPr>
          <w:rFonts w:hint="eastAsia" w:ascii="黑体" w:hAnsi="黑体" w:eastAsia="黑体" w:cs="黑体"/>
          <w:szCs w:val="21"/>
        </w:rPr>
        <w:t>　①符合中小企业划分标准；</w:t>
      </w:r>
    </w:p>
    <w:p w14:paraId="03417B17">
      <w:pPr>
        <w:spacing w:line="440" w:lineRule="exact"/>
        <w:ind w:firstLine="420" w:firstLineChars="200"/>
        <w:rPr>
          <w:rFonts w:hint="eastAsia" w:ascii="黑体" w:hAnsi="黑体" w:eastAsia="黑体" w:cs="黑体"/>
          <w:szCs w:val="21"/>
        </w:rPr>
      </w:pPr>
      <w:r>
        <w:rPr>
          <w:rFonts w:hint="eastAsia" w:ascii="黑体" w:hAnsi="黑体" w:eastAsia="黑体" w:cs="黑体"/>
          <w:szCs w:val="21"/>
        </w:rPr>
        <w:t xml:space="preserve">  ②提供本企业制造的货物、承担的工程或者服务，或者提供其他中小企业制造的货物。本项所称货物不包括使用大型企业注册商标的货物。小型、微型企业提供中型企业制造的货物的，视同为中型企业。</w:t>
      </w:r>
    </w:p>
    <w:p w14:paraId="021BD85B">
      <w:pPr>
        <w:spacing w:line="440" w:lineRule="exact"/>
        <w:ind w:firstLine="420" w:firstLineChars="200"/>
        <w:rPr>
          <w:rFonts w:hint="eastAsia" w:ascii="黑体" w:hAnsi="黑体" w:eastAsia="黑体" w:cs="黑体"/>
          <w:szCs w:val="21"/>
        </w:rPr>
      </w:pPr>
      <w:r>
        <w:rPr>
          <w:rFonts w:hint="eastAsia" w:ascii="黑体" w:hAnsi="黑体" w:eastAsia="黑体" w:cs="黑体"/>
          <w:szCs w:val="21"/>
        </w:rPr>
        <w:t>具体以《政府采购促进中小企业发展管理办法》财库（2020）46号和《工业和信息化部、国家统计局、国家发展和改革委员会、财政部关于印发中小企业划型标准规定的通知》（工信部联企业[2011]300号）的规定为准。</w:t>
      </w:r>
    </w:p>
    <w:p w14:paraId="0147DAFB">
      <w:pPr>
        <w:spacing w:line="440" w:lineRule="exact"/>
        <w:ind w:firstLine="420" w:firstLineChars="200"/>
        <w:rPr>
          <w:rFonts w:hint="eastAsia" w:ascii="黑体" w:hAnsi="黑体" w:eastAsia="黑体" w:cs="黑体"/>
          <w:szCs w:val="21"/>
        </w:rPr>
      </w:pPr>
      <w:r>
        <w:rPr>
          <w:rFonts w:hint="eastAsia" w:ascii="黑体" w:hAnsi="黑体" w:eastAsia="黑体" w:cs="黑体"/>
          <w:szCs w:val="21"/>
        </w:rPr>
        <w:t>2.供应商为监狱企业的，提供省级以上监狱管理局、戒毒管理局（含新疆生产建设兵团）出具的属于监狱企业的证明文件复印件。</w:t>
      </w:r>
    </w:p>
    <w:p w14:paraId="3CA870F9">
      <w:pPr>
        <w:spacing w:line="440" w:lineRule="exact"/>
        <w:ind w:firstLine="420" w:firstLineChars="200"/>
        <w:rPr>
          <w:rFonts w:hint="eastAsia" w:ascii="黑体" w:hAnsi="黑体" w:eastAsia="黑体" w:cs="黑体"/>
          <w:szCs w:val="21"/>
        </w:rPr>
      </w:pPr>
      <w:r>
        <w:rPr>
          <w:rFonts w:hint="eastAsia" w:ascii="黑体" w:hAnsi="黑体" w:eastAsia="黑体" w:cs="黑体"/>
          <w:szCs w:val="21"/>
        </w:rPr>
        <w:t>注：具体以《财政部司法部关于政府采购支持监狱企业发展有关问题的通知》（财库〔2014〕68号）的规定为准。</w:t>
      </w:r>
    </w:p>
    <w:p w14:paraId="2502CF99">
      <w:pPr>
        <w:spacing w:line="440" w:lineRule="exact"/>
        <w:ind w:firstLine="420" w:firstLineChars="200"/>
        <w:rPr>
          <w:rFonts w:hint="eastAsia" w:ascii="黑体" w:hAnsi="黑体" w:eastAsia="黑体" w:cs="黑体"/>
          <w:szCs w:val="21"/>
        </w:rPr>
      </w:pPr>
      <w:r>
        <w:rPr>
          <w:rFonts w:hint="eastAsia" w:ascii="黑体" w:hAnsi="黑体" w:eastAsia="黑体" w:cs="黑体"/>
          <w:szCs w:val="21"/>
        </w:rPr>
        <w:t>3.供应商为享受政府采购支持政策的残疾人福利性单位的，提供《残疾人福利性单位声明函》原件（加盖公章，格式见《招标文件》附件，非必须提供）。</w:t>
      </w:r>
    </w:p>
    <w:p w14:paraId="77E2EF41">
      <w:pPr>
        <w:spacing w:line="440" w:lineRule="exact"/>
        <w:ind w:firstLine="420" w:firstLineChars="200"/>
        <w:rPr>
          <w:rFonts w:hint="eastAsia" w:ascii="黑体" w:hAnsi="黑体" w:eastAsia="黑体" w:cs="黑体"/>
          <w:szCs w:val="21"/>
        </w:rPr>
      </w:pPr>
      <w:r>
        <w:rPr>
          <w:rFonts w:hint="eastAsia" w:ascii="黑体" w:hAnsi="黑体" w:eastAsia="黑体" w:cs="黑体"/>
          <w:szCs w:val="21"/>
        </w:rPr>
        <w:t>享受政府采购支持政策的残疾人福利性单位应当同时满足以下条件：</w:t>
      </w:r>
    </w:p>
    <w:p w14:paraId="5801862D">
      <w:pPr>
        <w:spacing w:line="440" w:lineRule="exact"/>
        <w:ind w:firstLine="420" w:firstLineChars="200"/>
        <w:rPr>
          <w:rFonts w:hint="eastAsia" w:ascii="黑体" w:hAnsi="黑体" w:eastAsia="黑体" w:cs="黑体"/>
          <w:szCs w:val="21"/>
        </w:rPr>
      </w:pPr>
      <w:r>
        <w:rPr>
          <w:rFonts w:hint="eastAsia" w:ascii="黑体" w:hAnsi="黑体" w:eastAsia="黑体" w:cs="黑体"/>
          <w:szCs w:val="21"/>
        </w:rPr>
        <w:t>（一）安置的残疾人占本单位在职职工人数的比例不低于25%（含25%），并且安置的残疾人人数不少于10人（含10人）；</w:t>
      </w:r>
    </w:p>
    <w:p w14:paraId="4D854609">
      <w:pPr>
        <w:spacing w:line="440" w:lineRule="exact"/>
        <w:ind w:firstLine="420" w:firstLineChars="200"/>
        <w:rPr>
          <w:rFonts w:hint="eastAsia" w:ascii="黑体" w:hAnsi="黑体" w:eastAsia="黑体" w:cs="黑体"/>
          <w:szCs w:val="21"/>
        </w:rPr>
      </w:pPr>
      <w:r>
        <w:rPr>
          <w:rFonts w:hint="eastAsia" w:ascii="黑体" w:hAnsi="黑体" w:eastAsia="黑体" w:cs="黑体"/>
          <w:szCs w:val="21"/>
        </w:rPr>
        <w:t>（二）依法与安置的每位残疾人签订了一年以上（含一年）的劳动合同或服务协议；</w:t>
      </w:r>
    </w:p>
    <w:p w14:paraId="0CDCB15F">
      <w:pPr>
        <w:spacing w:line="440" w:lineRule="exact"/>
        <w:ind w:firstLine="420" w:firstLineChars="200"/>
        <w:rPr>
          <w:rFonts w:hint="eastAsia" w:ascii="黑体" w:hAnsi="黑体" w:eastAsia="黑体" w:cs="黑体"/>
          <w:szCs w:val="21"/>
        </w:rPr>
      </w:pPr>
      <w:r>
        <w:rPr>
          <w:rFonts w:hint="eastAsia" w:ascii="黑体" w:hAnsi="黑体" w:eastAsia="黑体" w:cs="黑体"/>
          <w:szCs w:val="21"/>
        </w:rPr>
        <w:t>（三）为安置的每位残疾人按月足额缴纳了基本养老保险、基本医疗保险、失业保险、工伤保险和生育保险等社会保险费；</w:t>
      </w:r>
    </w:p>
    <w:p w14:paraId="098D44C9">
      <w:pPr>
        <w:spacing w:line="440" w:lineRule="exact"/>
        <w:ind w:firstLine="420" w:firstLineChars="200"/>
        <w:rPr>
          <w:rFonts w:hint="eastAsia" w:ascii="黑体" w:hAnsi="黑体" w:eastAsia="黑体" w:cs="黑体"/>
          <w:szCs w:val="21"/>
        </w:rPr>
      </w:pPr>
      <w:r>
        <w:rPr>
          <w:rFonts w:hint="eastAsia" w:ascii="黑体" w:hAnsi="黑体" w:eastAsia="黑体" w:cs="黑体"/>
          <w:szCs w:val="21"/>
        </w:rPr>
        <w:t>（四）通过银行等金融机构向安置的每位残疾人，按月支付了不低于单位所在区县适用的经省级人民政府批准的月最低工资标准的工资；</w:t>
      </w:r>
    </w:p>
    <w:p w14:paraId="0B947A23">
      <w:pPr>
        <w:spacing w:line="440" w:lineRule="exact"/>
        <w:ind w:firstLine="420" w:firstLineChars="200"/>
        <w:rPr>
          <w:rFonts w:hint="eastAsia" w:ascii="黑体" w:hAnsi="黑体" w:eastAsia="黑体" w:cs="黑体"/>
          <w:szCs w:val="21"/>
        </w:rPr>
      </w:pPr>
      <w:r>
        <w:rPr>
          <w:rFonts w:hint="eastAsia" w:ascii="黑体" w:hAnsi="黑体" w:eastAsia="黑体" w:cs="黑体"/>
          <w:szCs w:val="21"/>
        </w:rPr>
        <w:t>（五）提供本单位制造的货物、承担的工程或者服务（以下简称产品），或者提供其他残疾人福利性单位制造的货物（不包括使用非残疾人福利性单位注册商标的货物）。</w:t>
      </w:r>
    </w:p>
    <w:p w14:paraId="5A1E3D25">
      <w:pPr>
        <w:spacing w:line="440" w:lineRule="exact"/>
        <w:ind w:firstLine="420" w:firstLineChars="200"/>
        <w:rPr>
          <w:rFonts w:hint="eastAsia" w:ascii="黑体" w:hAnsi="黑体" w:eastAsia="黑体" w:cs="黑体"/>
          <w:szCs w:val="21"/>
        </w:rPr>
      </w:pPr>
      <w:r>
        <w:rPr>
          <w:rFonts w:hint="eastAsia" w:ascii="黑体" w:hAnsi="黑体" w:eastAsia="黑体" w:cs="黑体"/>
          <w:szCs w:val="21"/>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08686580">
      <w:pPr>
        <w:spacing w:line="440" w:lineRule="exact"/>
        <w:ind w:firstLine="200"/>
        <w:rPr>
          <w:rFonts w:hint="eastAsia" w:ascii="黑体" w:hAnsi="黑体" w:eastAsia="黑体" w:cs="黑体"/>
          <w:szCs w:val="21"/>
        </w:rPr>
      </w:pPr>
      <w:r>
        <w:rPr>
          <w:rFonts w:hint="eastAsia" w:ascii="黑体" w:hAnsi="黑体" w:eastAsia="黑体" w:cs="黑体"/>
          <w:szCs w:val="21"/>
        </w:rPr>
        <w:t>具体以《三部门联合发布关于促进残疾人就业政府采购政策的通知》（财库〔2017〕141号）规定为准。</w:t>
      </w:r>
    </w:p>
    <w:p w14:paraId="3A36812A">
      <w:pPr>
        <w:pStyle w:val="6"/>
        <w:spacing w:line="360" w:lineRule="auto"/>
        <w:rPr>
          <w:rFonts w:hint="eastAsia" w:ascii="黑体" w:hAnsi="黑体" w:eastAsia="黑体" w:cs="宋体"/>
          <w:b w:val="0"/>
          <w:sz w:val="21"/>
          <w:szCs w:val="21"/>
        </w:rPr>
      </w:pPr>
      <w:r>
        <w:rPr>
          <w:rFonts w:hint="eastAsia" w:ascii="黑体" w:hAnsi="黑体" w:eastAsia="黑体" w:cs="宋体"/>
          <w:b w:val="0"/>
          <w:sz w:val="21"/>
          <w:szCs w:val="21"/>
        </w:rPr>
        <w:t>附件十八、供应商须知前附表要求的其他响应资料</w:t>
      </w:r>
    </w:p>
    <w:p w14:paraId="6DB6D8BF">
      <w:pPr>
        <w:pStyle w:val="6"/>
        <w:spacing w:line="360" w:lineRule="auto"/>
        <w:rPr>
          <w:rFonts w:hint="eastAsia" w:ascii="黑体" w:hAnsi="黑体" w:eastAsia="黑体" w:cs="宋体"/>
          <w:b w:val="0"/>
          <w:sz w:val="21"/>
          <w:szCs w:val="21"/>
        </w:rPr>
      </w:pPr>
      <w:r>
        <w:rPr>
          <w:rFonts w:hint="eastAsia" w:ascii="黑体" w:hAnsi="黑体" w:eastAsia="黑体" w:cs="宋体"/>
          <w:b w:val="0"/>
          <w:sz w:val="21"/>
          <w:szCs w:val="21"/>
        </w:rPr>
        <w:t>附件十九、供应商认为需提供的其他资料</w:t>
      </w:r>
      <w:bookmarkEnd w:id="296"/>
      <w:bookmarkEnd w:id="297"/>
      <w:bookmarkEnd w:id="298"/>
      <w:bookmarkEnd w:id="299"/>
      <w:bookmarkEnd w:id="300"/>
    </w:p>
    <w:sectPr>
      <w:footerReference r:id="rId8" w:type="first"/>
      <w:pgSz w:w="11906" w:h="16838"/>
      <w:pgMar w:top="1440" w:right="1644" w:bottom="1440" w:left="1644" w:header="624" w:footer="907" w:gutter="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Univers">
    <w:altName w:val="Segoe Print"/>
    <w:panose1 w:val="020B0603020202030204"/>
    <w:charset w:val="00"/>
    <w:family w:val="swiss"/>
    <w:pitch w:val="default"/>
    <w:sig w:usb0="00000000" w:usb1="00000000" w:usb2="00000000" w:usb3="00000000" w:csb0="00000093"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15129405"/>
    </w:sdtPr>
    <w:sdtContent>
      <w:p w14:paraId="4A4F5DB3">
        <w:pPr>
          <w:pStyle w:val="15"/>
          <w:jc w:val="center"/>
        </w:pPr>
        <w:r>
          <w:fldChar w:fldCharType="begin"/>
        </w:r>
        <w:r>
          <w:instrText xml:space="preserve">PAGE   \* MERGEFORMAT</w:instrText>
        </w:r>
        <w:r>
          <w:fldChar w:fldCharType="separate"/>
        </w:r>
        <w:r>
          <w:rPr>
            <w:lang w:val="zh-CN"/>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46C5A">
    <w:pPr>
      <w:pStyle w:val="15"/>
      <w:framePr w:wrap="around" w:vAnchor="text" w:hAnchor="margin" w:xAlign="center" w:y="1"/>
      <w:ind w:left="422" w:firstLine="360"/>
      <w:rPr>
        <w:rStyle w:val="28"/>
      </w:rPr>
    </w:pPr>
    <w:r>
      <w:fldChar w:fldCharType="begin"/>
    </w:r>
    <w:r>
      <w:rPr>
        <w:rStyle w:val="28"/>
      </w:rPr>
      <w:instrText xml:space="preserve">PAGE  </w:instrText>
    </w:r>
    <w:r>
      <w:fldChar w:fldCharType="separate"/>
    </w:r>
    <w:r>
      <w:rPr>
        <w:rStyle w:val="28"/>
      </w:rPr>
      <w:t>1</w:t>
    </w:r>
    <w:r>
      <w:fldChar w:fldCharType="end"/>
    </w:r>
  </w:p>
  <w:p w14:paraId="1B9D6761">
    <w:pPr>
      <w:pStyle w:val="15"/>
      <w:ind w:left="422" w:right="360" w:firstLine="360"/>
    </w:pPr>
  </w:p>
  <w:p w14:paraId="0093C4EE">
    <w:pPr>
      <w:ind w:left="4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45BB5">
    <w:pPr>
      <w:ind w:left="422"/>
      <w:jc w:val="center"/>
    </w:pPr>
  </w:p>
  <w:p w14:paraId="3E1F1CD3">
    <w:pPr>
      <w:ind w:left="42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73216676"/>
    </w:sdtPr>
    <w:sdtContent>
      <w:p w14:paraId="0D8676B2">
        <w:pPr>
          <w:pStyle w:val="15"/>
          <w:jc w:val="center"/>
        </w:pPr>
        <w:r>
          <w:fldChar w:fldCharType="begin"/>
        </w:r>
        <w:r>
          <w:instrText xml:space="preserve">PAGE   \* MERGEFORMAT</w:instrText>
        </w:r>
        <w:r>
          <w:fldChar w:fldCharType="separate"/>
        </w:r>
        <w:r>
          <w:rPr>
            <w:lang w:val="zh-CN"/>
          </w:rPr>
          <w:t>2</w:t>
        </w:r>
        <w:r>
          <w:fldChar w:fldCharType="end"/>
        </w:r>
      </w:p>
    </w:sdtContent>
  </w:sdt>
  <w:p w14:paraId="48814BC6">
    <w:pPr>
      <w:spacing w:line="176" w:lineRule="auto"/>
      <w:ind w:left="4449"/>
      <w:rPr>
        <w:rFonts w:ascii="Times New Roman" w:hAnsi="Times New Roman" w:eastAsia="Times New Roman"/>
        <w:sz w:val="18"/>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51739204"/>
    </w:sdtPr>
    <w:sdtContent>
      <w:p w14:paraId="788B05A0">
        <w:pPr>
          <w:pStyle w:val="15"/>
          <w:jc w:val="center"/>
        </w:pPr>
        <w:r>
          <w:fldChar w:fldCharType="begin"/>
        </w:r>
        <w:r>
          <w:instrText xml:space="preserve">PAGE   \* MERGEFORMAT</w:instrText>
        </w:r>
        <w:r>
          <w:fldChar w:fldCharType="separate"/>
        </w:r>
        <w:r>
          <w:rPr>
            <w:lang w:val="zh-CN"/>
          </w:rPr>
          <w:t>2</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67B77">
    <w:pPr>
      <w:pStyle w:val="16"/>
      <w:pBdr>
        <w:bottom w:val="single" w:color="auto" w:sz="6" w:space="0"/>
      </w:pBdr>
      <w:tabs>
        <w:tab w:val="center" w:pos="0"/>
        <w:tab w:val="left" w:pos="1260"/>
        <w:tab w:val="clear" w:pos="4153"/>
        <w:tab w:val="clear" w:pos="8306"/>
      </w:tabs>
      <w:adjustRightInd w:val="0"/>
      <w:ind w:left="422" w:firstLine="360"/>
      <w:jc w:val="both"/>
      <w:rPr>
        <w:rFonts w:hint="eastAsia" w:ascii="宋体" w:hAnsi="宋体"/>
        <w:szCs w:val="18"/>
      </w:rPr>
    </w:pPr>
  </w:p>
  <w:p w14:paraId="475B329C">
    <w:pPr>
      <w:pStyle w:val="16"/>
      <w:pBdr>
        <w:bottom w:val="single" w:color="auto" w:sz="6" w:space="0"/>
      </w:pBdr>
      <w:tabs>
        <w:tab w:val="center" w:pos="0"/>
        <w:tab w:val="left" w:pos="1260"/>
        <w:tab w:val="clear" w:pos="4153"/>
        <w:tab w:val="clear" w:pos="8306"/>
      </w:tabs>
      <w:adjustRightInd w:val="0"/>
      <w:ind w:left="422" w:firstLine="360"/>
      <w:jc w:val="both"/>
      <w:rPr>
        <w:rFonts w:hint="eastAsia" w:ascii="宋体" w:hAnsi="宋体"/>
        <w:szCs w:val="18"/>
      </w:rPr>
    </w:pPr>
    <w:r>
      <w:rPr>
        <w:rFonts w:hint="eastAsia" w:ascii="宋体" w:hAnsi="宋体"/>
        <w:szCs w:val="18"/>
      </w:rPr>
      <w:t xml:space="preserve">采购文件 </w:t>
    </w:r>
  </w:p>
  <w:p w14:paraId="10B17539">
    <w:pPr>
      <w:ind w:left="42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D42ABB"/>
    <w:multiLevelType w:val="singleLevel"/>
    <w:tmpl w:val="81D42ABB"/>
    <w:lvl w:ilvl="0" w:tentative="0">
      <w:start w:val="1"/>
      <w:numFmt w:val="decimal"/>
      <w:lvlText w:val="(%1)"/>
      <w:lvlJc w:val="left"/>
      <w:pPr>
        <w:tabs>
          <w:tab w:val="left" w:pos="737"/>
        </w:tabs>
      </w:pPr>
    </w:lvl>
  </w:abstractNum>
  <w:abstractNum w:abstractNumId="1">
    <w:nsid w:val="8DCE9E43"/>
    <w:multiLevelType w:val="singleLevel"/>
    <w:tmpl w:val="8DCE9E43"/>
    <w:lvl w:ilvl="0" w:tentative="0">
      <w:start w:val="1"/>
      <w:numFmt w:val="decimal"/>
      <w:pStyle w:val="68"/>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YzY2E5MGMwNDNiYzQ1ZTU2ZmMyMDBkNTE5NTI2YTUifQ=="/>
  </w:docVars>
  <w:rsids>
    <w:rsidRoot w:val="00172A27"/>
    <w:rsid w:val="0000021A"/>
    <w:rsid w:val="000011E7"/>
    <w:rsid w:val="00001EE2"/>
    <w:rsid w:val="00012B21"/>
    <w:rsid w:val="000135AF"/>
    <w:rsid w:val="00015AAB"/>
    <w:rsid w:val="00016687"/>
    <w:rsid w:val="00016D50"/>
    <w:rsid w:val="000206C1"/>
    <w:rsid w:val="00020A00"/>
    <w:rsid w:val="00021921"/>
    <w:rsid w:val="00021BC0"/>
    <w:rsid w:val="00022F3F"/>
    <w:rsid w:val="00025691"/>
    <w:rsid w:val="000307F2"/>
    <w:rsid w:val="00032C3B"/>
    <w:rsid w:val="00032D16"/>
    <w:rsid w:val="000330B2"/>
    <w:rsid w:val="000330C0"/>
    <w:rsid w:val="000370E8"/>
    <w:rsid w:val="000402BC"/>
    <w:rsid w:val="0004211F"/>
    <w:rsid w:val="00042490"/>
    <w:rsid w:val="00043053"/>
    <w:rsid w:val="000440F4"/>
    <w:rsid w:val="00044830"/>
    <w:rsid w:val="00045B59"/>
    <w:rsid w:val="00051EEE"/>
    <w:rsid w:val="000526F0"/>
    <w:rsid w:val="00052CAC"/>
    <w:rsid w:val="00053A75"/>
    <w:rsid w:val="000549B8"/>
    <w:rsid w:val="00057500"/>
    <w:rsid w:val="00060FE7"/>
    <w:rsid w:val="000621A4"/>
    <w:rsid w:val="000628EC"/>
    <w:rsid w:val="000708FD"/>
    <w:rsid w:val="0007143B"/>
    <w:rsid w:val="00072EA3"/>
    <w:rsid w:val="000812B2"/>
    <w:rsid w:val="0008143A"/>
    <w:rsid w:val="00081D07"/>
    <w:rsid w:val="000844A8"/>
    <w:rsid w:val="000846A8"/>
    <w:rsid w:val="00086F1E"/>
    <w:rsid w:val="00092090"/>
    <w:rsid w:val="00092311"/>
    <w:rsid w:val="00095BD6"/>
    <w:rsid w:val="00096ABF"/>
    <w:rsid w:val="000978A9"/>
    <w:rsid w:val="00097F16"/>
    <w:rsid w:val="000A0930"/>
    <w:rsid w:val="000A0F51"/>
    <w:rsid w:val="000A170C"/>
    <w:rsid w:val="000A2E91"/>
    <w:rsid w:val="000A3369"/>
    <w:rsid w:val="000A4C89"/>
    <w:rsid w:val="000A6F34"/>
    <w:rsid w:val="000A74F7"/>
    <w:rsid w:val="000B15DF"/>
    <w:rsid w:val="000B18DD"/>
    <w:rsid w:val="000B5ED5"/>
    <w:rsid w:val="000B7F68"/>
    <w:rsid w:val="000C0E92"/>
    <w:rsid w:val="000C164D"/>
    <w:rsid w:val="000C1CA2"/>
    <w:rsid w:val="000C294B"/>
    <w:rsid w:val="000C3518"/>
    <w:rsid w:val="000C43B6"/>
    <w:rsid w:val="000C57C9"/>
    <w:rsid w:val="000C717C"/>
    <w:rsid w:val="000D0AA2"/>
    <w:rsid w:val="000D32D3"/>
    <w:rsid w:val="000D479E"/>
    <w:rsid w:val="000D74EF"/>
    <w:rsid w:val="000D7AB2"/>
    <w:rsid w:val="000E2606"/>
    <w:rsid w:val="000E3247"/>
    <w:rsid w:val="000F094C"/>
    <w:rsid w:val="000F4A35"/>
    <w:rsid w:val="000F5A4B"/>
    <w:rsid w:val="000F65EE"/>
    <w:rsid w:val="000F7E08"/>
    <w:rsid w:val="00105D11"/>
    <w:rsid w:val="00110FA9"/>
    <w:rsid w:val="001160D7"/>
    <w:rsid w:val="0011736B"/>
    <w:rsid w:val="00120FD6"/>
    <w:rsid w:val="001213E5"/>
    <w:rsid w:val="0012367A"/>
    <w:rsid w:val="00125718"/>
    <w:rsid w:val="00127358"/>
    <w:rsid w:val="00131331"/>
    <w:rsid w:val="00136964"/>
    <w:rsid w:val="00136B10"/>
    <w:rsid w:val="0014083F"/>
    <w:rsid w:val="0014121F"/>
    <w:rsid w:val="0014198C"/>
    <w:rsid w:val="00142FAA"/>
    <w:rsid w:val="001446CC"/>
    <w:rsid w:val="001464A9"/>
    <w:rsid w:val="001465FC"/>
    <w:rsid w:val="0015132D"/>
    <w:rsid w:val="001514F8"/>
    <w:rsid w:val="0015412F"/>
    <w:rsid w:val="00156894"/>
    <w:rsid w:val="001571B1"/>
    <w:rsid w:val="001571D1"/>
    <w:rsid w:val="001608CB"/>
    <w:rsid w:val="00162A18"/>
    <w:rsid w:val="00166FD2"/>
    <w:rsid w:val="0016729C"/>
    <w:rsid w:val="00167DE2"/>
    <w:rsid w:val="00171CC5"/>
    <w:rsid w:val="00172955"/>
    <w:rsid w:val="00172A27"/>
    <w:rsid w:val="0017574D"/>
    <w:rsid w:val="0019299E"/>
    <w:rsid w:val="00193464"/>
    <w:rsid w:val="0019531D"/>
    <w:rsid w:val="00197E7D"/>
    <w:rsid w:val="001A2162"/>
    <w:rsid w:val="001A2590"/>
    <w:rsid w:val="001A3272"/>
    <w:rsid w:val="001A4D9D"/>
    <w:rsid w:val="001A4F88"/>
    <w:rsid w:val="001C1FB2"/>
    <w:rsid w:val="001C294D"/>
    <w:rsid w:val="001C3EB6"/>
    <w:rsid w:val="001C450B"/>
    <w:rsid w:val="001C4C70"/>
    <w:rsid w:val="001D0154"/>
    <w:rsid w:val="001D0CAE"/>
    <w:rsid w:val="001D1B84"/>
    <w:rsid w:val="001D32A7"/>
    <w:rsid w:val="001D6D54"/>
    <w:rsid w:val="001D717C"/>
    <w:rsid w:val="001D7C87"/>
    <w:rsid w:val="001E3BEF"/>
    <w:rsid w:val="001E4D10"/>
    <w:rsid w:val="001F0831"/>
    <w:rsid w:val="001F110B"/>
    <w:rsid w:val="001F115C"/>
    <w:rsid w:val="001F3E09"/>
    <w:rsid w:val="001F3F4C"/>
    <w:rsid w:val="001F545D"/>
    <w:rsid w:val="001F57AB"/>
    <w:rsid w:val="001F58D8"/>
    <w:rsid w:val="001F6BAD"/>
    <w:rsid w:val="001F7F01"/>
    <w:rsid w:val="00201244"/>
    <w:rsid w:val="002041A9"/>
    <w:rsid w:val="0020484F"/>
    <w:rsid w:val="00204ADF"/>
    <w:rsid w:val="00205324"/>
    <w:rsid w:val="002053D9"/>
    <w:rsid w:val="00211314"/>
    <w:rsid w:val="0021318F"/>
    <w:rsid w:val="0021337E"/>
    <w:rsid w:val="00213470"/>
    <w:rsid w:val="00214E80"/>
    <w:rsid w:val="00216666"/>
    <w:rsid w:val="0021667E"/>
    <w:rsid w:val="00216B29"/>
    <w:rsid w:val="0022015B"/>
    <w:rsid w:val="00220DFB"/>
    <w:rsid w:val="0022185D"/>
    <w:rsid w:val="00224B5C"/>
    <w:rsid w:val="00226667"/>
    <w:rsid w:val="00230E0D"/>
    <w:rsid w:val="002311E6"/>
    <w:rsid w:val="002313FC"/>
    <w:rsid w:val="00233FE5"/>
    <w:rsid w:val="00234C94"/>
    <w:rsid w:val="0023631A"/>
    <w:rsid w:val="00236606"/>
    <w:rsid w:val="00236AD3"/>
    <w:rsid w:val="00236DAF"/>
    <w:rsid w:val="00241BFA"/>
    <w:rsid w:val="00242388"/>
    <w:rsid w:val="0025083A"/>
    <w:rsid w:val="00250C27"/>
    <w:rsid w:val="00254867"/>
    <w:rsid w:val="00255D51"/>
    <w:rsid w:val="00257AD3"/>
    <w:rsid w:val="00260681"/>
    <w:rsid w:val="00260859"/>
    <w:rsid w:val="00260E4B"/>
    <w:rsid w:val="002626ED"/>
    <w:rsid w:val="00264713"/>
    <w:rsid w:val="0026499E"/>
    <w:rsid w:val="0026582A"/>
    <w:rsid w:val="00265C18"/>
    <w:rsid w:val="00265E1B"/>
    <w:rsid w:val="00271FAD"/>
    <w:rsid w:val="00272BB0"/>
    <w:rsid w:val="00275673"/>
    <w:rsid w:val="002765FB"/>
    <w:rsid w:val="00276628"/>
    <w:rsid w:val="002775D2"/>
    <w:rsid w:val="00277F74"/>
    <w:rsid w:val="0028293B"/>
    <w:rsid w:val="00282B40"/>
    <w:rsid w:val="002831A0"/>
    <w:rsid w:val="00284229"/>
    <w:rsid w:val="0028449A"/>
    <w:rsid w:val="002855BE"/>
    <w:rsid w:val="0028679D"/>
    <w:rsid w:val="00290C01"/>
    <w:rsid w:val="0029313C"/>
    <w:rsid w:val="0029469B"/>
    <w:rsid w:val="002A0005"/>
    <w:rsid w:val="002A1C2D"/>
    <w:rsid w:val="002A22E0"/>
    <w:rsid w:val="002A2D21"/>
    <w:rsid w:val="002A321B"/>
    <w:rsid w:val="002A32DD"/>
    <w:rsid w:val="002B06BF"/>
    <w:rsid w:val="002B2FE7"/>
    <w:rsid w:val="002B350B"/>
    <w:rsid w:val="002B529B"/>
    <w:rsid w:val="002B5D7C"/>
    <w:rsid w:val="002B797F"/>
    <w:rsid w:val="002C0233"/>
    <w:rsid w:val="002C3497"/>
    <w:rsid w:val="002C4886"/>
    <w:rsid w:val="002C7399"/>
    <w:rsid w:val="002D0C3C"/>
    <w:rsid w:val="002D1953"/>
    <w:rsid w:val="002D3516"/>
    <w:rsid w:val="002D4765"/>
    <w:rsid w:val="002D478F"/>
    <w:rsid w:val="002D504C"/>
    <w:rsid w:val="002D5C72"/>
    <w:rsid w:val="002D6398"/>
    <w:rsid w:val="002D737D"/>
    <w:rsid w:val="002D7907"/>
    <w:rsid w:val="002D7DF3"/>
    <w:rsid w:val="002E0E7E"/>
    <w:rsid w:val="002E2DD9"/>
    <w:rsid w:val="002E2EED"/>
    <w:rsid w:val="002E315B"/>
    <w:rsid w:val="002E543F"/>
    <w:rsid w:val="002E600A"/>
    <w:rsid w:val="002E61E9"/>
    <w:rsid w:val="002E6FD5"/>
    <w:rsid w:val="002F13F0"/>
    <w:rsid w:val="002F6981"/>
    <w:rsid w:val="002F7472"/>
    <w:rsid w:val="002F76A1"/>
    <w:rsid w:val="003011FE"/>
    <w:rsid w:val="00301250"/>
    <w:rsid w:val="00301F76"/>
    <w:rsid w:val="003027C7"/>
    <w:rsid w:val="00302F80"/>
    <w:rsid w:val="00303504"/>
    <w:rsid w:val="0030443A"/>
    <w:rsid w:val="00304B51"/>
    <w:rsid w:val="0030646D"/>
    <w:rsid w:val="00312943"/>
    <w:rsid w:val="003137D4"/>
    <w:rsid w:val="0031797C"/>
    <w:rsid w:val="00321001"/>
    <w:rsid w:val="00322AE9"/>
    <w:rsid w:val="00337A0A"/>
    <w:rsid w:val="0034113C"/>
    <w:rsid w:val="00342FEE"/>
    <w:rsid w:val="00344DE1"/>
    <w:rsid w:val="0035030B"/>
    <w:rsid w:val="0035060C"/>
    <w:rsid w:val="00351FE8"/>
    <w:rsid w:val="00353442"/>
    <w:rsid w:val="00353844"/>
    <w:rsid w:val="00353847"/>
    <w:rsid w:val="00357BDA"/>
    <w:rsid w:val="00357E3B"/>
    <w:rsid w:val="00360D7A"/>
    <w:rsid w:val="003614B8"/>
    <w:rsid w:val="00362221"/>
    <w:rsid w:val="003624B7"/>
    <w:rsid w:val="003640E4"/>
    <w:rsid w:val="00366A8B"/>
    <w:rsid w:val="00367A5A"/>
    <w:rsid w:val="0037241D"/>
    <w:rsid w:val="00372449"/>
    <w:rsid w:val="003727EE"/>
    <w:rsid w:val="00375C75"/>
    <w:rsid w:val="00376FC9"/>
    <w:rsid w:val="003778D7"/>
    <w:rsid w:val="00377CA7"/>
    <w:rsid w:val="0038197E"/>
    <w:rsid w:val="00382703"/>
    <w:rsid w:val="00382F24"/>
    <w:rsid w:val="003853A3"/>
    <w:rsid w:val="00395C33"/>
    <w:rsid w:val="00397DA0"/>
    <w:rsid w:val="003A399F"/>
    <w:rsid w:val="003A50FC"/>
    <w:rsid w:val="003A5FDB"/>
    <w:rsid w:val="003B48B2"/>
    <w:rsid w:val="003B4B40"/>
    <w:rsid w:val="003B6D47"/>
    <w:rsid w:val="003C0B38"/>
    <w:rsid w:val="003C3435"/>
    <w:rsid w:val="003C5728"/>
    <w:rsid w:val="003D1482"/>
    <w:rsid w:val="003D298E"/>
    <w:rsid w:val="003D3628"/>
    <w:rsid w:val="003D6665"/>
    <w:rsid w:val="003D696A"/>
    <w:rsid w:val="003E1FC5"/>
    <w:rsid w:val="003E3996"/>
    <w:rsid w:val="003E6B12"/>
    <w:rsid w:val="003E7E9C"/>
    <w:rsid w:val="003F0A49"/>
    <w:rsid w:val="003F0A89"/>
    <w:rsid w:val="003F0C96"/>
    <w:rsid w:val="003F1227"/>
    <w:rsid w:val="003F5A37"/>
    <w:rsid w:val="003F69FC"/>
    <w:rsid w:val="003F6FD8"/>
    <w:rsid w:val="003F7BD6"/>
    <w:rsid w:val="0040072D"/>
    <w:rsid w:val="00400ADA"/>
    <w:rsid w:val="004016C9"/>
    <w:rsid w:val="00402C82"/>
    <w:rsid w:val="00404D73"/>
    <w:rsid w:val="004050CF"/>
    <w:rsid w:val="00406E6E"/>
    <w:rsid w:val="00407F00"/>
    <w:rsid w:val="00415177"/>
    <w:rsid w:val="004178E0"/>
    <w:rsid w:val="004179E9"/>
    <w:rsid w:val="004203F5"/>
    <w:rsid w:val="00421124"/>
    <w:rsid w:val="0042132F"/>
    <w:rsid w:val="004219F9"/>
    <w:rsid w:val="0042372A"/>
    <w:rsid w:val="00431458"/>
    <w:rsid w:val="00431C5F"/>
    <w:rsid w:val="00433017"/>
    <w:rsid w:val="004348ED"/>
    <w:rsid w:val="00436004"/>
    <w:rsid w:val="00436609"/>
    <w:rsid w:val="00436822"/>
    <w:rsid w:val="00440208"/>
    <w:rsid w:val="00440D25"/>
    <w:rsid w:val="00442448"/>
    <w:rsid w:val="00443F73"/>
    <w:rsid w:val="00443FD7"/>
    <w:rsid w:val="00446E6B"/>
    <w:rsid w:val="0044740A"/>
    <w:rsid w:val="00450676"/>
    <w:rsid w:val="00451E51"/>
    <w:rsid w:val="0045427C"/>
    <w:rsid w:val="00456A8D"/>
    <w:rsid w:val="00457861"/>
    <w:rsid w:val="00460C53"/>
    <w:rsid w:val="004610C3"/>
    <w:rsid w:val="00462C4B"/>
    <w:rsid w:val="004642BE"/>
    <w:rsid w:val="004642DA"/>
    <w:rsid w:val="00465A90"/>
    <w:rsid w:val="00471942"/>
    <w:rsid w:val="004746F2"/>
    <w:rsid w:val="004750CC"/>
    <w:rsid w:val="004763F5"/>
    <w:rsid w:val="00481CF2"/>
    <w:rsid w:val="00483013"/>
    <w:rsid w:val="004836C5"/>
    <w:rsid w:val="004850EB"/>
    <w:rsid w:val="00485151"/>
    <w:rsid w:val="004863B6"/>
    <w:rsid w:val="00491405"/>
    <w:rsid w:val="00491856"/>
    <w:rsid w:val="00493DC2"/>
    <w:rsid w:val="004948B9"/>
    <w:rsid w:val="0049663E"/>
    <w:rsid w:val="004A17E6"/>
    <w:rsid w:val="004A6A6E"/>
    <w:rsid w:val="004A7E34"/>
    <w:rsid w:val="004B0E83"/>
    <w:rsid w:val="004B177F"/>
    <w:rsid w:val="004B2FC2"/>
    <w:rsid w:val="004B344B"/>
    <w:rsid w:val="004B40DF"/>
    <w:rsid w:val="004B4B4E"/>
    <w:rsid w:val="004B4B8D"/>
    <w:rsid w:val="004B525F"/>
    <w:rsid w:val="004B5A5A"/>
    <w:rsid w:val="004B60BE"/>
    <w:rsid w:val="004B7C04"/>
    <w:rsid w:val="004C05F9"/>
    <w:rsid w:val="004C24F7"/>
    <w:rsid w:val="004C3726"/>
    <w:rsid w:val="004C3D66"/>
    <w:rsid w:val="004D055F"/>
    <w:rsid w:val="004D3208"/>
    <w:rsid w:val="004D389D"/>
    <w:rsid w:val="004D41DD"/>
    <w:rsid w:val="004D6BA3"/>
    <w:rsid w:val="004E29C0"/>
    <w:rsid w:val="004E44C5"/>
    <w:rsid w:val="004F013D"/>
    <w:rsid w:val="004F1E80"/>
    <w:rsid w:val="004F2BAB"/>
    <w:rsid w:val="004F2CFF"/>
    <w:rsid w:val="0050053E"/>
    <w:rsid w:val="00501435"/>
    <w:rsid w:val="00501F72"/>
    <w:rsid w:val="00503C96"/>
    <w:rsid w:val="00506B19"/>
    <w:rsid w:val="00512942"/>
    <w:rsid w:val="005167D4"/>
    <w:rsid w:val="00516E56"/>
    <w:rsid w:val="005175F2"/>
    <w:rsid w:val="005215F5"/>
    <w:rsid w:val="00522E23"/>
    <w:rsid w:val="005234C9"/>
    <w:rsid w:val="005316A7"/>
    <w:rsid w:val="00531E8D"/>
    <w:rsid w:val="00533382"/>
    <w:rsid w:val="00536D9B"/>
    <w:rsid w:val="00537609"/>
    <w:rsid w:val="00543139"/>
    <w:rsid w:val="005444A2"/>
    <w:rsid w:val="00546B03"/>
    <w:rsid w:val="0054702E"/>
    <w:rsid w:val="00550398"/>
    <w:rsid w:val="00551EC6"/>
    <w:rsid w:val="00552B10"/>
    <w:rsid w:val="005532E3"/>
    <w:rsid w:val="005537BA"/>
    <w:rsid w:val="00554EA9"/>
    <w:rsid w:val="005635DD"/>
    <w:rsid w:val="00564E9C"/>
    <w:rsid w:val="0056535E"/>
    <w:rsid w:val="00566D78"/>
    <w:rsid w:val="00567425"/>
    <w:rsid w:val="005705D6"/>
    <w:rsid w:val="00574517"/>
    <w:rsid w:val="005769D5"/>
    <w:rsid w:val="00576F75"/>
    <w:rsid w:val="00580BCE"/>
    <w:rsid w:val="00581679"/>
    <w:rsid w:val="00592E63"/>
    <w:rsid w:val="00596C8C"/>
    <w:rsid w:val="005971F9"/>
    <w:rsid w:val="00597471"/>
    <w:rsid w:val="005A13D6"/>
    <w:rsid w:val="005A2C37"/>
    <w:rsid w:val="005A3BA6"/>
    <w:rsid w:val="005A49BA"/>
    <w:rsid w:val="005A56B3"/>
    <w:rsid w:val="005A767E"/>
    <w:rsid w:val="005A78F3"/>
    <w:rsid w:val="005A7F15"/>
    <w:rsid w:val="005B11A3"/>
    <w:rsid w:val="005B4003"/>
    <w:rsid w:val="005B6734"/>
    <w:rsid w:val="005B7405"/>
    <w:rsid w:val="005C1025"/>
    <w:rsid w:val="005C17D2"/>
    <w:rsid w:val="005C1A74"/>
    <w:rsid w:val="005C293E"/>
    <w:rsid w:val="005C3AF4"/>
    <w:rsid w:val="005C49F2"/>
    <w:rsid w:val="005C5839"/>
    <w:rsid w:val="005D120E"/>
    <w:rsid w:val="005D3122"/>
    <w:rsid w:val="005D626A"/>
    <w:rsid w:val="005E16A2"/>
    <w:rsid w:val="005E17E5"/>
    <w:rsid w:val="005E532E"/>
    <w:rsid w:val="005E544D"/>
    <w:rsid w:val="005E6CDF"/>
    <w:rsid w:val="005E6D2F"/>
    <w:rsid w:val="005E6F5F"/>
    <w:rsid w:val="005F22FC"/>
    <w:rsid w:val="005F5B61"/>
    <w:rsid w:val="005F5D45"/>
    <w:rsid w:val="005F67F7"/>
    <w:rsid w:val="005F7522"/>
    <w:rsid w:val="00600B00"/>
    <w:rsid w:val="006034C0"/>
    <w:rsid w:val="00603840"/>
    <w:rsid w:val="00605320"/>
    <w:rsid w:val="006058FA"/>
    <w:rsid w:val="00607168"/>
    <w:rsid w:val="00611472"/>
    <w:rsid w:val="006118B5"/>
    <w:rsid w:val="00611BD8"/>
    <w:rsid w:val="00612665"/>
    <w:rsid w:val="00614425"/>
    <w:rsid w:val="00616546"/>
    <w:rsid w:val="00617878"/>
    <w:rsid w:val="00617A1E"/>
    <w:rsid w:val="006214CF"/>
    <w:rsid w:val="00621ABF"/>
    <w:rsid w:val="0062400D"/>
    <w:rsid w:val="00625638"/>
    <w:rsid w:val="0063372F"/>
    <w:rsid w:val="006350DD"/>
    <w:rsid w:val="00635C31"/>
    <w:rsid w:val="00637AB2"/>
    <w:rsid w:val="006402F9"/>
    <w:rsid w:val="006428CE"/>
    <w:rsid w:val="006500DC"/>
    <w:rsid w:val="006557C3"/>
    <w:rsid w:val="00655EAE"/>
    <w:rsid w:val="006639E0"/>
    <w:rsid w:val="00663F65"/>
    <w:rsid w:val="006640F3"/>
    <w:rsid w:val="0066450D"/>
    <w:rsid w:val="00664B6F"/>
    <w:rsid w:val="00665A74"/>
    <w:rsid w:val="00666924"/>
    <w:rsid w:val="00667456"/>
    <w:rsid w:val="0067027F"/>
    <w:rsid w:val="0068177D"/>
    <w:rsid w:val="0068494C"/>
    <w:rsid w:val="00684F49"/>
    <w:rsid w:val="0068611F"/>
    <w:rsid w:val="00687129"/>
    <w:rsid w:val="006902A1"/>
    <w:rsid w:val="006912DD"/>
    <w:rsid w:val="0069177F"/>
    <w:rsid w:val="00691A95"/>
    <w:rsid w:val="00692239"/>
    <w:rsid w:val="00693437"/>
    <w:rsid w:val="0069497E"/>
    <w:rsid w:val="00695ABB"/>
    <w:rsid w:val="00696C66"/>
    <w:rsid w:val="006A049D"/>
    <w:rsid w:val="006A3CB4"/>
    <w:rsid w:val="006A480C"/>
    <w:rsid w:val="006A70ED"/>
    <w:rsid w:val="006A7F8B"/>
    <w:rsid w:val="006B06C1"/>
    <w:rsid w:val="006B1847"/>
    <w:rsid w:val="006B1905"/>
    <w:rsid w:val="006B332A"/>
    <w:rsid w:val="006B5732"/>
    <w:rsid w:val="006B747F"/>
    <w:rsid w:val="006B7F42"/>
    <w:rsid w:val="006C72CD"/>
    <w:rsid w:val="006D1063"/>
    <w:rsid w:val="006D2AD8"/>
    <w:rsid w:val="006D2ADC"/>
    <w:rsid w:val="006D50CD"/>
    <w:rsid w:val="006E1F42"/>
    <w:rsid w:val="006E2BE5"/>
    <w:rsid w:val="006E3CF3"/>
    <w:rsid w:val="006E7F0C"/>
    <w:rsid w:val="006F1448"/>
    <w:rsid w:val="006F207C"/>
    <w:rsid w:val="006F30EE"/>
    <w:rsid w:val="006F5194"/>
    <w:rsid w:val="006F52BE"/>
    <w:rsid w:val="006F6295"/>
    <w:rsid w:val="006F6376"/>
    <w:rsid w:val="006F6629"/>
    <w:rsid w:val="00700F66"/>
    <w:rsid w:val="007012F3"/>
    <w:rsid w:val="00706E82"/>
    <w:rsid w:val="00707D01"/>
    <w:rsid w:val="0071009A"/>
    <w:rsid w:val="00710994"/>
    <w:rsid w:val="0071120D"/>
    <w:rsid w:val="007156AF"/>
    <w:rsid w:val="00720DE9"/>
    <w:rsid w:val="00721EF5"/>
    <w:rsid w:val="0072220A"/>
    <w:rsid w:val="00722E3C"/>
    <w:rsid w:val="00723976"/>
    <w:rsid w:val="00724DC9"/>
    <w:rsid w:val="00725AAE"/>
    <w:rsid w:val="007263B7"/>
    <w:rsid w:val="0072651E"/>
    <w:rsid w:val="007404A4"/>
    <w:rsid w:val="007409AF"/>
    <w:rsid w:val="00740C27"/>
    <w:rsid w:val="00744FB8"/>
    <w:rsid w:val="007453CF"/>
    <w:rsid w:val="00750593"/>
    <w:rsid w:val="007514AF"/>
    <w:rsid w:val="00751A79"/>
    <w:rsid w:val="00755720"/>
    <w:rsid w:val="007563CF"/>
    <w:rsid w:val="00756BCF"/>
    <w:rsid w:val="007579F1"/>
    <w:rsid w:val="0076009A"/>
    <w:rsid w:val="00761BA0"/>
    <w:rsid w:val="007622ED"/>
    <w:rsid w:val="0076350F"/>
    <w:rsid w:val="00771692"/>
    <w:rsid w:val="0077275C"/>
    <w:rsid w:val="00773987"/>
    <w:rsid w:val="00775081"/>
    <w:rsid w:val="007762D3"/>
    <w:rsid w:val="00776E88"/>
    <w:rsid w:val="00777FD8"/>
    <w:rsid w:val="0078009A"/>
    <w:rsid w:val="00783011"/>
    <w:rsid w:val="0078305D"/>
    <w:rsid w:val="00783E9C"/>
    <w:rsid w:val="007861F1"/>
    <w:rsid w:val="00786D73"/>
    <w:rsid w:val="007872F7"/>
    <w:rsid w:val="00787682"/>
    <w:rsid w:val="0078795C"/>
    <w:rsid w:val="0079198B"/>
    <w:rsid w:val="007A2A59"/>
    <w:rsid w:val="007A5337"/>
    <w:rsid w:val="007A5B3D"/>
    <w:rsid w:val="007A6190"/>
    <w:rsid w:val="007B03AD"/>
    <w:rsid w:val="007B1CD0"/>
    <w:rsid w:val="007B1E5A"/>
    <w:rsid w:val="007B37F7"/>
    <w:rsid w:val="007B4EF4"/>
    <w:rsid w:val="007B4EFE"/>
    <w:rsid w:val="007B529A"/>
    <w:rsid w:val="007B6979"/>
    <w:rsid w:val="007B799C"/>
    <w:rsid w:val="007B7C98"/>
    <w:rsid w:val="007C0CAB"/>
    <w:rsid w:val="007C3D82"/>
    <w:rsid w:val="007C55F0"/>
    <w:rsid w:val="007C64E8"/>
    <w:rsid w:val="007C7F93"/>
    <w:rsid w:val="007D2D01"/>
    <w:rsid w:val="007D2E0D"/>
    <w:rsid w:val="007D5688"/>
    <w:rsid w:val="007D5A21"/>
    <w:rsid w:val="007D5D43"/>
    <w:rsid w:val="007D7152"/>
    <w:rsid w:val="007D7487"/>
    <w:rsid w:val="007D75F3"/>
    <w:rsid w:val="007E065A"/>
    <w:rsid w:val="007E11BD"/>
    <w:rsid w:val="007E289F"/>
    <w:rsid w:val="007E2981"/>
    <w:rsid w:val="007E3072"/>
    <w:rsid w:val="007E6E89"/>
    <w:rsid w:val="007E7F27"/>
    <w:rsid w:val="007F05BE"/>
    <w:rsid w:val="007F2C3C"/>
    <w:rsid w:val="007F34A0"/>
    <w:rsid w:val="007F6E4B"/>
    <w:rsid w:val="00802FB8"/>
    <w:rsid w:val="00803971"/>
    <w:rsid w:val="008041C4"/>
    <w:rsid w:val="00805EA1"/>
    <w:rsid w:val="00806596"/>
    <w:rsid w:val="0080671E"/>
    <w:rsid w:val="00807AE1"/>
    <w:rsid w:val="008105C0"/>
    <w:rsid w:val="00811344"/>
    <w:rsid w:val="00813FA5"/>
    <w:rsid w:val="008143E9"/>
    <w:rsid w:val="008149FA"/>
    <w:rsid w:val="00814C9E"/>
    <w:rsid w:val="00821493"/>
    <w:rsid w:val="00821F03"/>
    <w:rsid w:val="00822070"/>
    <w:rsid w:val="0082211C"/>
    <w:rsid w:val="00824849"/>
    <w:rsid w:val="00825764"/>
    <w:rsid w:val="00825A1C"/>
    <w:rsid w:val="00826C02"/>
    <w:rsid w:val="0083208C"/>
    <w:rsid w:val="00835DBE"/>
    <w:rsid w:val="00837E4A"/>
    <w:rsid w:val="00843057"/>
    <w:rsid w:val="00845981"/>
    <w:rsid w:val="00846493"/>
    <w:rsid w:val="008478E5"/>
    <w:rsid w:val="0085191C"/>
    <w:rsid w:val="0085396C"/>
    <w:rsid w:val="00854845"/>
    <w:rsid w:val="0086030A"/>
    <w:rsid w:val="00860778"/>
    <w:rsid w:val="008638B6"/>
    <w:rsid w:val="0086487A"/>
    <w:rsid w:val="00864FCE"/>
    <w:rsid w:val="0086693A"/>
    <w:rsid w:val="00867DAE"/>
    <w:rsid w:val="008725FB"/>
    <w:rsid w:val="0087644D"/>
    <w:rsid w:val="00880C38"/>
    <w:rsid w:val="00880E16"/>
    <w:rsid w:val="00882985"/>
    <w:rsid w:val="00882F0E"/>
    <w:rsid w:val="00884C6F"/>
    <w:rsid w:val="00885958"/>
    <w:rsid w:val="00890C91"/>
    <w:rsid w:val="00891138"/>
    <w:rsid w:val="008965E8"/>
    <w:rsid w:val="008A1A36"/>
    <w:rsid w:val="008A5496"/>
    <w:rsid w:val="008A6E3E"/>
    <w:rsid w:val="008B00C4"/>
    <w:rsid w:val="008B2CBB"/>
    <w:rsid w:val="008B3B2D"/>
    <w:rsid w:val="008B4CBE"/>
    <w:rsid w:val="008B51B1"/>
    <w:rsid w:val="008B53FC"/>
    <w:rsid w:val="008C2DDC"/>
    <w:rsid w:val="008C5269"/>
    <w:rsid w:val="008C56C0"/>
    <w:rsid w:val="008D2983"/>
    <w:rsid w:val="008D4BB5"/>
    <w:rsid w:val="008D6926"/>
    <w:rsid w:val="008E1710"/>
    <w:rsid w:val="008E46F5"/>
    <w:rsid w:val="008E74AC"/>
    <w:rsid w:val="008F01A6"/>
    <w:rsid w:val="008F2F86"/>
    <w:rsid w:val="008F3C9D"/>
    <w:rsid w:val="008F5926"/>
    <w:rsid w:val="008F5ED2"/>
    <w:rsid w:val="008F6972"/>
    <w:rsid w:val="00902C3B"/>
    <w:rsid w:val="009055CA"/>
    <w:rsid w:val="00905F67"/>
    <w:rsid w:val="00906FBF"/>
    <w:rsid w:val="009070A4"/>
    <w:rsid w:val="0090711A"/>
    <w:rsid w:val="009101B7"/>
    <w:rsid w:val="00912186"/>
    <w:rsid w:val="00917632"/>
    <w:rsid w:val="009210E9"/>
    <w:rsid w:val="00925F72"/>
    <w:rsid w:val="00932742"/>
    <w:rsid w:val="009345D3"/>
    <w:rsid w:val="00934B82"/>
    <w:rsid w:val="00936309"/>
    <w:rsid w:val="009375E5"/>
    <w:rsid w:val="0094049B"/>
    <w:rsid w:val="00947265"/>
    <w:rsid w:val="009503EC"/>
    <w:rsid w:val="009505CF"/>
    <w:rsid w:val="009507B4"/>
    <w:rsid w:val="00954125"/>
    <w:rsid w:val="00955C8F"/>
    <w:rsid w:val="00961098"/>
    <w:rsid w:val="00961AA2"/>
    <w:rsid w:val="00966331"/>
    <w:rsid w:val="0096766B"/>
    <w:rsid w:val="0097499A"/>
    <w:rsid w:val="009772A5"/>
    <w:rsid w:val="00977EBD"/>
    <w:rsid w:val="00977F62"/>
    <w:rsid w:val="00980AC2"/>
    <w:rsid w:val="00980D11"/>
    <w:rsid w:val="00982F2C"/>
    <w:rsid w:val="00983167"/>
    <w:rsid w:val="00991A56"/>
    <w:rsid w:val="009924E9"/>
    <w:rsid w:val="009961E8"/>
    <w:rsid w:val="00996CB7"/>
    <w:rsid w:val="009A16AA"/>
    <w:rsid w:val="009A3707"/>
    <w:rsid w:val="009B0CA4"/>
    <w:rsid w:val="009B5323"/>
    <w:rsid w:val="009B5922"/>
    <w:rsid w:val="009B647A"/>
    <w:rsid w:val="009C1765"/>
    <w:rsid w:val="009C1BF2"/>
    <w:rsid w:val="009C20C6"/>
    <w:rsid w:val="009C4563"/>
    <w:rsid w:val="009C4B78"/>
    <w:rsid w:val="009C4F18"/>
    <w:rsid w:val="009D1154"/>
    <w:rsid w:val="009D2A80"/>
    <w:rsid w:val="009D44F0"/>
    <w:rsid w:val="009D4F39"/>
    <w:rsid w:val="009D565D"/>
    <w:rsid w:val="009E3973"/>
    <w:rsid w:val="009E468E"/>
    <w:rsid w:val="009E4940"/>
    <w:rsid w:val="009E5BA9"/>
    <w:rsid w:val="009F6716"/>
    <w:rsid w:val="00A0141C"/>
    <w:rsid w:val="00A11A64"/>
    <w:rsid w:val="00A1416B"/>
    <w:rsid w:val="00A165EE"/>
    <w:rsid w:val="00A16D1E"/>
    <w:rsid w:val="00A1781C"/>
    <w:rsid w:val="00A20F04"/>
    <w:rsid w:val="00A25549"/>
    <w:rsid w:val="00A26127"/>
    <w:rsid w:val="00A30226"/>
    <w:rsid w:val="00A313B2"/>
    <w:rsid w:val="00A334CD"/>
    <w:rsid w:val="00A3686E"/>
    <w:rsid w:val="00A36ABF"/>
    <w:rsid w:val="00A42E61"/>
    <w:rsid w:val="00A43511"/>
    <w:rsid w:val="00A46037"/>
    <w:rsid w:val="00A465A1"/>
    <w:rsid w:val="00A47577"/>
    <w:rsid w:val="00A5280C"/>
    <w:rsid w:val="00A547F8"/>
    <w:rsid w:val="00A54E66"/>
    <w:rsid w:val="00A55285"/>
    <w:rsid w:val="00A62FEA"/>
    <w:rsid w:val="00A6364B"/>
    <w:rsid w:val="00A63944"/>
    <w:rsid w:val="00A64242"/>
    <w:rsid w:val="00A71C34"/>
    <w:rsid w:val="00A71F07"/>
    <w:rsid w:val="00A72E5F"/>
    <w:rsid w:val="00A74601"/>
    <w:rsid w:val="00A7503B"/>
    <w:rsid w:val="00A83B58"/>
    <w:rsid w:val="00A90F5E"/>
    <w:rsid w:val="00A92536"/>
    <w:rsid w:val="00A93B2E"/>
    <w:rsid w:val="00A95E96"/>
    <w:rsid w:val="00AA052F"/>
    <w:rsid w:val="00AA305C"/>
    <w:rsid w:val="00AA4B0A"/>
    <w:rsid w:val="00AA5052"/>
    <w:rsid w:val="00AB483C"/>
    <w:rsid w:val="00AC0A21"/>
    <w:rsid w:val="00AC2DA2"/>
    <w:rsid w:val="00AD0827"/>
    <w:rsid w:val="00AD4037"/>
    <w:rsid w:val="00AD65BF"/>
    <w:rsid w:val="00AD715E"/>
    <w:rsid w:val="00AD73E1"/>
    <w:rsid w:val="00AE29CC"/>
    <w:rsid w:val="00AE3252"/>
    <w:rsid w:val="00AE6580"/>
    <w:rsid w:val="00AF472E"/>
    <w:rsid w:val="00AF4DF4"/>
    <w:rsid w:val="00B00744"/>
    <w:rsid w:val="00B00951"/>
    <w:rsid w:val="00B014BF"/>
    <w:rsid w:val="00B03688"/>
    <w:rsid w:val="00B114D4"/>
    <w:rsid w:val="00B13DAC"/>
    <w:rsid w:val="00B16659"/>
    <w:rsid w:val="00B20418"/>
    <w:rsid w:val="00B2185D"/>
    <w:rsid w:val="00B21C19"/>
    <w:rsid w:val="00B23721"/>
    <w:rsid w:val="00B2384D"/>
    <w:rsid w:val="00B23E57"/>
    <w:rsid w:val="00B255DF"/>
    <w:rsid w:val="00B258B2"/>
    <w:rsid w:val="00B30121"/>
    <w:rsid w:val="00B322DB"/>
    <w:rsid w:val="00B32F5A"/>
    <w:rsid w:val="00B3667D"/>
    <w:rsid w:val="00B37350"/>
    <w:rsid w:val="00B3787E"/>
    <w:rsid w:val="00B42354"/>
    <w:rsid w:val="00B45F54"/>
    <w:rsid w:val="00B520D6"/>
    <w:rsid w:val="00B52EA6"/>
    <w:rsid w:val="00B54B39"/>
    <w:rsid w:val="00B60628"/>
    <w:rsid w:val="00B60EE3"/>
    <w:rsid w:val="00B61C9A"/>
    <w:rsid w:val="00B62009"/>
    <w:rsid w:val="00B62F47"/>
    <w:rsid w:val="00B63903"/>
    <w:rsid w:val="00B64138"/>
    <w:rsid w:val="00B64E09"/>
    <w:rsid w:val="00B658FB"/>
    <w:rsid w:val="00B66137"/>
    <w:rsid w:val="00B679DA"/>
    <w:rsid w:val="00B7286F"/>
    <w:rsid w:val="00B7708D"/>
    <w:rsid w:val="00B80336"/>
    <w:rsid w:val="00B813A4"/>
    <w:rsid w:val="00B830F3"/>
    <w:rsid w:val="00B845BB"/>
    <w:rsid w:val="00B84B25"/>
    <w:rsid w:val="00B87BD4"/>
    <w:rsid w:val="00B90918"/>
    <w:rsid w:val="00B9117A"/>
    <w:rsid w:val="00B94525"/>
    <w:rsid w:val="00B94641"/>
    <w:rsid w:val="00B9597D"/>
    <w:rsid w:val="00BA2962"/>
    <w:rsid w:val="00BA40A2"/>
    <w:rsid w:val="00BA5BD7"/>
    <w:rsid w:val="00BC0487"/>
    <w:rsid w:val="00BC271C"/>
    <w:rsid w:val="00BC2DAA"/>
    <w:rsid w:val="00BC368B"/>
    <w:rsid w:val="00BC54F8"/>
    <w:rsid w:val="00BC740A"/>
    <w:rsid w:val="00BE021C"/>
    <w:rsid w:val="00BE24A7"/>
    <w:rsid w:val="00BE2FBB"/>
    <w:rsid w:val="00BE5F54"/>
    <w:rsid w:val="00BE62B6"/>
    <w:rsid w:val="00BE6693"/>
    <w:rsid w:val="00BE6856"/>
    <w:rsid w:val="00BF17C1"/>
    <w:rsid w:val="00BF38D7"/>
    <w:rsid w:val="00BF5163"/>
    <w:rsid w:val="00BF5E65"/>
    <w:rsid w:val="00BF706B"/>
    <w:rsid w:val="00C01B65"/>
    <w:rsid w:val="00C025E0"/>
    <w:rsid w:val="00C02AE3"/>
    <w:rsid w:val="00C03D43"/>
    <w:rsid w:val="00C1089B"/>
    <w:rsid w:val="00C133DA"/>
    <w:rsid w:val="00C15E9E"/>
    <w:rsid w:val="00C15F3C"/>
    <w:rsid w:val="00C21A7C"/>
    <w:rsid w:val="00C23699"/>
    <w:rsid w:val="00C2462D"/>
    <w:rsid w:val="00C27A01"/>
    <w:rsid w:val="00C30B43"/>
    <w:rsid w:val="00C3203A"/>
    <w:rsid w:val="00C329DF"/>
    <w:rsid w:val="00C32BFF"/>
    <w:rsid w:val="00C33B32"/>
    <w:rsid w:val="00C34154"/>
    <w:rsid w:val="00C35C8F"/>
    <w:rsid w:val="00C36B31"/>
    <w:rsid w:val="00C42C2E"/>
    <w:rsid w:val="00C444FD"/>
    <w:rsid w:val="00C5212A"/>
    <w:rsid w:val="00C52885"/>
    <w:rsid w:val="00C55977"/>
    <w:rsid w:val="00C62EFA"/>
    <w:rsid w:val="00C62FFE"/>
    <w:rsid w:val="00C644BE"/>
    <w:rsid w:val="00C651F6"/>
    <w:rsid w:val="00C672C7"/>
    <w:rsid w:val="00C72CBE"/>
    <w:rsid w:val="00C75878"/>
    <w:rsid w:val="00C7794A"/>
    <w:rsid w:val="00C82641"/>
    <w:rsid w:val="00C82BA0"/>
    <w:rsid w:val="00C86240"/>
    <w:rsid w:val="00C86A4D"/>
    <w:rsid w:val="00C9130C"/>
    <w:rsid w:val="00C920DB"/>
    <w:rsid w:val="00C93547"/>
    <w:rsid w:val="00C93A16"/>
    <w:rsid w:val="00C96D37"/>
    <w:rsid w:val="00C972AF"/>
    <w:rsid w:val="00C97EF4"/>
    <w:rsid w:val="00CA0A8E"/>
    <w:rsid w:val="00CA11ED"/>
    <w:rsid w:val="00CA1C04"/>
    <w:rsid w:val="00CA4421"/>
    <w:rsid w:val="00CB1CAB"/>
    <w:rsid w:val="00CB2966"/>
    <w:rsid w:val="00CB43AC"/>
    <w:rsid w:val="00CC079B"/>
    <w:rsid w:val="00CC0C22"/>
    <w:rsid w:val="00CC187A"/>
    <w:rsid w:val="00CC3557"/>
    <w:rsid w:val="00CC3E37"/>
    <w:rsid w:val="00CC42E4"/>
    <w:rsid w:val="00CC5F87"/>
    <w:rsid w:val="00CC67CC"/>
    <w:rsid w:val="00CD175D"/>
    <w:rsid w:val="00CE1F54"/>
    <w:rsid w:val="00CE62C2"/>
    <w:rsid w:val="00D00185"/>
    <w:rsid w:val="00D01018"/>
    <w:rsid w:val="00D01BA3"/>
    <w:rsid w:val="00D02525"/>
    <w:rsid w:val="00D0370B"/>
    <w:rsid w:val="00D03B1E"/>
    <w:rsid w:val="00D10CCA"/>
    <w:rsid w:val="00D12F09"/>
    <w:rsid w:val="00D15BE8"/>
    <w:rsid w:val="00D16ED6"/>
    <w:rsid w:val="00D17B18"/>
    <w:rsid w:val="00D20A50"/>
    <w:rsid w:val="00D23095"/>
    <w:rsid w:val="00D234CF"/>
    <w:rsid w:val="00D243AF"/>
    <w:rsid w:val="00D244ED"/>
    <w:rsid w:val="00D247E4"/>
    <w:rsid w:val="00D26BC4"/>
    <w:rsid w:val="00D27073"/>
    <w:rsid w:val="00D270E3"/>
    <w:rsid w:val="00D27CB0"/>
    <w:rsid w:val="00D35290"/>
    <w:rsid w:val="00D36A4B"/>
    <w:rsid w:val="00D37280"/>
    <w:rsid w:val="00D376D5"/>
    <w:rsid w:val="00D3798B"/>
    <w:rsid w:val="00D415AB"/>
    <w:rsid w:val="00D52844"/>
    <w:rsid w:val="00D52B62"/>
    <w:rsid w:val="00D539A6"/>
    <w:rsid w:val="00D56F55"/>
    <w:rsid w:val="00D60068"/>
    <w:rsid w:val="00D61AD1"/>
    <w:rsid w:val="00D63548"/>
    <w:rsid w:val="00D66EAD"/>
    <w:rsid w:val="00D67532"/>
    <w:rsid w:val="00D74D9D"/>
    <w:rsid w:val="00D76BA3"/>
    <w:rsid w:val="00D808C2"/>
    <w:rsid w:val="00D80A6A"/>
    <w:rsid w:val="00D81B19"/>
    <w:rsid w:val="00D83334"/>
    <w:rsid w:val="00D838EA"/>
    <w:rsid w:val="00D85814"/>
    <w:rsid w:val="00D85940"/>
    <w:rsid w:val="00D85D89"/>
    <w:rsid w:val="00D8798C"/>
    <w:rsid w:val="00D917F0"/>
    <w:rsid w:val="00D92176"/>
    <w:rsid w:val="00D9271E"/>
    <w:rsid w:val="00D930F0"/>
    <w:rsid w:val="00D93147"/>
    <w:rsid w:val="00D93DD3"/>
    <w:rsid w:val="00D95A46"/>
    <w:rsid w:val="00DA40CD"/>
    <w:rsid w:val="00DA47D7"/>
    <w:rsid w:val="00DA5EE2"/>
    <w:rsid w:val="00DA66D9"/>
    <w:rsid w:val="00DB1014"/>
    <w:rsid w:val="00DB1045"/>
    <w:rsid w:val="00DB376B"/>
    <w:rsid w:val="00DB4EA1"/>
    <w:rsid w:val="00DB65EA"/>
    <w:rsid w:val="00DD13F1"/>
    <w:rsid w:val="00DD5137"/>
    <w:rsid w:val="00DD5820"/>
    <w:rsid w:val="00DD6DC3"/>
    <w:rsid w:val="00DE1FE6"/>
    <w:rsid w:val="00DE4D4E"/>
    <w:rsid w:val="00DE7D50"/>
    <w:rsid w:val="00DF0BE6"/>
    <w:rsid w:val="00DF1869"/>
    <w:rsid w:val="00DF39ED"/>
    <w:rsid w:val="00E0449C"/>
    <w:rsid w:val="00E049BB"/>
    <w:rsid w:val="00E066FC"/>
    <w:rsid w:val="00E106CF"/>
    <w:rsid w:val="00E12FF8"/>
    <w:rsid w:val="00E14391"/>
    <w:rsid w:val="00E15CE1"/>
    <w:rsid w:val="00E2189B"/>
    <w:rsid w:val="00E21AD7"/>
    <w:rsid w:val="00E226E1"/>
    <w:rsid w:val="00E2342A"/>
    <w:rsid w:val="00E26124"/>
    <w:rsid w:val="00E26A9A"/>
    <w:rsid w:val="00E279AB"/>
    <w:rsid w:val="00E30DD4"/>
    <w:rsid w:val="00E34455"/>
    <w:rsid w:val="00E37F7B"/>
    <w:rsid w:val="00E405BA"/>
    <w:rsid w:val="00E41D63"/>
    <w:rsid w:val="00E44300"/>
    <w:rsid w:val="00E450FE"/>
    <w:rsid w:val="00E50B55"/>
    <w:rsid w:val="00E512B4"/>
    <w:rsid w:val="00E526B0"/>
    <w:rsid w:val="00E57D06"/>
    <w:rsid w:val="00E613A5"/>
    <w:rsid w:val="00E6448F"/>
    <w:rsid w:val="00E6696C"/>
    <w:rsid w:val="00E672AF"/>
    <w:rsid w:val="00E6792A"/>
    <w:rsid w:val="00E776D2"/>
    <w:rsid w:val="00E802CF"/>
    <w:rsid w:val="00E84BBB"/>
    <w:rsid w:val="00E86420"/>
    <w:rsid w:val="00E91AFF"/>
    <w:rsid w:val="00E9453B"/>
    <w:rsid w:val="00EA3E37"/>
    <w:rsid w:val="00EA6A22"/>
    <w:rsid w:val="00EA6D34"/>
    <w:rsid w:val="00EA7A34"/>
    <w:rsid w:val="00EB0CA4"/>
    <w:rsid w:val="00EB5331"/>
    <w:rsid w:val="00EB54F6"/>
    <w:rsid w:val="00EC635F"/>
    <w:rsid w:val="00EC6A40"/>
    <w:rsid w:val="00ED4D0D"/>
    <w:rsid w:val="00EE0653"/>
    <w:rsid w:val="00EE3641"/>
    <w:rsid w:val="00EE5577"/>
    <w:rsid w:val="00EE71E7"/>
    <w:rsid w:val="00EE7E08"/>
    <w:rsid w:val="00EF054A"/>
    <w:rsid w:val="00EF057B"/>
    <w:rsid w:val="00EF0798"/>
    <w:rsid w:val="00EF11D3"/>
    <w:rsid w:val="00EF1CD5"/>
    <w:rsid w:val="00EF33CC"/>
    <w:rsid w:val="00EF3BD1"/>
    <w:rsid w:val="00EF5C32"/>
    <w:rsid w:val="00F02CB4"/>
    <w:rsid w:val="00F04094"/>
    <w:rsid w:val="00F04D66"/>
    <w:rsid w:val="00F05D5F"/>
    <w:rsid w:val="00F05F57"/>
    <w:rsid w:val="00F07517"/>
    <w:rsid w:val="00F0765A"/>
    <w:rsid w:val="00F10695"/>
    <w:rsid w:val="00F11AC1"/>
    <w:rsid w:val="00F121D5"/>
    <w:rsid w:val="00F1291B"/>
    <w:rsid w:val="00F156A2"/>
    <w:rsid w:val="00F15F46"/>
    <w:rsid w:val="00F17458"/>
    <w:rsid w:val="00F22A0C"/>
    <w:rsid w:val="00F247DB"/>
    <w:rsid w:val="00F25C07"/>
    <w:rsid w:val="00F32E99"/>
    <w:rsid w:val="00F35134"/>
    <w:rsid w:val="00F35734"/>
    <w:rsid w:val="00F372F3"/>
    <w:rsid w:val="00F40D3E"/>
    <w:rsid w:val="00F4220A"/>
    <w:rsid w:val="00F436E6"/>
    <w:rsid w:val="00F4437F"/>
    <w:rsid w:val="00F45102"/>
    <w:rsid w:val="00F45EA8"/>
    <w:rsid w:val="00F463E8"/>
    <w:rsid w:val="00F46600"/>
    <w:rsid w:val="00F47FB6"/>
    <w:rsid w:val="00F51750"/>
    <w:rsid w:val="00F526BA"/>
    <w:rsid w:val="00F528FD"/>
    <w:rsid w:val="00F541F7"/>
    <w:rsid w:val="00F57797"/>
    <w:rsid w:val="00F5786E"/>
    <w:rsid w:val="00F6203C"/>
    <w:rsid w:val="00F63CF8"/>
    <w:rsid w:val="00F641CA"/>
    <w:rsid w:val="00F642A6"/>
    <w:rsid w:val="00F64685"/>
    <w:rsid w:val="00F64A75"/>
    <w:rsid w:val="00F72D4E"/>
    <w:rsid w:val="00F83238"/>
    <w:rsid w:val="00F83657"/>
    <w:rsid w:val="00F90B81"/>
    <w:rsid w:val="00F93EDF"/>
    <w:rsid w:val="00F94096"/>
    <w:rsid w:val="00F94FC7"/>
    <w:rsid w:val="00FA0841"/>
    <w:rsid w:val="00FA0FEB"/>
    <w:rsid w:val="00FA2C18"/>
    <w:rsid w:val="00FA79AC"/>
    <w:rsid w:val="00FA7A6C"/>
    <w:rsid w:val="00FB0A84"/>
    <w:rsid w:val="00FB26CA"/>
    <w:rsid w:val="00FB3A68"/>
    <w:rsid w:val="00FB419F"/>
    <w:rsid w:val="00FB499C"/>
    <w:rsid w:val="00FB4D93"/>
    <w:rsid w:val="00FB6791"/>
    <w:rsid w:val="00FB6FA9"/>
    <w:rsid w:val="00FB76CB"/>
    <w:rsid w:val="00FC2B34"/>
    <w:rsid w:val="00FC56CA"/>
    <w:rsid w:val="00FC680C"/>
    <w:rsid w:val="00FC7D5F"/>
    <w:rsid w:val="00FD1654"/>
    <w:rsid w:val="00FD5830"/>
    <w:rsid w:val="00FD6103"/>
    <w:rsid w:val="00FD6BC5"/>
    <w:rsid w:val="00FD6C0B"/>
    <w:rsid w:val="00FE0A89"/>
    <w:rsid w:val="00FE2072"/>
    <w:rsid w:val="00FE302E"/>
    <w:rsid w:val="00FE3C7D"/>
    <w:rsid w:val="00FE5E99"/>
    <w:rsid w:val="00FE6DF8"/>
    <w:rsid w:val="00FE7FD9"/>
    <w:rsid w:val="00FF349D"/>
    <w:rsid w:val="00FF5933"/>
    <w:rsid w:val="01285D1C"/>
    <w:rsid w:val="013E633D"/>
    <w:rsid w:val="014F6641"/>
    <w:rsid w:val="01B07EFD"/>
    <w:rsid w:val="02693733"/>
    <w:rsid w:val="028C7E89"/>
    <w:rsid w:val="02E354F2"/>
    <w:rsid w:val="03443858"/>
    <w:rsid w:val="036010B0"/>
    <w:rsid w:val="037276D4"/>
    <w:rsid w:val="044A48D8"/>
    <w:rsid w:val="0460423C"/>
    <w:rsid w:val="046A0A93"/>
    <w:rsid w:val="04A80ABE"/>
    <w:rsid w:val="04C13E1E"/>
    <w:rsid w:val="05323166"/>
    <w:rsid w:val="056F3D24"/>
    <w:rsid w:val="062A142B"/>
    <w:rsid w:val="066D033D"/>
    <w:rsid w:val="07961C4C"/>
    <w:rsid w:val="079F582F"/>
    <w:rsid w:val="08031F33"/>
    <w:rsid w:val="080C703A"/>
    <w:rsid w:val="08315667"/>
    <w:rsid w:val="08A35FDC"/>
    <w:rsid w:val="08B507D9"/>
    <w:rsid w:val="09340B41"/>
    <w:rsid w:val="09A17A2D"/>
    <w:rsid w:val="0AAB71C7"/>
    <w:rsid w:val="0AC35595"/>
    <w:rsid w:val="0AD96887"/>
    <w:rsid w:val="0AFA0FD1"/>
    <w:rsid w:val="0C6368E2"/>
    <w:rsid w:val="0C7A665A"/>
    <w:rsid w:val="0DCF624C"/>
    <w:rsid w:val="0DE12E89"/>
    <w:rsid w:val="0E792A9C"/>
    <w:rsid w:val="0E795140"/>
    <w:rsid w:val="0EB52F2A"/>
    <w:rsid w:val="0FE21C69"/>
    <w:rsid w:val="0FF66F2A"/>
    <w:rsid w:val="10070DEC"/>
    <w:rsid w:val="10572A10"/>
    <w:rsid w:val="1092555F"/>
    <w:rsid w:val="109751B0"/>
    <w:rsid w:val="112627C0"/>
    <w:rsid w:val="11816161"/>
    <w:rsid w:val="11A47755"/>
    <w:rsid w:val="11F83D2A"/>
    <w:rsid w:val="12EE20F7"/>
    <w:rsid w:val="13084557"/>
    <w:rsid w:val="132E1F01"/>
    <w:rsid w:val="13CA1F1F"/>
    <w:rsid w:val="14937655"/>
    <w:rsid w:val="155951EF"/>
    <w:rsid w:val="15C54CCC"/>
    <w:rsid w:val="16481E7C"/>
    <w:rsid w:val="16872F0E"/>
    <w:rsid w:val="16CD7AB1"/>
    <w:rsid w:val="17121A6A"/>
    <w:rsid w:val="17612369"/>
    <w:rsid w:val="18A579A3"/>
    <w:rsid w:val="18BA1A2F"/>
    <w:rsid w:val="18D700F9"/>
    <w:rsid w:val="192F6D5C"/>
    <w:rsid w:val="194C32E2"/>
    <w:rsid w:val="19591C08"/>
    <w:rsid w:val="1975620E"/>
    <w:rsid w:val="1B3A726A"/>
    <w:rsid w:val="1C1F3026"/>
    <w:rsid w:val="1C3F7EF9"/>
    <w:rsid w:val="1C86453F"/>
    <w:rsid w:val="1DF02831"/>
    <w:rsid w:val="1E42611B"/>
    <w:rsid w:val="1E7D6E62"/>
    <w:rsid w:val="1E80063A"/>
    <w:rsid w:val="1E854A3A"/>
    <w:rsid w:val="1ED33FB6"/>
    <w:rsid w:val="1EF72A14"/>
    <w:rsid w:val="201D7C67"/>
    <w:rsid w:val="204F5512"/>
    <w:rsid w:val="20CD64B9"/>
    <w:rsid w:val="214A74B8"/>
    <w:rsid w:val="21C872FA"/>
    <w:rsid w:val="22745AB0"/>
    <w:rsid w:val="22D969BC"/>
    <w:rsid w:val="23421441"/>
    <w:rsid w:val="23C82237"/>
    <w:rsid w:val="23DF50F9"/>
    <w:rsid w:val="24260012"/>
    <w:rsid w:val="245A6C99"/>
    <w:rsid w:val="24B23E31"/>
    <w:rsid w:val="24E138AA"/>
    <w:rsid w:val="25DE524C"/>
    <w:rsid w:val="264D7D06"/>
    <w:rsid w:val="26B51080"/>
    <w:rsid w:val="277944F3"/>
    <w:rsid w:val="27BD2312"/>
    <w:rsid w:val="2834282E"/>
    <w:rsid w:val="28407D91"/>
    <w:rsid w:val="287E47C9"/>
    <w:rsid w:val="289C690D"/>
    <w:rsid w:val="292011D0"/>
    <w:rsid w:val="29D63D1F"/>
    <w:rsid w:val="2ACE6A86"/>
    <w:rsid w:val="2C203ED1"/>
    <w:rsid w:val="2C274349"/>
    <w:rsid w:val="2C427F50"/>
    <w:rsid w:val="2C9F3729"/>
    <w:rsid w:val="2D397579"/>
    <w:rsid w:val="2D753703"/>
    <w:rsid w:val="2DAF347F"/>
    <w:rsid w:val="2E207D6F"/>
    <w:rsid w:val="2E8D27DC"/>
    <w:rsid w:val="2F2056A1"/>
    <w:rsid w:val="2F7C41F6"/>
    <w:rsid w:val="2F7C651B"/>
    <w:rsid w:val="2FE0301A"/>
    <w:rsid w:val="304D185F"/>
    <w:rsid w:val="306D10BA"/>
    <w:rsid w:val="31A9747A"/>
    <w:rsid w:val="32614F40"/>
    <w:rsid w:val="32626CF4"/>
    <w:rsid w:val="3396601C"/>
    <w:rsid w:val="342208AA"/>
    <w:rsid w:val="349150D0"/>
    <w:rsid w:val="34F470BB"/>
    <w:rsid w:val="355951EF"/>
    <w:rsid w:val="35726DA9"/>
    <w:rsid w:val="35EF4BA5"/>
    <w:rsid w:val="36324658"/>
    <w:rsid w:val="36C55911"/>
    <w:rsid w:val="36DC5C35"/>
    <w:rsid w:val="36F841B6"/>
    <w:rsid w:val="37606A64"/>
    <w:rsid w:val="376C5844"/>
    <w:rsid w:val="37D20B20"/>
    <w:rsid w:val="390046AF"/>
    <w:rsid w:val="391E1C82"/>
    <w:rsid w:val="39292CF8"/>
    <w:rsid w:val="39386278"/>
    <w:rsid w:val="3A6D30B9"/>
    <w:rsid w:val="3A7C088D"/>
    <w:rsid w:val="3AEA1219"/>
    <w:rsid w:val="3BA45AC1"/>
    <w:rsid w:val="3BE66061"/>
    <w:rsid w:val="3C5F4C83"/>
    <w:rsid w:val="3D0432D8"/>
    <w:rsid w:val="3D3D5766"/>
    <w:rsid w:val="3DD31485"/>
    <w:rsid w:val="3E181D33"/>
    <w:rsid w:val="3E2A6064"/>
    <w:rsid w:val="3E5004AF"/>
    <w:rsid w:val="3EA846BF"/>
    <w:rsid w:val="3ED42642"/>
    <w:rsid w:val="3ED74882"/>
    <w:rsid w:val="3EE7313D"/>
    <w:rsid w:val="3F057B6A"/>
    <w:rsid w:val="401D4BD8"/>
    <w:rsid w:val="40276CBF"/>
    <w:rsid w:val="40833636"/>
    <w:rsid w:val="414060C6"/>
    <w:rsid w:val="41A23758"/>
    <w:rsid w:val="41A8145A"/>
    <w:rsid w:val="41C37623"/>
    <w:rsid w:val="42D23378"/>
    <w:rsid w:val="43554B93"/>
    <w:rsid w:val="43613E63"/>
    <w:rsid w:val="43BE4985"/>
    <w:rsid w:val="44117757"/>
    <w:rsid w:val="441E5FF7"/>
    <w:rsid w:val="4436103F"/>
    <w:rsid w:val="453E7B2C"/>
    <w:rsid w:val="460105C2"/>
    <w:rsid w:val="46324C96"/>
    <w:rsid w:val="465B0F69"/>
    <w:rsid w:val="47682760"/>
    <w:rsid w:val="479C6EA1"/>
    <w:rsid w:val="47A67C0A"/>
    <w:rsid w:val="47BF2099"/>
    <w:rsid w:val="47C40F89"/>
    <w:rsid w:val="47E31900"/>
    <w:rsid w:val="47F0411D"/>
    <w:rsid w:val="48146986"/>
    <w:rsid w:val="48294B6E"/>
    <w:rsid w:val="48C93BB0"/>
    <w:rsid w:val="48D052FB"/>
    <w:rsid w:val="493A2D00"/>
    <w:rsid w:val="493E7A12"/>
    <w:rsid w:val="49556C85"/>
    <w:rsid w:val="4993542A"/>
    <w:rsid w:val="49B328F6"/>
    <w:rsid w:val="4A2A7CDC"/>
    <w:rsid w:val="4ADF7CA3"/>
    <w:rsid w:val="4C1C52CA"/>
    <w:rsid w:val="4CCA1DD0"/>
    <w:rsid w:val="4CCE4F1A"/>
    <w:rsid w:val="4D320162"/>
    <w:rsid w:val="4DB67448"/>
    <w:rsid w:val="4E3B0D5C"/>
    <w:rsid w:val="4E554A10"/>
    <w:rsid w:val="4EBB1476"/>
    <w:rsid w:val="4EC55D36"/>
    <w:rsid w:val="4F067A88"/>
    <w:rsid w:val="4F427818"/>
    <w:rsid w:val="4F8E16AF"/>
    <w:rsid w:val="4FDB7A75"/>
    <w:rsid w:val="4FE4318B"/>
    <w:rsid w:val="507C056E"/>
    <w:rsid w:val="509D5383"/>
    <w:rsid w:val="51095378"/>
    <w:rsid w:val="51141A8A"/>
    <w:rsid w:val="51285081"/>
    <w:rsid w:val="51993A20"/>
    <w:rsid w:val="525A07A9"/>
    <w:rsid w:val="527328BD"/>
    <w:rsid w:val="528D289D"/>
    <w:rsid w:val="52F22B46"/>
    <w:rsid w:val="534451A9"/>
    <w:rsid w:val="555B3ED2"/>
    <w:rsid w:val="55E4664F"/>
    <w:rsid w:val="562C4601"/>
    <w:rsid w:val="56453D09"/>
    <w:rsid w:val="56BE1556"/>
    <w:rsid w:val="56DA179D"/>
    <w:rsid w:val="57E26A3C"/>
    <w:rsid w:val="57EC2129"/>
    <w:rsid w:val="580249E9"/>
    <w:rsid w:val="581F10DF"/>
    <w:rsid w:val="583A6AA7"/>
    <w:rsid w:val="58711206"/>
    <w:rsid w:val="58C22434"/>
    <w:rsid w:val="5957726F"/>
    <w:rsid w:val="597C451C"/>
    <w:rsid w:val="59B6676A"/>
    <w:rsid w:val="5A80293E"/>
    <w:rsid w:val="5B4D4BEA"/>
    <w:rsid w:val="5C391E03"/>
    <w:rsid w:val="5C7E1708"/>
    <w:rsid w:val="5CE06568"/>
    <w:rsid w:val="5CFA0AF8"/>
    <w:rsid w:val="5D33417D"/>
    <w:rsid w:val="5D454A69"/>
    <w:rsid w:val="5E1C3286"/>
    <w:rsid w:val="5E2E1EE7"/>
    <w:rsid w:val="5E4A11CD"/>
    <w:rsid w:val="5ECF4E56"/>
    <w:rsid w:val="5F620ABB"/>
    <w:rsid w:val="5FF8554F"/>
    <w:rsid w:val="604E3D2F"/>
    <w:rsid w:val="605D4ECF"/>
    <w:rsid w:val="605F301C"/>
    <w:rsid w:val="606F74F9"/>
    <w:rsid w:val="60EC26DA"/>
    <w:rsid w:val="615E46BA"/>
    <w:rsid w:val="61B52735"/>
    <w:rsid w:val="622E1888"/>
    <w:rsid w:val="62AC60AD"/>
    <w:rsid w:val="6429230C"/>
    <w:rsid w:val="64381F51"/>
    <w:rsid w:val="64493465"/>
    <w:rsid w:val="64915FA8"/>
    <w:rsid w:val="659D7B67"/>
    <w:rsid w:val="66706602"/>
    <w:rsid w:val="66B44FFF"/>
    <w:rsid w:val="6792092F"/>
    <w:rsid w:val="68A20BDC"/>
    <w:rsid w:val="68D8063F"/>
    <w:rsid w:val="697F058F"/>
    <w:rsid w:val="6A205DA1"/>
    <w:rsid w:val="6B1474CF"/>
    <w:rsid w:val="6B265FE8"/>
    <w:rsid w:val="6BF16D44"/>
    <w:rsid w:val="6C531CA8"/>
    <w:rsid w:val="6D893721"/>
    <w:rsid w:val="6E1D4DC7"/>
    <w:rsid w:val="6E8F1D26"/>
    <w:rsid w:val="6EB1277F"/>
    <w:rsid w:val="6EB57EAE"/>
    <w:rsid w:val="6F2F1919"/>
    <w:rsid w:val="6F5C6B78"/>
    <w:rsid w:val="6F852FCB"/>
    <w:rsid w:val="6FB86043"/>
    <w:rsid w:val="70014514"/>
    <w:rsid w:val="7075449A"/>
    <w:rsid w:val="71000A47"/>
    <w:rsid w:val="7167102F"/>
    <w:rsid w:val="7182315C"/>
    <w:rsid w:val="71D56D84"/>
    <w:rsid w:val="71F23564"/>
    <w:rsid w:val="726F481E"/>
    <w:rsid w:val="727230C3"/>
    <w:rsid w:val="734737A0"/>
    <w:rsid w:val="73666EBC"/>
    <w:rsid w:val="73686AB1"/>
    <w:rsid w:val="73972768"/>
    <w:rsid w:val="73C15D45"/>
    <w:rsid w:val="74FE6817"/>
    <w:rsid w:val="75344703"/>
    <w:rsid w:val="75354830"/>
    <w:rsid w:val="755F073F"/>
    <w:rsid w:val="75836B83"/>
    <w:rsid w:val="75B96CD2"/>
    <w:rsid w:val="76495D00"/>
    <w:rsid w:val="76765058"/>
    <w:rsid w:val="768C6099"/>
    <w:rsid w:val="76F676EA"/>
    <w:rsid w:val="77993752"/>
    <w:rsid w:val="78170005"/>
    <w:rsid w:val="784C6DC0"/>
    <w:rsid w:val="78656BED"/>
    <w:rsid w:val="788B51DA"/>
    <w:rsid w:val="78EA3F76"/>
    <w:rsid w:val="78EE303B"/>
    <w:rsid w:val="79473637"/>
    <w:rsid w:val="79DD11B9"/>
    <w:rsid w:val="7A1B6C1E"/>
    <w:rsid w:val="7A462403"/>
    <w:rsid w:val="7A4D6407"/>
    <w:rsid w:val="7BAC0D56"/>
    <w:rsid w:val="7BB54945"/>
    <w:rsid w:val="7BC13817"/>
    <w:rsid w:val="7C4C1040"/>
    <w:rsid w:val="7C8C43E5"/>
    <w:rsid w:val="7CA22F13"/>
    <w:rsid w:val="7CBE3394"/>
    <w:rsid w:val="7CC825D8"/>
    <w:rsid w:val="7D687D8D"/>
    <w:rsid w:val="7D6E40A7"/>
    <w:rsid w:val="7D890385"/>
    <w:rsid w:val="7EF231B4"/>
    <w:rsid w:val="7F1325F0"/>
    <w:rsid w:val="7F253F02"/>
    <w:rsid w:val="7F2B27ED"/>
    <w:rsid w:val="7F601ABF"/>
    <w:rsid w:val="7F9B1024"/>
    <w:rsid w:val="7FAE6DB4"/>
    <w:rsid w:val="7FDE7C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等线" w:cs="Times New Roman"/>
      <w:kern w:val="2"/>
      <w:sz w:val="21"/>
      <w:lang w:val="en-US" w:eastAsia="zh-CN" w:bidi="ar-SA"/>
    </w:rPr>
  </w:style>
  <w:style w:type="paragraph" w:styleId="3">
    <w:name w:val="heading 1"/>
    <w:basedOn w:val="1"/>
    <w:next w:val="1"/>
    <w:autoRedefine/>
    <w:qFormat/>
    <w:uiPriority w:val="0"/>
    <w:pPr>
      <w:keepNext/>
      <w:adjustRightInd w:val="0"/>
      <w:snapToGrid w:val="0"/>
      <w:spacing w:line="360" w:lineRule="auto"/>
      <w:jc w:val="center"/>
      <w:outlineLvl w:val="0"/>
    </w:pPr>
    <w:rPr>
      <w:rFonts w:ascii="黑体" w:hAnsi="黑体" w:eastAsia="黑体" w:cs="黑体"/>
      <w:snapToGrid w:val="0"/>
      <w:kern w:val="0"/>
      <w:sz w:val="30"/>
      <w:szCs w:val="30"/>
    </w:rPr>
  </w:style>
  <w:style w:type="paragraph" w:styleId="4">
    <w:name w:val="heading 2"/>
    <w:basedOn w:val="1"/>
    <w:next w:val="1"/>
    <w:link w:val="107"/>
    <w:qFormat/>
    <w:uiPriority w:val="0"/>
    <w:pPr>
      <w:keepNext/>
      <w:spacing w:line="480" w:lineRule="exact"/>
      <w:jc w:val="left"/>
      <w:outlineLvl w:val="1"/>
    </w:pPr>
    <w:rPr>
      <w:rFonts w:ascii="黑体" w:hAnsi="Times New Roman" w:eastAsia="黑体"/>
      <w:b/>
      <w:bCs/>
      <w:snapToGrid w:val="0"/>
      <w:sz w:val="24"/>
    </w:rPr>
  </w:style>
  <w:style w:type="paragraph" w:styleId="5">
    <w:name w:val="heading 3"/>
    <w:basedOn w:val="1"/>
    <w:next w:val="1"/>
    <w:autoRedefine/>
    <w:qFormat/>
    <w:uiPriority w:val="0"/>
    <w:pPr>
      <w:keepNext/>
      <w:ind w:left="422" w:firstLine="422"/>
      <w:jc w:val="left"/>
      <w:outlineLvl w:val="2"/>
    </w:pPr>
    <w:rPr>
      <w:rFonts w:ascii="黑体" w:hAnsi="黑体" w:eastAsia="黑体" w:cs="宋体"/>
      <w:b/>
      <w:bCs/>
      <w:sz w:val="28"/>
      <w:szCs w:val="28"/>
    </w:rPr>
  </w:style>
  <w:style w:type="paragraph" w:styleId="6">
    <w:name w:val="heading 4"/>
    <w:basedOn w:val="1"/>
    <w:next w:val="1"/>
    <w:link w:val="110"/>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index 4"/>
    <w:basedOn w:val="1"/>
    <w:next w:val="1"/>
    <w:unhideWhenUsed/>
    <w:qFormat/>
    <w:uiPriority w:val="99"/>
    <w:pPr>
      <w:ind w:left="1260"/>
    </w:pPr>
  </w:style>
  <w:style w:type="paragraph" w:styleId="7">
    <w:name w:val="Normal Indent"/>
    <w:basedOn w:val="1"/>
    <w:link w:val="117"/>
    <w:autoRedefine/>
    <w:qFormat/>
    <w:uiPriority w:val="99"/>
    <w:pPr>
      <w:ind w:firstLine="420"/>
    </w:pPr>
    <w:rPr>
      <w:rFonts w:ascii="Times New Roman" w:hAnsi="Times New Roman" w:eastAsia="宋体"/>
    </w:rPr>
  </w:style>
  <w:style w:type="paragraph" w:styleId="8">
    <w:name w:val="annotation text"/>
    <w:basedOn w:val="1"/>
    <w:link w:val="33"/>
    <w:autoRedefine/>
    <w:unhideWhenUsed/>
    <w:qFormat/>
    <w:uiPriority w:val="99"/>
    <w:pPr>
      <w:jc w:val="left"/>
    </w:pPr>
    <w:rPr>
      <w:rFonts w:ascii="Times New Roman" w:hAnsi="Times New Roman" w:eastAsia="宋体"/>
    </w:rPr>
  </w:style>
  <w:style w:type="paragraph" w:styleId="9">
    <w:name w:val="Body Text"/>
    <w:basedOn w:val="1"/>
    <w:link w:val="111"/>
    <w:autoRedefine/>
    <w:qFormat/>
    <w:uiPriority w:val="0"/>
    <w:pPr>
      <w:wordWrap w:val="0"/>
    </w:pPr>
    <w:rPr>
      <w:rFonts w:ascii="黑体" w:hAnsi="黑体" w:eastAsia="黑体" w:cs="宋体"/>
      <w:szCs w:val="21"/>
      <w:lang w:val="zh-CN" w:bidi="zh-CN"/>
    </w:rPr>
  </w:style>
  <w:style w:type="paragraph" w:styleId="10">
    <w:name w:val="Body Text Indent"/>
    <w:basedOn w:val="1"/>
    <w:link w:val="108"/>
    <w:autoRedefine/>
    <w:qFormat/>
    <w:uiPriority w:val="0"/>
    <w:pPr>
      <w:ind w:firstLine="576"/>
    </w:pPr>
    <w:rPr>
      <w:rFonts w:ascii="Times New Roman" w:hAnsi="Times New Roman" w:eastAsia="宋体"/>
      <w:b/>
      <w:sz w:val="30"/>
    </w:rPr>
  </w:style>
  <w:style w:type="paragraph" w:styleId="11">
    <w:name w:val="toc 3"/>
    <w:basedOn w:val="1"/>
    <w:next w:val="1"/>
    <w:autoRedefine/>
    <w:qFormat/>
    <w:uiPriority w:val="0"/>
    <w:pPr>
      <w:ind w:left="840" w:leftChars="400"/>
    </w:pPr>
    <w:rPr>
      <w:rFonts w:ascii="Times New Roman" w:hAnsi="Times New Roman" w:eastAsia="宋体"/>
    </w:rPr>
  </w:style>
  <w:style w:type="paragraph" w:styleId="12">
    <w:name w:val="Plain Text"/>
    <w:basedOn w:val="1"/>
    <w:autoRedefine/>
    <w:qFormat/>
    <w:uiPriority w:val="0"/>
    <w:rPr>
      <w:rFonts w:ascii="宋体" w:hAnsi="Courier New" w:eastAsia="宋体"/>
      <w:szCs w:val="21"/>
    </w:rPr>
  </w:style>
  <w:style w:type="paragraph" w:styleId="13">
    <w:name w:val="Date"/>
    <w:basedOn w:val="1"/>
    <w:next w:val="1"/>
    <w:autoRedefine/>
    <w:qFormat/>
    <w:uiPriority w:val="0"/>
    <w:rPr>
      <w:rFonts w:ascii="Times New Roman" w:hAnsi="Times New Roman" w:eastAsia="黑体"/>
      <w:b/>
      <w:sz w:val="36"/>
    </w:rPr>
  </w:style>
  <w:style w:type="paragraph" w:styleId="14">
    <w:name w:val="Balloon Text"/>
    <w:basedOn w:val="1"/>
    <w:link w:val="34"/>
    <w:autoRedefine/>
    <w:unhideWhenUsed/>
    <w:qFormat/>
    <w:uiPriority w:val="99"/>
    <w:rPr>
      <w:rFonts w:ascii="Times New Roman" w:hAnsi="Times New Roman" w:eastAsia="宋体"/>
      <w:sz w:val="18"/>
      <w:szCs w:val="18"/>
    </w:rPr>
  </w:style>
  <w:style w:type="paragraph" w:styleId="15">
    <w:name w:val="footer"/>
    <w:basedOn w:val="1"/>
    <w:link w:val="119"/>
    <w:autoRedefine/>
    <w:qFormat/>
    <w:uiPriority w:val="99"/>
    <w:pPr>
      <w:tabs>
        <w:tab w:val="center" w:pos="4153"/>
        <w:tab w:val="right" w:pos="8306"/>
      </w:tabs>
      <w:snapToGrid w:val="0"/>
      <w:jc w:val="left"/>
    </w:pPr>
    <w:rPr>
      <w:rFonts w:ascii="Times New Roman" w:hAnsi="Times New Roman" w:eastAsia="宋体"/>
      <w:sz w:val="18"/>
    </w:rPr>
  </w:style>
  <w:style w:type="paragraph" w:styleId="16">
    <w:name w:val="header"/>
    <w:basedOn w:val="1"/>
    <w:link w:val="118"/>
    <w:autoRedefine/>
    <w:qFormat/>
    <w:uiPriority w:val="0"/>
    <w:pPr>
      <w:pBdr>
        <w:bottom w:val="single" w:color="auto" w:sz="6" w:space="1"/>
      </w:pBdr>
      <w:tabs>
        <w:tab w:val="center" w:pos="4153"/>
        <w:tab w:val="right" w:pos="8306"/>
      </w:tabs>
      <w:snapToGrid w:val="0"/>
      <w:jc w:val="center"/>
    </w:pPr>
    <w:rPr>
      <w:rFonts w:ascii="Times New Roman" w:hAnsi="Times New Roman" w:eastAsia="宋体"/>
      <w:sz w:val="18"/>
    </w:rPr>
  </w:style>
  <w:style w:type="paragraph" w:styleId="17">
    <w:name w:val="toc 1"/>
    <w:basedOn w:val="1"/>
    <w:next w:val="1"/>
    <w:autoRedefine/>
    <w:qFormat/>
    <w:uiPriority w:val="39"/>
    <w:rPr>
      <w:rFonts w:ascii="Times New Roman" w:hAnsi="Times New Roman" w:eastAsia="宋体"/>
    </w:rPr>
  </w:style>
  <w:style w:type="paragraph" w:styleId="18">
    <w:name w:val="toc 2"/>
    <w:basedOn w:val="1"/>
    <w:next w:val="1"/>
    <w:autoRedefine/>
    <w:qFormat/>
    <w:uiPriority w:val="0"/>
    <w:pPr>
      <w:ind w:left="420" w:leftChars="200"/>
    </w:pPr>
    <w:rPr>
      <w:rFonts w:ascii="Times New Roman" w:hAnsi="Times New Roman" w:eastAsia="宋体"/>
    </w:rPr>
  </w:style>
  <w:style w:type="paragraph" w:styleId="19">
    <w:name w:val="Normal (Web)"/>
    <w:basedOn w:val="1"/>
    <w:autoRedefine/>
    <w:qFormat/>
    <w:uiPriority w:val="0"/>
    <w:rPr>
      <w:rFonts w:ascii="Times New Roman" w:hAnsi="Times New Roman" w:eastAsia="宋体"/>
      <w:sz w:val="24"/>
      <w:szCs w:val="24"/>
    </w:rPr>
  </w:style>
  <w:style w:type="paragraph" w:styleId="20">
    <w:name w:val="Title"/>
    <w:basedOn w:val="1"/>
    <w:next w:val="1"/>
    <w:link w:val="115"/>
    <w:qFormat/>
    <w:uiPriority w:val="0"/>
    <w:pPr>
      <w:spacing w:before="300" w:after="200"/>
      <w:contextualSpacing/>
    </w:pPr>
    <w:rPr>
      <w:rFonts w:ascii="Times New Roman" w:hAnsi="Times New Roman" w:eastAsia="宋体"/>
      <w:kern w:val="0"/>
      <w:sz w:val="48"/>
      <w:szCs w:val="48"/>
    </w:rPr>
  </w:style>
  <w:style w:type="paragraph" w:styleId="21">
    <w:name w:val="annotation subject"/>
    <w:basedOn w:val="8"/>
    <w:next w:val="8"/>
    <w:link w:val="35"/>
    <w:autoRedefine/>
    <w:unhideWhenUsed/>
    <w:qFormat/>
    <w:uiPriority w:val="99"/>
    <w:rPr>
      <w:b/>
      <w:bCs/>
    </w:rPr>
  </w:style>
  <w:style w:type="paragraph" w:styleId="22">
    <w:name w:val="Body Text First Indent"/>
    <w:basedOn w:val="9"/>
    <w:link w:val="112"/>
    <w:autoRedefine/>
    <w:semiHidden/>
    <w:unhideWhenUsed/>
    <w:qFormat/>
    <w:uiPriority w:val="99"/>
    <w:pPr>
      <w:spacing w:after="120"/>
      <w:ind w:firstLine="420" w:firstLineChars="100"/>
    </w:pPr>
    <w:rPr>
      <w:rFonts w:ascii="Calibri" w:hAnsi="Calibri" w:eastAsia="等线" w:cs="Times New Roman"/>
      <w:szCs w:val="20"/>
      <w:lang w:val="en-US" w:bidi="ar-SA"/>
    </w:rPr>
  </w:style>
  <w:style w:type="paragraph" w:styleId="23">
    <w:name w:val="Body Text First Indent 2"/>
    <w:basedOn w:val="10"/>
    <w:link w:val="109"/>
    <w:autoRedefine/>
    <w:semiHidden/>
    <w:unhideWhenUsed/>
    <w:qFormat/>
    <w:uiPriority w:val="99"/>
    <w:pPr>
      <w:spacing w:after="120"/>
      <w:ind w:left="420" w:leftChars="200" w:firstLine="420" w:firstLineChars="200"/>
    </w:pPr>
    <w:rPr>
      <w:rFonts w:ascii="Calibri" w:hAnsi="Calibri" w:eastAsia="等线"/>
      <w:b w:val="0"/>
      <w:sz w:val="21"/>
    </w:rPr>
  </w:style>
  <w:style w:type="table" w:styleId="25">
    <w:name w:val="Table Grid"/>
    <w:basedOn w:val="24"/>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rPr>
      <w:b/>
    </w:rPr>
  </w:style>
  <w:style w:type="character" w:styleId="28">
    <w:name w:val="page number"/>
    <w:autoRedefine/>
    <w:qFormat/>
    <w:uiPriority w:val="0"/>
    <w:rPr>
      <w:rFonts w:ascii="Times New Roman" w:hAnsi="Times New Roman" w:eastAsia="宋体" w:cs="Times New Roman"/>
    </w:rPr>
  </w:style>
  <w:style w:type="character" w:styleId="29">
    <w:name w:val="FollowedHyperlink"/>
    <w:autoRedefine/>
    <w:qFormat/>
    <w:uiPriority w:val="99"/>
    <w:rPr>
      <w:rFonts w:ascii="Times New Roman" w:hAnsi="Times New Roman" w:eastAsia="宋体" w:cs="Times New Roman"/>
      <w:color w:val="auto"/>
      <w:u w:val="none"/>
    </w:rPr>
  </w:style>
  <w:style w:type="character" w:styleId="30">
    <w:name w:val="Hyperlink"/>
    <w:autoRedefine/>
    <w:qFormat/>
    <w:uiPriority w:val="99"/>
    <w:rPr>
      <w:rFonts w:ascii="Times New Roman" w:hAnsi="Times New Roman" w:eastAsia="宋体" w:cs="Times New Roman"/>
      <w:color w:val="auto"/>
      <w:u w:val="none"/>
    </w:rPr>
  </w:style>
  <w:style w:type="character" w:styleId="31">
    <w:name w:val="annotation reference"/>
    <w:autoRedefine/>
    <w:unhideWhenUsed/>
    <w:qFormat/>
    <w:uiPriority w:val="99"/>
    <w:rPr>
      <w:rFonts w:ascii="Times New Roman" w:hAnsi="Times New Roman" w:eastAsia="宋体" w:cs="Times New Roman"/>
      <w:sz w:val="21"/>
      <w:szCs w:val="21"/>
    </w:rPr>
  </w:style>
  <w:style w:type="paragraph" w:customStyle="1" w:styleId="32">
    <w:name w:val="首行缩进"/>
    <w:basedOn w:val="1"/>
    <w:autoRedefine/>
    <w:qFormat/>
    <w:uiPriority w:val="0"/>
    <w:pPr>
      <w:ind w:firstLine="480" w:firstLineChars="200"/>
    </w:pPr>
  </w:style>
  <w:style w:type="character" w:customStyle="1" w:styleId="33">
    <w:name w:val="批注文字 字符"/>
    <w:link w:val="8"/>
    <w:autoRedefine/>
    <w:qFormat/>
    <w:uiPriority w:val="99"/>
    <w:rPr>
      <w:rFonts w:ascii="Times New Roman" w:hAnsi="Times New Roman" w:eastAsia="宋体" w:cs="Times New Roman"/>
      <w:kern w:val="2"/>
      <w:sz w:val="21"/>
    </w:rPr>
  </w:style>
  <w:style w:type="character" w:customStyle="1" w:styleId="34">
    <w:name w:val="批注框文本 字符"/>
    <w:link w:val="14"/>
    <w:autoRedefine/>
    <w:semiHidden/>
    <w:qFormat/>
    <w:uiPriority w:val="99"/>
    <w:rPr>
      <w:rFonts w:ascii="Times New Roman" w:hAnsi="Times New Roman" w:eastAsia="宋体" w:cs="Times New Roman"/>
      <w:kern w:val="2"/>
      <w:sz w:val="18"/>
      <w:szCs w:val="18"/>
    </w:rPr>
  </w:style>
  <w:style w:type="character" w:customStyle="1" w:styleId="35">
    <w:name w:val="批注主题 字符"/>
    <w:link w:val="21"/>
    <w:autoRedefine/>
    <w:semiHidden/>
    <w:qFormat/>
    <w:uiPriority w:val="99"/>
    <w:rPr>
      <w:rFonts w:ascii="Times New Roman" w:hAnsi="Times New Roman" w:eastAsia="宋体" w:cs="Times New Roman"/>
      <w:b/>
      <w:bCs/>
      <w:kern w:val="2"/>
      <w:sz w:val="21"/>
    </w:rPr>
  </w:style>
  <w:style w:type="character" w:customStyle="1" w:styleId="36">
    <w:name w:val="apple-converted-space"/>
    <w:autoRedefine/>
    <w:qFormat/>
    <w:uiPriority w:val="0"/>
    <w:rPr>
      <w:rFonts w:ascii="Times New Roman" w:hAnsi="Times New Roman" w:eastAsia="宋体" w:cs="Times New Roman"/>
    </w:rPr>
  </w:style>
  <w:style w:type="character" w:customStyle="1" w:styleId="37">
    <w:name w:val="fontstyle01"/>
    <w:autoRedefine/>
    <w:qFormat/>
    <w:uiPriority w:val="0"/>
    <w:rPr>
      <w:rFonts w:ascii="宋体" w:hAnsi="宋体" w:eastAsia="宋体" w:cs="宋体"/>
      <w:color w:val="000000"/>
      <w:sz w:val="18"/>
      <w:szCs w:val="18"/>
    </w:rPr>
  </w:style>
  <w:style w:type="character" w:customStyle="1" w:styleId="38">
    <w:name w:val="标题 3 Char"/>
    <w:autoRedefine/>
    <w:qFormat/>
    <w:uiPriority w:val="0"/>
    <w:rPr>
      <w:rFonts w:ascii="仿宋_GB2312" w:hAnsi="Times New Roman" w:eastAsia="宋体" w:cs="Times New Roman"/>
      <w:b/>
      <w:bCs/>
      <w:kern w:val="2"/>
      <w:sz w:val="32"/>
      <w:szCs w:val="32"/>
      <w:lang w:val="en-US" w:eastAsia="zh-CN" w:bidi="ar-SA"/>
    </w:rPr>
  </w:style>
  <w:style w:type="paragraph" w:customStyle="1" w:styleId="39">
    <w:name w:val="普通文字"/>
    <w:basedOn w:val="1"/>
    <w:next w:val="1"/>
    <w:autoRedefine/>
    <w:qFormat/>
    <w:uiPriority w:val="0"/>
    <w:rPr>
      <w:rFonts w:ascii="宋体" w:hAnsi="Times New Roman" w:eastAsia="宋体"/>
      <w:kern w:val="0"/>
      <w:sz w:val="24"/>
      <w:u w:color="000000"/>
    </w:rPr>
  </w:style>
  <w:style w:type="paragraph" w:customStyle="1" w:styleId="40">
    <w:name w:val="font6"/>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41">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b/>
      <w:bCs/>
      <w:kern w:val="0"/>
      <w:sz w:val="24"/>
      <w:szCs w:val="24"/>
    </w:rPr>
  </w:style>
  <w:style w:type="paragraph" w:customStyle="1" w:styleId="42">
    <w:name w:val="p0"/>
    <w:basedOn w:val="1"/>
    <w:autoRedefine/>
    <w:qFormat/>
    <w:uiPriority w:val="99"/>
    <w:pPr>
      <w:widowControl/>
    </w:pPr>
    <w:rPr>
      <w:b/>
      <w:bCs/>
      <w:kern w:val="0"/>
      <w:sz w:val="24"/>
      <w:szCs w:val="24"/>
    </w:rPr>
  </w:style>
  <w:style w:type="paragraph" w:customStyle="1" w:styleId="43">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44">
    <w:name w:val="xl8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rPr>
  </w:style>
  <w:style w:type="paragraph" w:customStyle="1" w:styleId="45">
    <w:name w:val="xl9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rPr>
  </w:style>
  <w:style w:type="paragraph" w:customStyle="1" w:styleId="46">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47">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rPr>
  </w:style>
  <w:style w:type="paragraph" w:customStyle="1" w:styleId="48">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4"/>
      <w:szCs w:val="24"/>
    </w:rPr>
  </w:style>
  <w:style w:type="paragraph" w:customStyle="1" w:styleId="49">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50">
    <w:name w:val="xl108"/>
    <w:basedOn w:val="1"/>
    <w:autoRedefine/>
    <w:qFormat/>
    <w:uiPriority w:val="0"/>
    <w:pPr>
      <w:widowControl/>
      <w:spacing w:before="100" w:beforeAutospacing="1" w:after="100" w:afterAutospacing="1"/>
      <w:jc w:val="center"/>
      <w:textAlignment w:val="center"/>
    </w:pPr>
    <w:rPr>
      <w:rFonts w:ascii="宋体" w:hAnsi="宋体" w:cs="宋体"/>
      <w:b/>
      <w:bCs/>
      <w:kern w:val="0"/>
      <w:sz w:val="32"/>
      <w:szCs w:val="32"/>
    </w:rPr>
  </w:style>
  <w:style w:type="paragraph" w:customStyle="1" w:styleId="51">
    <w:name w:val="xl73"/>
    <w:basedOn w:val="1"/>
    <w:autoRedefine/>
    <w:qFormat/>
    <w:uiPriority w:val="0"/>
    <w:pPr>
      <w:widowControl/>
      <w:spacing w:before="100" w:beforeAutospacing="1" w:after="100" w:afterAutospacing="1"/>
      <w:jc w:val="left"/>
      <w:textAlignment w:val="center"/>
    </w:pPr>
    <w:rPr>
      <w:rFonts w:ascii="宋体" w:hAnsi="宋体" w:cs="宋体"/>
      <w:kern w:val="0"/>
      <w:sz w:val="18"/>
      <w:szCs w:val="18"/>
    </w:rPr>
  </w:style>
  <w:style w:type="paragraph" w:customStyle="1" w:styleId="52">
    <w:name w:val="Table Paragraph"/>
    <w:basedOn w:val="1"/>
    <w:autoRedefine/>
    <w:qFormat/>
    <w:uiPriority w:val="1"/>
    <w:pPr>
      <w:autoSpaceDE w:val="0"/>
      <w:autoSpaceDN w:val="0"/>
      <w:jc w:val="left"/>
    </w:pPr>
    <w:rPr>
      <w:rFonts w:ascii="宋体" w:hAnsi="宋体" w:cs="宋体"/>
      <w:kern w:val="0"/>
      <w:sz w:val="22"/>
      <w:szCs w:val="22"/>
      <w:lang w:val="zh-CN" w:bidi="zh-CN"/>
    </w:rPr>
  </w:style>
  <w:style w:type="paragraph" w:customStyle="1" w:styleId="53">
    <w:name w:val="xl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4"/>
      <w:szCs w:val="24"/>
    </w:rPr>
  </w:style>
  <w:style w:type="paragraph" w:customStyle="1" w:styleId="54">
    <w:name w:val="xl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szCs w:val="24"/>
    </w:rPr>
  </w:style>
  <w:style w:type="paragraph" w:customStyle="1" w:styleId="55">
    <w:name w:val="xl70"/>
    <w:basedOn w:val="1"/>
    <w:autoRedefine/>
    <w:qFormat/>
    <w:uiPriority w:val="0"/>
    <w:pPr>
      <w:widowControl/>
      <w:spacing w:before="100" w:beforeAutospacing="1" w:after="100" w:afterAutospacing="1"/>
      <w:jc w:val="left"/>
      <w:textAlignment w:val="center"/>
    </w:pPr>
    <w:rPr>
      <w:rFonts w:ascii="宋体" w:hAnsi="宋体" w:cs="宋体"/>
      <w:kern w:val="0"/>
      <w:sz w:val="18"/>
      <w:szCs w:val="18"/>
    </w:rPr>
  </w:style>
  <w:style w:type="paragraph" w:customStyle="1" w:styleId="56">
    <w:name w:val="xl9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4"/>
      <w:szCs w:val="24"/>
    </w:rPr>
  </w:style>
  <w:style w:type="paragraph" w:customStyle="1" w:styleId="57">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szCs w:val="24"/>
    </w:rPr>
  </w:style>
  <w:style w:type="paragraph" w:customStyle="1" w:styleId="58">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rPr>
  </w:style>
  <w:style w:type="paragraph" w:customStyle="1" w:styleId="59">
    <w:name w:val="p15"/>
    <w:basedOn w:val="1"/>
    <w:autoRedefine/>
    <w:qFormat/>
    <w:uiPriority w:val="99"/>
    <w:pPr>
      <w:widowControl/>
      <w:snapToGrid w:val="0"/>
      <w:jc w:val="left"/>
    </w:pPr>
    <w:rPr>
      <w:rFonts w:ascii="黑体" w:hAnsi="黑体" w:eastAsia="黑体" w:cs="宋体"/>
      <w:color w:val="000000"/>
      <w:kern w:val="0"/>
      <w:sz w:val="24"/>
      <w:szCs w:val="24"/>
    </w:rPr>
  </w:style>
  <w:style w:type="paragraph" w:customStyle="1" w:styleId="60">
    <w:name w:val="xl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szCs w:val="24"/>
    </w:rPr>
  </w:style>
  <w:style w:type="paragraph" w:customStyle="1" w:styleId="61">
    <w:name w:val="!正文"/>
    <w:basedOn w:val="1"/>
    <w:autoRedefine/>
    <w:qFormat/>
    <w:uiPriority w:val="0"/>
    <w:pPr>
      <w:spacing w:line="360" w:lineRule="auto"/>
      <w:ind w:firstLine="482" w:firstLineChars="200"/>
    </w:pPr>
    <w:rPr>
      <w:rFonts w:ascii="Times New Roman" w:hAnsi="Times New Roman" w:eastAsia="宋体"/>
      <w:b/>
      <w:bCs/>
      <w:snapToGrid w:val="0"/>
      <w:sz w:val="24"/>
    </w:rPr>
  </w:style>
  <w:style w:type="paragraph" w:customStyle="1" w:styleId="62">
    <w:name w:val="xl69"/>
    <w:basedOn w:val="1"/>
    <w:autoRedefine/>
    <w:qFormat/>
    <w:uiPriority w:val="0"/>
    <w:pPr>
      <w:widowControl/>
      <w:spacing w:before="100" w:beforeAutospacing="1" w:after="100" w:afterAutospacing="1"/>
      <w:jc w:val="left"/>
      <w:textAlignment w:val="center"/>
    </w:pPr>
    <w:rPr>
      <w:rFonts w:ascii="宋体" w:hAnsi="宋体" w:cs="宋体"/>
      <w:b/>
      <w:bCs/>
      <w:kern w:val="0"/>
      <w:sz w:val="18"/>
      <w:szCs w:val="18"/>
    </w:rPr>
  </w:style>
  <w:style w:type="paragraph" w:customStyle="1" w:styleId="63">
    <w:name w:val="xl88"/>
    <w:basedOn w:val="1"/>
    <w:autoRedefine/>
    <w:qFormat/>
    <w:uiPriority w:val="0"/>
    <w:pPr>
      <w:widowControl/>
      <w:spacing w:before="100" w:beforeAutospacing="1" w:after="100" w:afterAutospacing="1"/>
      <w:jc w:val="left"/>
      <w:textAlignment w:val="center"/>
    </w:pPr>
    <w:rPr>
      <w:rFonts w:ascii="宋体" w:hAnsi="宋体" w:cs="宋体"/>
      <w:b/>
      <w:bCs/>
      <w:kern w:val="0"/>
      <w:sz w:val="24"/>
      <w:szCs w:val="24"/>
    </w:rPr>
  </w:style>
  <w:style w:type="paragraph" w:customStyle="1" w:styleId="64">
    <w:name w:val="xl68"/>
    <w:basedOn w:val="1"/>
    <w:autoRedefine/>
    <w:qFormat/>
    <w:uiPriority w:val="0"/>
    <w:pPr>
      <w:widowControl/>
      <w:spacing w:before="100" w:beforeAutospacing="1" w:after="100" w:afterAutospacing="1"/>
      <w:jc w:val="left"/>
      <w:textAlignment w:val="center"/>
    </w:pPr>
    <w:rPr>
      <w:rFonts w:ascii="宋体" w:hAnsi="宋体" w:cs="宋体"/>
      <w:b/>
      <w:bCs/>
      <w:kern w:val="0"/>
      <w:sz w:val="24"/>
      <w:szCs w:val="24"/>
    </w:rPr>
  </w:style>
  <w:style w:type="paragraph" w:customStyle="1" w:styleId="65">
    <w:name w:val="xl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rPr>
  </w:style>
  <w:style w:type="paragraph" w:customStyle="1" w:styleId="66">
    <w:name w:val="xl105"/>
    <w:basedOn w:val="1"/>
    <w:autoRedefine/>
    <w:qFormat/>
    <w:uiPriority w:val="0"/>
    <w:pPr>
      <w:widowControl/>
      <w:spacing w:before="100" w:beforeAutospacing="1" w:after="100" w:afterAutospacing="1"/>
      <w:jc w:val="left"/>
      <w:textAlignment w:val="center"/>
    </w:pPr>
    <w:rPr>
      <w:rFonts w:ascii="宋体" w:hAnsi="宋体" w:cs="宋体"/>
      <w:kern w:val="0"/>
      <w:sz w:val="24"/>
      <w:szCs w:val="24"/>
    </w:rPr>
  </w:style>
  <w:style w:type="paragraph" w:customStyle="1" w:styleId="67">
    <w:name w:val="xl9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szCs w:val="24"/>
    </w:rPr>
  </w:style>
  <w:style w:type="paragraph" w:styleId="68">
    <w:name w:val="List Paragraph"/>
    <w:basedOn w:val="1"/>
    <w:autoRedefine/>
    <w:qFormat/>
    <w:uiPriority w:val="34"/>
    <w:pPr>
      <w:numPr>
        <w:ilvl w:val="0"/>
        <w:numId w:val="1"/>
      </w:numPr>
      <w:spacing w:after="160" w:line="278" w:lineRule="auto"/>
      <w:contextualSpacing/>
    </w:pPr>
    <w:rPr>
      <w:rFonts w:ascii="黑体" w:hAnsi="黑体" w:eastAsia="黑体" w:cs="宋体"/>
      <w:szCs w:val="21"/>
    </w:rPr>
  </w:style>
  <w:style w:type="paragraph" w:customStyle="1" w:styleId="69">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4"/>
      <w:szCs w:val="24"/>
    </w:rPr>
  </w:style>
  <w:style w:type="paragraph" w:customStyle="1" w:styleId="70">
    <w:name w:val="xl112"/>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71">
    <w:name w:val="xl10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4"/>
      <w:szCs w:val="24"/>
    </w:rPr>
  </w:style>
  <w:style w:type="paragraph" w:customStyle="1" w:styleId="72">
    <w:name w:val="xl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4"/>
      <w:szCs w:val="24"/>
    </w:rPr>
  </w:style>
  <w:style w:type="paragraph" w:customStyle="1" w:styleId="73">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rPr>
  </w:style>
  <w:style w:type="paragraph" w:customStyle="1" w:styleId="74">
    <w:name w:val="xl8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20"/>
    </w:rPr>
  </w:style>
  <w:style w:type="paragraph" w:customStyle="1" w:styleId="75">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szCs w:val="24"/>
    </w:rPr>
  </w:style>
  <w:style w:type="paragraph" w:customStyle="1" w:styleId="76">
    <w:name w:val="xl8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b/>
      <w:bCs/>
      <w:kern w:val="0"/>
      <w:sz w:val="20"/>
    </w:rPr>
  </w:style>
  <w:style w:type="paragraph" w:customStyle="1" w:styleId="77">
    <w:name w:val="xl10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78">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79">
    <w:name w:val="xl8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rPr>
  </w:style>
  <w:style w:type="paragraph" w:customStyle="1" w:styleId="80">
    <w:name w:val="xl106"/>
    <w:basedOn w:val="1"/>
    <w:autoRedefine/>
    <w:qFormat/>
    <w:uiPriority w:val="0"/>
    <w:pPr>
      <w:widowControl/>
      <w:spacing w:before="100" w:beforeAutospacing="1" w:after="100" w:afterAutospacing="1"/>
      <w:jc w:val="left"/>
      <w:textAlignment w:val="center"/>
    </w:pPr>
    <w:rPr>
      <w:rFonts w:ascii="宋体" w:hAnsi="宋体" w:cs="宋体"/>
      <w:kern w:val="0"/>
      <w:sz w:val="24"/>
      <w:szCs w:val="24"/>
    </w:rPr>
  </w:style>
  <w:style w:type="paragraph" w:customStyle="1" w:styleId="81">
    <w:name w:val="xl76"/>
    <w:basedOn w:val="1"/>
    <w:autoRedefine/>
    <w:qFormat/>
    <w:uiPriority w:val="0"/>
    <w:pPr>
      <w:widowControl/>
      <w:spacing w:before="100" w:beforeAutospacing="1" w:after="100" w:afterAutospacing="1"/>
      <w:jc w:val="left"/>
      <w:textAlignment w:val="center"/>
    </w:pPr>
    <w:rPr>
      <w:rFonts w:ascii="宋体" w:hAnsi="宋体" w:cs="宋体"/>
      <w:kern w:val="0"/>
      <w:sz w:val="18"/>
      <w:szCs w:val="18"/>
    </w:rPr>
  </w:style>
  <w:style w:type="paragraph" w:customStyle="1" w:styleId="82">
    <w:name w:val="xl87"/>
    <w:basedOn w:val="1"/>
    <w:autoRedefine/>
    <w:qFormat/>
    <w:uiPriority w:val="0"/>
    <w:pPr>
      <w:widowControl/>
      <w:spacing w:before="100" w:beforeAutospacing="1" w:after="100" w:afterAutospacing="1"/>
      <w:jc w:val="left"/>
      <w:textAlignment w:val="center"/>
    </w:pPr>
    <w:rPr>
      <w:rFonts w:ascii="宋体" w:hAnsi="宋体" w:cs="宋体"/>
      <w:kern w:val="0"/>
      <w:sz w:val="20"/>
    </w:rPr>
  </w:style>
  <w:style w:type="paragraph" w:customStyle="1" w:styleId="83">
    <w:name w:val="xl77"/>
    <w:basedOn w:val="1"/>
    <w:autoRedefine/>
    <w:qFormat/>
    <w:uiPriority w:val="0"/>
    <w:pPr>
      <w:widowControl/>
      <w:spacing w:before="100" w:beforeAutospacing="1" w:after="100" w:afterAutospacing="1"/>
      <w:jc w:val="left"/>
      <w:textAlignment w:val="center"/>
    </w:pPr>
    <w:rPr>
      <w:rFonts w:ascii="宋体" w:hAnsi="宋体" w:cs="宋体"/>
      <w:kern w:val="0"/>
      <w:sz w:val="24"/>
      <w:szCs w:val="24"/>
    </w:rPr>
  </w:style>
  <w:style w:type="paragraph" w:customStyle="1" w:styleId="84">
    <w:name w:val="Default"/>
    <w:autoRedefine/>
    <w:qFormat/>
    <w:uiPriority w:val="0"/>
    <w:pPr>
      <w:widowControl w:val="0"/>
      <w:autoSpaceDE w:val="0"/>
      <w:autoSpaceDN w:val="0"/>
      <w:adjustRightInd w:val="0"/>
    </w:pPr>
    <w:rPr>
      <w:rFonts w:ascii="宋体" w:hAnsi="Calibri" w:eastAsia="等线" w:cs="宋体"/>
      <w:color w:val="000000"/>
      <w:sz w:val="24"/>
      <w:szCs w:val="24"/>
      <w:lang w:val="en-US" w:eastAsia="zh-CN" w:bidi="ar-SA"/>
    </w:rPr>
  </w:style>
  <w:style w:type="paragraph" w:customStyle="1" w:styleId="85">
    <w:name w:val="xl9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rPr>
  </w:style>
  <w:style w:type="paragraph" w:customStyle="1" w:styleId="86">
    <w:name w:val="xl111"/>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87">
    <w:name w:val="xl103"/>
    <w:basedOn w:val="1"/>
    <w:autoRedefine/>
    <w:qFormat/>
    <w:uiPriority w:val="0"/>
    <w:pPr>
      <w:widowControl/>
      <w:spacing w:before="100" w:beforeAutospacing="1" w:after="100" w:afterAutospacing="1"/>
      <w:jc w:val="left"/>
      <w:textAlignment w:val="center"/>
    </w:pPr>
    <w:rPr>
      <w:rFonts w:ascii="宋体" w:hAnsi="宋体" w:cs="宋体"/>
      <w:b/>
      <w:bCs/>
      <w:kern w:val="0"/>
      <w:sz w:val="18"/>
      <w:szCs w:val="18"/>
    </w:rPr>
  </w:style>
  <w:style w:type="paragraph" w:customStyle="1" w:styleId="88">
    <w:name w:val="xl107"/>
    <w:basedOn w:val="1"/>
    <w:autoRedefine/>
    <w:qFormat/>
    <w:uiPriority w:val="0"/>
    <w:pPr>
      <w:widowControl/>
      <w:spacing w:before="100" w:beforeAutospacing="1" w:after="100" w:afterAutospacing="1"/>
      <w:jc w:val="left"/>
      <w:textAlignment w:val="center"/>
    </w:pPr>
    <w:rPr>
      <w:rFonts w:ascii="宋体" w:hAnsi="宋体" w:cs="宋体"/>
      <w:kern w:val="0"/>
      <w:sz w:val="24"/>
      <w:szCs w:val="24"/>
    </w:rPr>
  </w:style>
  <w:style w:type="paragraph" w:customStyle="1" w:styleId="89">
    <w:name w:val="msonormal"/>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90">
    <w:name w:val="xl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91">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4"/>
      <w:szCs w:val="24"/>
    </w:rPr>
  </w:style>
  <w:style w:type="paragraph" w:customStyle="1" w:styleId="92">
    <w:name w:val="xl9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rPr>
  </w:style>
  <w:style w:type="paragraph" w:customStyle="1" w:styleId="93">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b/>
      <w:bCs/>
      <w:kern w:val="0"/>
      <w:sz w:val="24"/>
      <w:szCs w:val="24"/>
    </w:rPr>
  </w:style>
  <w:style w:type="paragraph" w:customStyle="1" w:styleId="94">
    <w:name w:val="xl78"/>
    <w:basedOn w:val="1"/>
    <w:autoRedefine/>
    <w:qFormat/>
    <w:uiPriority w:val="0"/>
    <w:pPr>
      <w:widowControl/>
      <w:spacing w:before="100" w:beforeAutospacing="1" w:after="100" w:afterAutospacing="1"/>
      <w:jc w:val="left"/>
      <w:textAlignment w:val="center"/>
    </w:pPr>
    <w:rPr>
      <w:rFonts w:ascii="宋体" w:hAnsi="宋体" w:cs="宋体"/>
      <w:b/>
      <w:bCs/>
      <w:kern w:val="0"/>
      <w:sz w:val="24"/>
      <w:szCs w:val="24"/>
    </w:rPr>
  </w:style>
  <w:style w:type="paragraph" w:customStyle="1" w:styleId="95">
    <w:name w:val="xl90"/>
    <w:basedOn w:val="1"/>
    <w:autoRedefine/>
    <w:qFormat/>
    <w:uiPriority w:val="0"/>
    <w:pPr>
      <w:widowControl/>
      <w:spacing w:before="100" w:beforeAutospacing="1" w:after="100" w:afterAutospacing="1"/>
      <w:jc w:val="left"/>
      <w:textAlignment w:val="center"/>
    </w:pPr>
    <w:rPr>
      <w:rFonts w:ascii="宋体" w:hAnsi="宋体" w:cs="宋体"/>
      <w:b/>
      <w:bCs/>
      <w:kern w:val="0"/>
      <w:sz w:val="20"/>
    </w:rPr>
  </w:style>
  <w:style w:type="paragraph" w:customStyle="1" w:styleId="96">
    <w:name w:val="xl11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97">
    <w:name w:val="[Normal]"/>
    <w:autoRedefine/>
    <w:qFormat/>
    <w:uiPriority w:val="0"/>
    <w:rPr>
      <w:rFonts w:ascii="方正仿宋简体" w:hAnsi="方正仿宋简体" w:eastAsia="方正仿宋简体" w:cs="Courier New"/>
      <w:sz w:val="24"/>
      <w:szCs w:val="22"/>
      <w:lang w:val="zh-CN" w:eastAsia="zh-CN" w:bidi="ar-SA"/>
    </w:rPr>
  </w:style>
  <w:style w:type="table" w:customStyle="1" w:styleId="98">
    <w:name w:val="Table Normal"/>
    <w:autoRedefine/>
    <w:unhideWhenUsed/>
    <w:qFormat/>
    <w:uiPriority w:val="0"/>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99">
    <w:name w:val="正文1"/>
    <w:basedOn w:val="1"/>
    <w:next w:val="1"/>
    <w:autoRedefine/>
    <w:qFormat/>
    <w:uiPriority w:val="0"/>
    <w:rPr>
      <w:rFonts w:eastAsia="Calibri"/>
      <w:kern w:val="0"/>
      <w:lang w:val="zh-CN"/>
    </w:rPr>
  </w:style>
  <w:style w:type="paragraph" w:customStyle="1" w:styleId="100">
    <w:name w:val="Body text|1"/>
    <w:basedOn w:val="1"/>
    <w:autoRedefine/>
    <w:qFormat/>
    <w:uiPriority w:val="0"/>
    <w:pPr>
      <w:spacing w:line="391" w:lineRule="auto"/>
      <w:ind w:firstLine="400"/>
    </w:pPr>
    <w:rPr>
      <w:rFonts w:ascii="宋体" w:hAnsi="宋体" w:eastAsia="宋体" w:cs="宋体"/>
      <w:sz w:val="30"/>
      <w:szCs w:val="30"/>
      <w:lang w:val="zh-TW" w:eastAsia="zh-TW" w:bidi="zh-TW"/>
    </w:rPr>
  </w:style>
  <w:style w:type="paragraph" w:customStyle="1" w:styleId="101">
    <w:name w:val="Table caption|1"/>
    <w:basedOn w:val="1"/>
    <w:autoRedefine/>
    <w:qFormat/>
    <w:uiPriority w:val="0"/>
    <w:rPr>
      <w:rFonts w:ascii="宋体" w:hAnsi="宋体" w:eastAsia="宋体" w:cs="宋体"/>
      <w:lang w:val="zh-TW" w:eastAsia="zh-TW" w:bidi="zh-TW"/>
    </w:rPr>
  </w:style>
  <w:style w:type="paragraph" w:customStyle="1" w:styleId="102">
    <w:name w:val="Other|1"/>
    <w:basedOn w:val="1"/>
    <w:autoRedefine/>
    <w:qFormat/>
    <w:uiPriority w:val="0"/>
    <w:pPr>
      <w:spacing w:line="391" w:lineRule="auto"/>
      <w:ind w:firstLine="400"/>
    </w:pPr>
    <w:rPr>
      <w:rFonts w:ascii="宋体" w:hAnsi="宋体" w:eastAsia="宋体" w:cs="宋体"/>
      <w:sz w:val="30"/>
      <w:szCs w:val="30"/>
      <w:lang w:val="zh-TW" w:eastAsia="zh-TW" w:bidi="zh-TW"/>
    </w:rPr>
  </w:style>
  <w:style w:type="paragraph" w:customStyle="1" w:styleId="103">
    <w:name w:val="WPSOffice手动目录 1"/>
    <w:autoRedefine/>
    <w:qFormat/>
    <w:uiPriority w:val="0"/>
    <w:rPr>
      <w:rFonts w:ascii="Calibri" w:hAnsi="Calibri" w:eastAsia="等线" w:cs="Times New Roman"/>
      <w:lang w:val="en-US" w:eastAsia="zh-CN" w:bidi="ar-SA"/>
    </w:rPr>
  </w:style>
  <w:style w:type="paragraph" w:customStyle="1" w:styleId="104">
    <w:name w:val="标题 31"/>
    <w:basedOn w:val="1"/>
    <w:autoRedefine/>
    <w:qFormat/>
    <w:uiPriority w:val="1"/>
    <w:pPr>
      <w:spacing w:before="154"/>
      <w:ind w:left="540"/>
      <w:outlineLvl w:val="3"/>
    </w:pPr>
    <w:rPr>
      <w:b/>
      <w:bCs/>
      <w:sz w:val="24"/>
      <w:szCs w:val="24"/>
    </w:rPr>
  </w:style>
  <w:style w:type="paragraph" w:customStyle="1" w:styleId="105">
    <w:name w:val="正文 A"/>
    <w:autoRedefine/>
    <w:qFormat/>
    <w:uiPriority w:val="0"/>
    <w:pPr>
      <w:widowControl w:val="0"/>
      <w:jc w:val="both"/>
    </w:pPr>
    <w:rPr>
      <w:rFonts w:ascii="Times New Roman" w:hAnsi="Times New Roman" w:eastAsia="Times New Roman" w:cs="Times New Roman"/>
      <w:color w:val="000000"/>
      <w:kern w:val="2"/>
      <w:sz w:val="21"/>
      <w:szCs w:val="21"/>
      <w:u w:color="000000"/>
      <w:lang w:val="en-US" w:eastAsia="zh-CN" w:bidi="ar-SA"/>
    </w:rPr>
  </w:style>
  <w:style w:type="paragraph" w:customStyle="1" w:styleId="106">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07">
    <w:name w:val="标题 2 字符"/>
    <w:basedOn w:val="26"/>
    <w:link w:val="4"/>
    <w:autoRedefine/>
    <w:qFormat/>
    <w:uiPriority w:val="0"/>
    <w:rPr>
      <w:rFonts w:ascii="黑体" w:eastAsia="黑体"/>
      <w:b/>
      <w:bCs/>
      <w:snapToGrid w:val="0"/>
      <w:kern w:val="2"/>
      <w:sz w:val="24"/>
    </w:rPr>
  </w:style>
  <w:style w:type="character" w:customStyle="1" w:styleId="108">
    <w:name w:val="正文文本缩进 字符"/>
    <w:basedOn w:val="26"/>
    <w:link w:val="10"/>
    <w:autoRedefine/>
    <w:qFormat/>
    <w:uiPriority w:val="0"/>
    <w:rPr>
      <w:b/>
      <w:kern w:val="2"/>
      <w:sz w:val="30"/>
    </w:rPr>
  </w:style>
  <w:style w:type="character" w:customStyle="1" w:styleId="109">
    <w:name w:val="正文文本首行缩进 2 字符"/>
    <w:basedOn w:val="108"/>
    <w:link w:val="23"/>
    <w:autoRedefine/>
    <w:semiHidden/>
    <w:qFormat/>
    <w:uiPriority w:val="99"/>
    <w:rPr>
      <w:rFonts w:ascii="Calibri" w:hAnsi="Calibri" w:eastAsia="等线"/>
      <w:b w:val="0"/>
      <w:kern w:val="2"/>
      <w:sz w:val="21"/>
    </w:rPr>
  </w:style>
  <w:style w:type="character" w:customStyle="1" w:styleId="110">
    <w:name w:val="标题 4 字符"/>
    <w:basedOn w:val="26"/>
    <w:link w:val="6"/>
    <w:autoRedefine/>
    <w:qFormat/>
    <w:uiPriority w:val="9"/>
    <w:rPr>
      <w:rFonts w:asciiTheme="majorHAnsi" w:hAnsiTheme="majorHAnsi" w:eastAsiaTheme="majorEastAsia" w:cstheme="majorBidi"/>
      <w:b/>
      <w:bCs/>
      <w:kern w:val="2"/>
      <w:sz w:val="28"/>
      <w:szCs w:val="28"/>
    </w:rPr>
  </w:style>
  <w:style w:type="character" w:customStyle="1" w:styleId="111">
    <w:name w:val="正文文本 字符"/>
    <w:basedOn w:val="26"/>
    <w:link w:val="9"/>
    <w:autoRedefine/>
    <w:qFormat/>
    <w:uiPriority w:val="0"/>
    <w:rPr>
      <w:rFonts w:ascii="黑体" w:hAnsi="黑体" w:eastAsia="黑体" w:cs="宋体"/>
      <w:kern w:val="2"/>
      <w:sz w:val="21"/>
      <w:szCs w:val="21"/>
      <w:lang w:val="zh-CN" w:bidi="zh-CN"/>
    </w:rPr>
  </w:style>
  <w:style w:type="character" w:customStyle="1" w:styleId="112">
    <w:name w:val="正文文本首行缩进 字符"/>
    <w:basedOn w:val="111"/>
    <w:link w:val="22"/>
    <w:autoRedefine/>
    <w:semiHidden/>
    <w:qFormat/>
    <w:uiPriority w:val="99"/>
    <w:rPr>
      <w:rFonts w:ascii="Calibri" w:hAnsi="Calibri" w:eastAsia="等线" w:cs="宋体"/>
      <w:kern w:val="2"/>
      <w:sz w:val="21"/>
      <w:szCs w:val="18"/>
      <w:lang w:val="zh-CN" w:bidi="zh-CN"/>
    </w:rPr>
  </w:style>
  <w:style w:type="paragraph" w:customStyle="1" w:styleId="113">
    <w:name w:val="UserStyle_25"/>
    <w:autoRedefine/>
    <w:qFormat/>
    <w:uiPriority w:val="0"/>
    <w:pPr>
      <w:textAlignment w:val="baseline"/>
    </w:pPr>
    <w:rPr>
      <w:rFonts w:ascii="宋体" w:hAnsi="Calibri" w:eastAsia="宋体" w:cs="Times New Roman"/>
      <w:color w:val="000000"/>
      <w:kern w:val="2"/>
      <w:sz w:val="24"/>
      <w:szCs w:val="24"/>
      <w:lang w:val="en-US" w:eastAsia="zh-CN" w:bidi="ar-SA"/>
    </w:rPr>
  </w:style>
  <w:style w:type="paragraph" w:customStyle="1" w:styleId="114">
    <w:name w:val="表格文字"/>
    <w:basedOn w:val="1"/>
    <w:autoRedefine/>
    <w:qFormat/>
    <w:uiPriority w:val="0"/>
    <w:pPr>
      <w:jc w:val="center"/>
    </w:pPr>
    <w:rPr>
      <w:rFonts w:ascii="Univers" w:hAnsi="Univers" w:eastAsia="Calibri"/>
      <w:kern w:val="0"/>
      <w:lang w:val="en-GB"/>
    </w:rPr>
  </w:style>
  <w:style w:type="character" w:customStyle="1" w:styleId="115">
    <w:name w:val="标题 字符"/>
    <w:basedOn w:val="26"/>
    <w:link w:val="20"/>
    <w:qFormat/>
    <w:uiPriority w:val="0"/>
    <w:rPr>
      <w:sz w:val="48"/>
      <w:szCs w:val="48"/>
    </w:rPr>
  </w:style>
  <w:style w:type="paragraph" w:customStyle="1" w:styleId="116">
    <w:name w:val="普通(网站)1"/>
    <w:basedOn w:val="1"/>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117">
    <w:name w:val="正文缩进 字符"/>
    <w:link w:val="7"/>
    <w:autoRedefine/>
    <w:qFormat/>
    <w:uiPriority w:val="99"/>
    <w:rPr>
      <w:kern w:val="2"/>
      <w:sz w:val="21"/>
    </w:rPr>
  </w:style>
  <w:style w:type="character" w:customStyle="1" w:styleId="118">
    <w:name w:val="页眉 字符"/>
    <w:basedOn w:val="26"/>
    <w:link w:val="16"/>
    <w:qFormat/>
    <w:uiPriority w:val="0"/>
    <w:rPr>
      <w:kern w:val="2"/>
      <w:sz w:val="18"/>
    </w:rPr>
  </w:style>
  <w:style w:type="character" w:customStyle="1" w:styleId="119">
    <w:name w:val="页脚 字符"/>
    <w:basedOn w:val="26"/>
    <w:link w:val="15"/>
    <w:qFormat/>
    <w:uiPriority w:val="99"/>
    <w:rPr>
      <w:kern w:val="2"/>
      <w:sz w:val="18"/>
    </w:rPr>
  </w:style>
  <w:style w:type="paragraph" w:customStyle="1" w:styleId="120">
    <w:name w:val="Table Text"/>
    <w:basedOn w:val="1"/>
    <w:semiHidden/>
    <w:qFormat/>
    <w:uiPriority w:val="0"/>
    <w:pPr>
      <w:widowControl/>
      <w:kinsoku w:val="0"/>
      <w:autoSpaceDE w:val="0"/>
      <w:autoSpaceDN w:val="0"/>
      <w:adjustRightInd w:val="0"/>
      <w:snapToGrid w:val="0"/>
      <w:jc w:val="left"/>
      <w:textAlignment w:val="baseline"/>
    </w:pPr>
    <w:rPr>
      <w:rFonts w:ascii="仿宋" w:hAnsi="仿宋" w:eastAsia="仿宋" w:cs="仿宋"/>
      <w:snapToGrid w:val="0"/>
      <w:color w:val="000000"/>
      <w:kern w:val="0"/>
      <w:sz w:val="24"/>
      <w:szCs w:val="24"/>
      <w:lang w:eastAsia="en-US"/>
    </w:rPr>
  </w:style>
  <w:style w:type="character" w:customStyle="1" w:styleId="121">
    <w:name w:val="NormalCharacter"/>
    <w:semiHidden/>
    <w:qFormat/>
    <w:uiPriority w:val="0"/>
  </w:style>
  <w:style w:type="paragraph" w:customStyle="1" w:styleId="122">
    <w:name w:val="修订1"/>
    <w:hidden/>
    <w:unhideWhenUsed/>
    <w:qFormat/>
    <w:uiPriority w:val="99"/>
    <w:rPr>
      <w:rFonts w:ascii="Calibri" w:hAnsi="Calibri" w:eastAsia="等线"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ntractReview xmlns="http://schemas.wps.cn/vas-ai-hub/contract-review">
  <reviewItems>
    <reviewItem>
      <errorID>1a819a2a-9d78-4c2f-88b2-f4ac6ea703d4</errorID>
      <errorWord>[2026]</errorWord>
      <group>L1_Punc</group>
      <groupName>标点问题</groupName>
      <ability>L2_Punc</ability>
      <abilityName>标点符号检查</abilityName>
      <candidateList>
        <item>〔2026〕</item>
      </candidateList>
      <explain/>
      <paraID>597D1912</paraID>
      <start>7</start>
      <end>13</end>
      <status>unmodified</status>
      <modifiedWord/>
      <trackRevisions>false</trackRevisions>
    </reviewItem>
    <reviewItem>
      <errorID>a0f6e729-8643-47e4-a914-23c3b8a71a39</errorID>
      <errorWord>2026年03月</errorWord>
      <group>L1_Knowledge</group>
      <groupName>知识性问题</groupName>
      <ability>L2_Time</ability>
      <abilityName>日期时间</abilityName>
      <candidateList>
        <item>2026年3月</item>
      </candidateList>
      <explain>根据日常书写习惯，月份一般会省略前导零。</explain>
      <paraID> 33D66C0</paraID>
      <start>84</start>
      <end>91</end>
      <status>modified</status>
      <modifiedWord>2026年3月</modifiedWord>
      <trackRevisions>false</trackRevisions>
    </reviewItem>
    <reviewItem>
      <errorID>2c370e0d-d1d9-4d2a-aa55-a9b70e1f3db9</errorID>
      <errorWord>[2026]</errorWord>
      <group>L1_Punc</group>
      <groupName>标点问题</groupName>
      <ability>L2_Punc</ability>
      <abilityName>标点符号检查</abilityName>
      <candidateList>
        <item>〔2026〕</item>
      </candidateList>
      <explain/>
      <paraID>25A4D5A9</paraID>
      <start>7</start>
      <end>13</end>
      <status>unmodified</status>
      <modifiedWord/>
      <trackRevisions>false</trackRevisions>
    </reviewItem>
    <reviewItem>
      <errorID>0224b0de-98c5-450c-b40c-83a491d4b2d1</errorID>
      <errorWord>;</errorWord>
      <group>L1_Format</group>
      <groupName>格式问题</groupName>
      <ability>L2_HalfPunc</ability>
      <abilityName>全半角检查</abilityName>
      <candidateList>
        <item>；</item>
      </candidateList>
      <explain>文本全半角错误。</explain>
      <paraID>2F54328E</paraID>
      <start>8</start>
      <end>9</end>
      <status>unmodified</status>
      <modifiedWord/>
      <trackRevisions>false</trackRevisions>
    </reviewItem>
    <reviewItem>
      <errorID>72eb9c44-003e-4db8-b9ad-6e3bf56b3256</errorID>
      <errorWord>（</errorWord>
      <group>L1_Punc</group>
      <groupName>标点问题</groupName>
      <ability>L2_Punc</ability>
      <abilityName>标点符号检查</abilityName>
      <candidateList/>
      <explain>同一形式括号套用。</explain>
      <paraID>152CFF84</paraID>
      <start>40</start>
      <end>41</end>
      <status>unmodified</status>
      <modifiedWord/>
      <trackRevisions>false</trackRevisions>
    </reviewItem>
    <reviewItem>
      <errorID>783b3556-c438-4982-a819-83cf54234b69</errorID>
      <errorWord>）</errorWord>
      <group>L1_Punc</group>
      <groupName>标点问题</groupName>
      <ability>L2_Punc</ability>
      <abilityName>标点符号检查</abilityName>
      <candidateList/>
      <explain>同一形式括号套用。</explain>
      <paraID>152CFF84</paraID>
      <start>46</start>
      <end>47</end>
      <status>unmodified</status>
      <modifiedWord/>
      <trackRevisions>false</trackRevisions>
    </reviewItem>
    <reviewItem>
      <errorID>d12ac237-35f0-4252-9732-affca9098e33</errorID>
      <errorWord>(</errorWord>
      <group>L1_Format</group>
      <groupName>格式问题</groupName>
      <ability>L2_HalfPunc</ability>
      <abilityName>全半角检查</abilityName>
      <candidateList>
        <item>（</item>
      </candidateList>
      <explain>文本全半角错误。</explain>
      <paraID>7A5ADF17</paraID>
      <start>77</start>
      <end>78</end>
      <status>unmodified</status>
      <modifiedWord/>
      <trackRevisions>false</trackRevisions>
    </reviewItem>
    <reviewItem>
      <errorID>c7049b4b-e654-4bc3-ad1b-f19ba7d86772</errorID>
      <errorWord>)</errorWord>
      <group>L1_Format</group>
      <groupName>格式问题</groupName>
      <ability>L2_HalfPunc</ability>
      <abilityName>全半角检查</abilityName>
      <candidateList>
        <item>）</item>
      </candidateList>
      <explain>文本全半角错误。</explain>
      <paraID>7A5ADF17</paraID>
      <start>100</start>
      <end>101</end>
      <status>unmodified</status>
      <modifiedWord/>
      <trackRevisions>false</trackRevisions>
    </reviewItem>
    <reviewItem>
      <errorID>6347c28f-7c5c-4883-95a5-cffeb0cde183</errorID>
      <errorWord>(</errorWord>
      <group>L1_Format</group>
      <groupName>格式问题</groupName>
      <ability>L2_HalfPunc</ability>
      <abilityName>全半角检查</abilityName>
      <candidateList>
        <item>（</item>
      </candidateList>
      <explain>文本全半角错误。</explain>
      <paraID>7A5ADF17</paraID>
      <start>111</start>
      <end>112</end>
      <status>unmodified</status>
      <modifiedWord/>
      <trackRevisions>false</trackRevisions>
    </reviewItem>
    <reviewItem>
      <errorID>1ffe6a97-396a-4c6d-a73f-5fd5454b71f3</errorID>
      <errorWord>)</errorWord>
      <group>L1_Format</group>
      <groupName>格式问题</groupName>
      <ability>L2_HalfPunc</ability>
      <abilityName>全半角检查</abilityName>
      <candidateList>
        <item>）</item>
      </candidateList>
      <explain>文本全半角错误。</explain>
      <paraID>7A5ADF17</paraID>
      <start>127</start>
      <end>128</end>
      <status>unmodified</status>
      <modifiedWord/>
      <trackRevisions>false</trackRevisions>
    </reviewItem>
    <reviewItem>
      <errorID>821b748c-379b-43f8-b6b6-7628d4f8b516</errorID>
      <errorWord>日</errorWord>
      <group>L1_Word</group>
      <groupName>字词问题</groupName>
      <ability>L2_Typo</ability>
      <abilityName>字词错误</abilityName>
      <candidateList>
        <item>日内</item>
      </candidateList>
      <explain/>
      <paraID>6A139219</paraID>
      <start>21</start>
      <end>22</end>
      <status>unmodified</status>
      <modifiedWord/>
      <trackRevisions>false</trackRevisions>
    </reviewItem>
    <reviewItem>
      <errorID>fea0f99a-02a8-4ea5-95cd-949f389176e3</errorID>
      <errorWord>下午14：00</errorWord>
      <group>L1_Knowledge</group>
      <groupName>知识性问题</groupName>
      <ability>L2_Time</ability>
      <abilityName>日期时间</abilityName>
      <candidateList>
        <item>14:00</item>
      </candidateList>
      <explain>24小时制的时间，不需要强调“下午”，并且冒号应使用半角。</explain>
      <paraID>1621165C</paraID>
      <start>28</start>
      <end>35</end>
      <status>unmodified</status>
      <modifiedWord/>
      <trackRevisions>false</trackRevisions>
    </reviewItem>
    <reviewItem>
      <errorID>0a07e290-fd37-41cf-a21a-365c383fc40b</errorID>
      <errorWord>下午14：30</errorWord>
      <group>L1_Knowledge</group>
      <groupName>知识性问题</groupName>
      <ability>L2_Time</ability>
      <abilityName>日期时间</abilityName>
      <candidateList>
        <item>14:30</item>
      </candidateList>
      <explain>24小时制的时间，不需要强调“下午”，并且冒号应使用半角。</explain>
      <paraID> E637881</paraID>
      <start>27</start>
      <end>34</end>
      <status>unmodified</status>
      <modifiedWord/>
      <trackRevisions>false</trackRevisions>
    </reviewItem>
    <reviewItem>
      <errorID>ba8f8cdf-721b-4c03-8644-26f3dff4934c</errorID>
      <errorWord>下午14：30</errorWord>
      <group>L1_Knowledge</group>
      <groupName>知识性问题</groupName>
      <ability>L2_Time</ability>
      <abilityName>日期时间</abilityName>
      <candidateList>
        <item>14:30</item>
      </candidateList>
      <explain>24小时制的时间，不需要强调“下午”，并且冒号应使用半角。</explain>
      <paraID>71A342A9</paraID>
      <start>19</start>
      <end>26</end>
      <status>unmodified</status>
      <modifiedWord/>
      <trackRevisions>false</trackRevisions>
    </reviewItem>
    <reviewItem>
      <errorID>608b1b34-f585-49a4-b0c9-c50e99eb68f6</errorID>
      <errorWord>同小</errorWord>
      <group>L1_Word</group>
      <groupName>字词问题</groupName>
      <ability>L2_Typo</ability>
      <abilityName>字词错误</abilityName>
      <candidateList>
        <item>中小</item>
      </candidateList>
      <explain/>
      <paraID>340A31DF</paraID>
      <start>15</start>
      <end>17</end>
      <status>unmodified</status>
      <modifiedWord/>
      <trackRevisions>false</trackRevisions>
    </reviewItem>
    <reviewItem>
      <errorID>21c845af-a470-46d3-96e2-6bca1eca6c1a</errorID>
      <errorWord>(</errorWord>
      <group>L1_Format</group>
      <groupName>格式问题</groupName>
      <ability>L2_HalfPunc</ability>
      <abilityName>全半角检查</abilityName>
      <candidateList>
        <item>（</item>
      </candidateList>
      <explain>文本全半角错误。</explain>
      <paraID>7610691A</paraID>
      <start>24</start>
      <end>25</end>
      <status>unmodified</status>
      <modifiedWord/>
      <trackRevisions>false</trackRevisions>
    </reviewItem>
    <reviewItem>
      <errorID>695ae754-c844-4bee-8bdf-ca2867b2a3b8</errorID>
      <errorWord>)</errorWord>
      <group>L1_Format</group>
      <groupName>格式问题</groupName>
      <ability>L2_HalfPunc</ability>
      <abilityName>全半角检查</abilityName>
      <candidateList>
        <item>）</item>
      </candidateList>
      <explain>文本全半角错误。</explain>
      <paraID>7610691A</paraID>
      <start>29</start>
      <end>30</end>
      <status>unmodified</status>
      <modifiedWord/>
      <trackRevisions>false</trackRevisions>
    </reviewItem>
    <reviewItem>
      <errorID>e663f9c0-7269-4363-b1c4-c7bdf82b2f3a</errorID>
      <errorWord>(</errorWord>
      <group>L1_Format</group>
      <groupName>格式问题</groupName>
      <ability>L2_HalfPunc</ability>
      <abilityName>全半角检查</abilityName>
      <candidateList>
        <item>（</item>
      </candidateList>
      <explain>文本全半角错误。</explain>
      <paraID>6F0EF944</paraID>
      <start>24</start>
      <end>25</end>
      <status>unmodified</status>
      <modifiedWord/>
      <trackRevisions>false</trackRevisions>
    </reviewItem>
    <reviewItem>
      <errorID>a3feef4d-f826-44a4-ad04-325b153b7ee6</errorID>
      <errorWord>)</errorWord>
      <group>L1_Format</group>
      <groupName>格式问题</groupName>
      <ability>L2_HalfPunc</ability>
      <abilityName>全半角检查</abilityName>
      <candidateList>
        <item>）</item>
      </candidateList>
      <explain>文本全半角错误。</explain>
      <paraID>6F0EF944</paraID>
      <start>29</start>
      <end>30</end>
      <status>unmodified</status>
      <modifiedWord/>
      <trackRevisions>false</trackRevisions>
    </reviewItem>
    <reviewItem>
      <errorID>b6042db8-1c5c-42e3-9aff-3de58265b3be</errorID>
      <errorWord>(</errorWord>
      <group>L1_Format</group>
      <groupName>格式问题</groupName>
      <ability>L2_HalfPunc</ability>
      <abilityName>全半角检查</abilityName>
      <candidateList>
        <item>（</item>
      </candidateList>
      <explain>文本全半角错误。</explain>
      <paraID>1E96D69D</paraID>
      <start>15</start>
      <end>16</end>
      <status>unmodified</status>
      <modifiedWord/>
      <trackRevisions>false</trackRevisions>
    </reviewItem>
    <reviewItem>
      <errorID>3815ff4b-b61d-430e-b857-7319d4a5e300</errorID>
      <errorWord>)</errorWord>
      <group>L1_Format</group>
      <groupName>格式问题</groupName>
      <ability>L2_HalfPunc</ability>
      <abilityName>全半角检查</abilityName>
      <candidateList>
        <item>）</item>
      </candidateList>
      <explain>文本全半角错误。</explain>
      <paraID>1E96D69D</paraID>
      <start>19</start>
      <end>20</end>
      <status>unmodified</status>
      <modifiedWord/>
      <trackRevisions>false</trackRevisions>
    </reviewItem>
    <reviewItem>
      <errorID>a2f86a8a-f51d-4794-a35a-761714aa35fc</errorID>
      <errorWord>)</errorWord>
      <group>L1_Format</group>
      <groupName>格式问题</groupName>
      <ability>L2_HalfPunc</ability>
      <abilityName>全半角检查</abilityName>
      <candidateList>
        <item>）</item>
      </candidateList>
      <explain>文本全半角错误。</explain>
      <paraID>66960176</paraID>
      <start>76</start>
      <end>77</end>
      <status>unmodified</status>
      <modifiedWord/>
      <trackRevisions>false</trackRevisions>
    </reviewItem>
    <reviewItem>
      <errorID>bfbd8928-af3a-4904-a6ff-1d9a2c39d814</errorID>
      <errorWord>)</errorWord>
      <group>L1_Format</group>
      <groupName>格式问题</groupName>
      <ability>L2_HalfPunc</ability>
      <abilityName>全半角检查</abilityName>
      <candidateList>
        <item>）</item>
      </candidateList>
      <explain>文本全半角错误。</explain>
      <paraID>66960176</paraID>
      <start>101</start>
      <end>102</end>
      <status>unmodified</status>
      <modifiedWord/>
      <trackRevisions>false</trackRevisions>
    </reviewItem>
    <reviewItem>
      <errorID>eb907ebe-9553-49dc-94a6-d405590c9475</errorID>
      <errorWord>，</errorWord>
      <group>L1_Word</group>
      <groupName>字词问题</groupName>
      <ability>L2_Typo</ability>
      <abilityName>字词错误</abilityName>
      <candidateList>
        <item>，对</item>
      </candidateList>
      <explain/>
      <paraID>66190315</paraID>
      <start>98</start>
      <end>99</end>
      <status>unmodified</status>
      <modifiedWord/>
      <trackRevisions>false</trackRevisions>
    </reviewItem>
    <reviewItem>
      <errorID>6c364249-e6f2-47da-bfb9-7f92675309d6</errorID>
      <errorWord>[2002]1980号</errorWord>
      <group>L1_Knowledge</group>
      <groupName>知识性问题</groupName>
      <ability>L2_Knowledge</ability>
      <abilityName>其他知识</abilityName>
      <candidateList>
        <item>〔2002〕1980号</item>
      </candidateList>
      <explain>发文字号格式错误。</explain>
      <paraID>5B3182BA</paraID>
      <start>17</start>
      <end>28</end>
      <status>unmodified</status>
      <modifiedWord/>
      <trackRevisions>false</trackRevisions>
    </reviewItem>
    <reviewItem>
      <errorID>33f25d66-72c4-4e15-95be-39527556e8b1</errorID>
      <errorWord>如须</errorWord>
      <group>L1_Word</group>
      <groupName>字词问题</groupName>
      <ability>L2_Typo</ability>
      <abilityName>字词错误</abilityName>
      <candidateList>
        <item>如需</item>
      </candidateList>
      <explain/>
      <paraID>2BDE8757</paraID>
      <start>6</start>
      <end>8</end>
      <status>unmodified</status>
      <modifiedWord/>
      <trackRevisions>false</trackRevisions>
    </reviewItem>
    <reviewItem>
      <errorID>c7282507-def7-4616-bb4e-7cac58cbb66f</errorID>
      <errorWord>书面表式</errorWord>
      <group>L1_Word</group>
      <groupName>字词问题</groupName>
      <ability>L2_Typo</ability>
      <abilityName>字词错误</abilityName>
      <candidateList>
        <item>书面形式</item>
      </candidateList>
      <explain/>
      <paraID>2BDE8757</paraID>
      <start>85</start>
      <end>89</end>
      <status>modified</status>
      <modifiedWord>书面形式</modifiedWord>
      <trackRevisions>false</trackRevisions>
    </reviewItem>
    <reviewItem>
      <errorID>9780d3d1-ba2e-4686-abbb-a82c6e044906</errorID>
      <errorWord>【2021】5号</errorWord>
      <group>L1_Knowledge</group>
      <groupName>知识性问题</groupName>
      <ability>L2_Knowledge</ability>
      <abilityName>其他知识</abilityName>
      <candidateList>
        <item>〔2021〕5号</item>
      </candidateList>
      <explain>发文字号格式错误。</explain>
      <paraID>1B2647FD</paraID>
      <start>35</start>
      <end>43</end>
      <status>unmodified</status>
      <modifiedWord/>
      <trackRevisions>false</trackRevisions>
    </reviewItem>
    <reviewItem>
      <errorID>0d0d4c94-c265-423d-ad54-bdf7fa3aa187</errorID>
      <errorWord>须</errorWord>
      <group>L1_Word</group>
      <groupName>字词问题</groupName>
      <ability>L2_Typo</ability>
      <abilityName>字词错误</abilityName>
      <candidateList>
        <item>需</item>
      </candidateList>
      <explain>存在发音相同字词的误用。</explain>
      <paraID> 8723AEF</paraID>
      <start>36</start>
      <end>37</end>
      <status>unmodified</status>
      <modifiedWord/>
      <trackRevisions>false</trackRevisions>
    </reviewItem>
    <reviewItem>
      <errorID>774d751d-12c0-4083-b2b5-099bac5fc194</errorID>
      <errorWord>对于</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214B9135</paraID>
      <start>3</start>
      <end>5</end>
      <status>unmodified</status>
      <modifiedWord/>
      <trackRevisions>false</trackRevisions>
    </reviewItem>
    <reviewItem>
      <errorID>cd43eb66-11a4-4fc2-acf8-1448442d7b84</errorID>
      <errorWord>退色</errorWord>
      <group>L1_Word</group>
      <groupName>字词问题</groupName>
      <ability>L2_Alias</ability>
      <abilityName>也作/曾用词</abilityName>
      <candidateList>
        <item>褪色</item>
      </candidateList>
      <explain>词汇[退色]为不规范表述或旧称，其规范书面表述为[褪色]。</explain>
      <paraID>25B7581E</paraID>
      <start>23</start>
      <end>25</end>
      <status>modified</status>
      <modifiedWord>褪色</modifiedWord>
      <trackRevisions>false</trackRevisions>
    </reviewItem>
    <reviewItem>
      <errorID>c4644017-7929-47cc-8dbb-f5f22cca5125</errorID>
      <errorWord>[2026]</errorWord>
      <group>L1_Punc</group>
      <groupName>标点问题</groupName>
      <ability>L2_Punc</ability>
      <abilityName>标点符号检查</abilityName>
      <candidateList>
        <item>〔2026〕</item>
      </candidateList>
      <explain/>
      <paraID>6FD96FF2</paraID>
      <start>10</start>
      <end>16</end>
      <status>unmodified</status>
      <modifiedWord/>
      <trackRevisions>false</trackRevisions>
    </reviewItem>
    <reviewItem>
      <errorID>bc33d04b-2503-4ddf-84ba-4613454db640</errorID>
      <errorWord>间</errorWord>
      <group>L1_Word</group>
      <groupName>字词问题</groupName>
      <ability>L2_Typo</ability>
      <abilityName>字词错误</abilityName>
      <candidateList>
        <item>间之</item>
      </candidateList>
      <explain/>
      <paraID>3CD58B61</paraID>
      <start>41</start>
      <end>42</end>
      <status>unmodified</status>
      <modifiedWord/>
      <trackRevisions>false</trackRevisions>
    </reviewItem>
    <reviewItem>
      <errorID>17b2411d-fcbd-4f4a-a89e-bbac5d3e2651</errorID>
      <errorWord>这段期间</errorWord>
      <group>L1_Word</group>
      <groupName>字词问题</groupName>
      <ability>L2_Alias</ability>
      <abilityName>也作/曾用词</abilityName>
      <candidateList>
        <item>这段时间</item>
      </candidateList>
      <explain>词汇[这段期间]为不规范表述或旧称，其规范书面表述为[这段时间]。</explain>
      <paraID>5FBD1BE7</paraID>
      <start>41</start>
      <end>45</end>
      <status>unmodified</status>
      <modifiedWord/>
      <trackRevisions>false</trackRevisions>
    </reviewItem>
    <reviewItem>
      <errorID>c3612256-5b6c-4093-8106-85baa76d8a1c</errorID>
      <errorWord>不</errorWord>
      <group>L1_Word</group>
      <groupName>字词问题</groupName>
      <ability>L2_Typo</ability>
      <abilityName>字词错误</abilityName>
      <candidateList>
        <item>不符</item>
      </candidateList>
      <explain/>
      <paraID>3C628405</paraID>
      <start>53</start>
      <end>54</end>
      <status>unmodified</status>
      <modifiedWord/>
      <trackRevisions>false</trackRevisions>
    </reviewItem>
    <reviewItem>
      <errorID>85fc03c8-692a-4073-af83-17c9372de5b4</errorID>
      <errorWord>法律、法规</errorWord>
      <group>L1_Word</group>
      <groupName>字词问题</groupName>
      <ability>L2_Typo</ability>
      <abilityName>字词错误</abilityName>
      <candidateList>
        <item>法律法规</item>
      </candidateList>
      <explain/>
      <paraID>52BBD500</paraID>
      <start>6</start>
      <end>10</end>
      <status>modified</status>
      <modifiedWord>法律法规</modifiedWord>
      <trackRevisions>false</trackRevisions>
    </reviewItem>
    <reviewItem>
      <errorID>cd9992ef-9c19-4a2d-9128-70297227320c</errorID>
      <errorWord>法律、法规</errorWord>
      <group>L1_Word</group>
      <groupName>字词问题</groupName>
      <ability>L2_Typo</ability>
      <abilityName>字词错误</abilityName>
      <candidateList>
        <item>法律法规</item>
      </candidateList>
      <explain/>
      <paraID>143E586B</paraID>
      <start>6</start>
      <end>10</end>
      <status>modified</status>
      <modifiedWord>法律法规</modifiedWord>
      <trackRevisions>false</trackRevisions>
    </reviewItem>
    <reviewItem>
      <errorID>2a542d43-d220-44e6-b727-ec9faf300668</errorID>
      <errorWord>采购采购</errorWord>
      <group>L1_Word</group>
      <groupName>字词问题</groupName>
      <ability>L2_Typo</ability>
      <abilityName>字词错误</abilityName>
      <candidateList>
        <item>采购</item>
      </candidateList>
      <explain>❶〈动〉选择购买（多指为机关或企业）：～员｜～建筑材料。❷〈名〉担任采购工作的人：他在食堂当～。</explain>
      <paraID>36D2C582</paraID>
      <start>5</start>
      <end>7</end>
      <status>modified</status>
      <modifiedWord>采购</modifiedWord>
      <trackRevisions>false</trackRevisions>
    </reviewItem>
    <reviewItem>
      <errorID>5598a4f6-73f3-4d09-8376-296f43de3911</errorID>
      <errorWord>不</errorWord>
      <group>L1_Word</group>
      <groupName>字词问题</groupName>
      <ability>L2_Typo</ability>
      <abilityName>字词错误</abilityName>
      <candidateList>
        <item>不符</item>
      </candidateList>
      <explain/>
      <paraID>71661F18</paraID>
      <start>241</start>
      <end>242</end>
      <status>unmodified</status>
      <modifiedWord/>
      <trackRevisions>false</trackRevisions>
    </reviewItem>
    <reviewItem>
      <errorID>eaa0484b-3d89-44d0-b8d3-be8e9eee3aff</errorID>
      <errorWord>做出</errorWord>
      <group>L1_Word</group>
      <groupName>字词问题</groupName>
      <ability>L2_Typo</ability>
      <abilityName>字词错误</abilityName>
      <candidateList>
        <item>作出</item>
      </candidateList>
      <explain/>
      <paraID>754904F2</paraID>
      <start>32</start>
      <end>34</end>
      <status>unmodified</status>
      <modifiedWord/>
      <trackRevisions>false</trackRevisions>
    </reviewItem>
    <reviewItem>
      <errorID>a0df9f34-513c-4b9c-ac75-d3f228302570</errorID>
      <errorWord>26．</errorWord>
      <group>L1_Format</group>
      <groupName>格式问题</groupName>
      <ability>L2_Ordinal</ability>
      <abilityName>序号格式</abilityName>
      <candidateList>
        <item>26.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D4FA696</paraID>
      <start>0</start>
      <end>3</end>
      <status>unmodified</status>
      <modifiedWord/>
      <trackRevisions>false</trackRevisions>
    </reviewItem>
    <reviewItem>
      <errorID>f10b5f22-f722-4188-817e-2f258f31def3</errorID>
      <errorWord>底</errorWord>
      <group>L1_Word</group>
      <groupName>字词问题</groupName>
      <ability>L2_Typo</ability>
      <abilityName>字词错误</abilityName>
      <candidateList>
        <item>低</item>
      </candidateList>
      <explain>❶〈形〉从下向上距离小；离地面近（跟“高”相对，▲▲同）：～空｜飞机～飞绕场一周｜水位降～了。❷〈形〉在一般标准或平均程度之下：～地｜声音太～｜眼高手～。❸〈形〉等级在下的：～年级学生｜我比哥哥～一班。❹〈动〉（头）向下垂：～着头。</explain>
      <paraID>43B686E8</paraID>
      <start>81</start>
      <end>82</end>
      <status>modified</status>
      <modifiedWord>低</modifiedWord>
      <trackRevisions>false</trackRevisions>
    </reviewItem>
    <reviewItem>
      <errorID>6d301194-e9e0-49c9-8f3e-8a978b9b7083</errorID>
      <errorWord>釆购</errorWord>
      <group>L1_Word</group>
      <groupName>字词问题</groupName>
      <ability>L2_Typo</ability>
      <abilityName>字词错误</abilityName>
      <candidateList>
        <item>采购</item>
      </candidateList>
      <explain>❶〈动〉选择购买（多指为机关或企业）：～员｜～建筑材料。❷〈名〉担任采购工作的人：他在食堂当～。</explain>
      <paraID>1CBE1B3E</paraID>
      <start>49</start>
      <end>51</end>
      <status>modified</status>
      <modifiedWord>采购</modifiedWord>
      <trackRevisions>false</trackRevisions>
    </reviewItem>
    <reviewItem>
      <errorID>4f229fc3-bb72-48bb-812d-1d18109d95a0</errorID>
      <errorWord>釆购</errorWord>
      <group>L1_Word</group>
      <groupName>字词问题</groupName>
      <ability>L2_Typo</ability>
      <abilityName>字词错误</abilityName>
      <candidateList>
        <item>采购</item>
      </candidateList>
      <explain>❶〈动〉选择购买（多指为机关或企业）：～员｜～建筑材料。❷〈名〉担任采购工作的人：他在食堂当～。</explain>
      <paraID>1CBE1B3E</paraID>
      <start>71</start>
      <end>73</end>
      <status>modified</status>
      <modifiedWord>采购</modifiedWord>
      <trackRevisions>false</trackRevisions>
    </reviewItem>
    <reviewItem>
      <errorID>27c2df45-6c64-4a2b-abeb-f5d5bf961c68</errorID>
      <errorWord>釆购</errorWord>
      <group>L1_Word</group>
      <groupName>字词问题</groupName>
      <ability>L2_Typo</ability>
      <abilityName>字词错误</abilityName>
      <candidateList>
        <item>采购</item>
      </candidateList>
      <explain>❶〈动〉选择购买（多指为机关或企业）：～员｜～建筑材料。❷〈名〉担任采购工作的人：他在食堂当～。</explain>
      <paraID>1CBE1B3E</paraID>
      <start>77</start>
      <end>79</end>
      <status>modified</status>
      <modifiedWord>采购</modifiedWord>
      <trackRevisions>false</trackRevisions>
    </reviewItem>
    <reviewItem>
      <errorID>bdb43761-a820-4de0-8ea0-3feff1d8e6b6</errorID>
      <errorWord>釆购</errorWord>
      <group>L1_Word</group>
      <groupName>字词问题</groupName>
      <ability>L2_Typo</ability>
      <abilityName>字词错误</abilityName>
      <candidateList>
        <item>采购</item>
      </candidateList>
      <explain>❶〈动〉选择购买（多指为机关或企业）：～员｜～建筑材料。❷〈名〉担任采购工作的人：他在食堂当～。</explain>
      <paraID>1CBE1B3E</paraID>
      <start>227</start>
      <end>229</end>
      <status>modified</status>
      <modifiedWord>采购</modifiedWord>
      <trackRevisions>false</trackRevisions>
    </reviewItem>
    <reviewItem>
      <errorID>ae8d3f4a-685a-40c2-9229-cf3dcb9f385d</errorID>
      <errorWord>,</errorWord>
      <group>L1_Format</group>
      <groupName>格式问题</groupName>
      <ability>L2_HalfPunc</ability>
      <abilityName>全半角检查</abilityName>
      <candidateList>
        <item>，</item>
      </candidateList>
      <explain>文本全半角错误。</explain>
      <paraID>1CBE1B3E</paraID>
      <start>238</start>
      <end>239</end>
      <status>unmodified</status>
      <modifiedWord/>
      <trackRevisions>false</trackRevisions>
    </reviewItem>
    <reviewItem>
      <errorID>26c66cbf-e66e-409d-90b4-47cffa95c238</errorID>
      <errorWord>;</errorWord>
      <group>L1_Format</group>
      <groupName>格式问题</groupName>
      <ability>L2_HalfPunc</ability>
      <abilityName>全半角检查</abilityName>
      <candidateList>
        <item>；</item>
      </candidateList>
      <explain>文本全半角错误。</explain>
      <paraID>1CBE1B3E</paraID>
      <start>268</start>
      <end>269</end>
      <status>unmodified</status>
      <modifiedWord/>
      <trackRevisions>false</trackRevisions>
    </reviewItem>
    <reviewItem>
      <errorID>41b152f2-3c49-46e8-8953-4401fb1bd08e</errorID>
      <errorWord>底</errorWord>
      <group>L1_Word</group>
      <groupName>字词问题</groupName>
      <ability>L2_Typo</ability>
      <abilityName>字词错误</abilityName>
      <candidateList>
        <item>低</item>
      </candidateList>
      <explain>❶〈形〉从下向上距离小；离地面近（跟“高”相对，▲▲同）：～空｜飞机～飞绕场一周｜水位降～了。❷〈形〉在一般标准或平均程度之下：～地｜声音太～｜眼高手～。❸〈形〉等级在下的：～年级学生｜我比哥哥～一班。❹〈动〉（头）向下垂：～着头。</explain>
      <paraID>28FE73AE</paraID>
      <start>103</start>
      <end>104</end>
      <status>modified</status>
      <modifiedWord>低</modifiedWord>
      <trackRevisions>false</trackRevisions>
    </reviewItem>
    <reviewItem>
      <errorID>fd30c1d9-b567-49f3-8e9a-eb83ba0cc102</errorID>
      <errorWord>第二条、</errorWord>
      <group>L1_Punc</group>
      <groupName>标点问题</groupName>
      <ability>L2_Punc</ability>
      <abilityName>标点符号检查</abilityName>
      <candidateList>
        <item>第二条，</item>
      </candidateList>
      <explain>连接词前后不宜使用顿号，建议使用逗号。</explain>
      <paraID>1A22E9EB</paraID>
      <start>44</start>
      <end>48</end>
      <status>unmodified</status>
      <modifiedWord/>
      <trackRevisions>false</trackRevisions>
    </reviewItem>
    <reviewItem>
      <errorID>381b49ec-a807-4e0e-be5d-310d8192c97e</errorID>
      <errorWord>2023年01月01日</errorWord>
      <group>L1_Knowledge</group>
      <groupName>知识性问题</groupName>
      <ability>L2_Time</ability>
      <abilityName>日期时间</abilityName>
      <candidateList>
        <item>2023年1月1日</item>
      </candidateList>
      <explain>根据日常书写习惯，月份和日期一般会省略前导零。</explain>
      <paraID>55FAD6D7</paraID>
      <start>4</start>
      <end>13</end>
      <status>modified</status>
      <modifiedWord>2023年1月1日</modifiedWord>
      <trackRevisions>false</trackRevisions>
    </reviewItem>
    <reviewItem>
      <errorID>f1e57030-ae2e-4611-b507-900b4b85dec9</errorID>
      <errorWord>人力资源 和社会保障部</errorWord>
      <group>L1_Political</group>
      <groupName>政治性问题</groupName>
      <ability>L2_Keyword</ability>
      <abilityName>固定表述</abilityName>
      <candidateList>
        <item>人力资源和社会保障部</item>
      </candidateList>
      <explain>词汇“人力资源和社会保障部”在特定场景下为固定表述形式，请确认此处的“人力资源 和社会保障部”是否存在不当。</explain>
      <paraID>219F0EBA</paraID>
      <start>142</start>
      <end>152</end>
      <status>modified</status>
      <modifiedWord>人力资源和社会保障部</modifiedWord>
      <trackRevisions>false</trackRevisions>
    </reviewItem>
    <reviewItem>
      <errorID>78283d1d-f64f-48fb-85e9-8a7ed47c974e</errorID>
      <errorWord>人力资源 和社会保障部</errorWord>
      <group>L1_Political</group>
      <groupName>政治性问题</groupName>
      <ability>L2_Keyword</ability>
      <abilityName>固定表述</abilityName>
      <candidateList>
        <item>人力资源和社会保障部</item>
      </candidateList>
      <explain>词汇“人力资源和社会保障部”在特定场景下为固定表述形式，请确认此处的“人力资源 和社会保障部”是否存在不当。</explain>
      <paraID>6F4CB821</paraID>
      <start>20</start>
      <end>30</end>
      <status>modified</status>
      <modifiedWord>人力资源和社会保障部</modifiedWord>
      <trackRevisions>false</trackRevisions>
    </reviewItem>
    <reviewItem>
      <errorID>b4a7c959-abf2-4a99-a155-a5445bf73838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3BDCE2D8</paraID>
      <start>0</start>
      <end>2</end>
      <status>unmodified</status>
      <modifiedWord/>
      <trackRevisions>false</trackRevisions>
    </reviewItem>
    <reviewItem>
      <errorID>5e8ca4cd-cc52-47c4-8141-b492d2ee8fe2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23F7505D</paraID>
      <start>0</start>
      <end>2</end>
      <status>unmodified</status>
      <modifiedWord/>
      <trackRevisions>false</trackRevisions>
    </reviewItem>
    <reviewItem>
      <errorID>3cb31fec-c4ca-430e-a6d6-319771bffe74</errorID>
      <errorWord>后像</errorWord>
      <group>L1_Word</group>
      <groupName>字词问题</groupName>
      <ability>L2_Typo</ability>
      <abilityName>字词错误</abilityName>
      <candidateList>
        <item>后续</item>
      </candidateList>
      <explain/>
      <paraID>78F253D5</paraID>
      <start>0</start>
      <end>2</end>
      <status>unmodified</status>
      <modifiedWord/>
      <trackRevisions>false</trackRevisions>
    </reviewItem>
    <reviewItem>
      <errorID>4ed76a57-5ac5-4c39-96f3-e6e00117fdf6</errorID>
      <errorWord>0-6岁</errorWord>
      <group>L1_Punc</group>
      <groupName>标点问题</groupName>
      <ability>L2_Punc</ability>
      <abilityName>标点符号检查</abilityName>
      <candidateList>
        <item>0—6岁</item>
      </candidateList>
      <explain/>
      <paraID>13887887</paraID>
      <start>43</start>
      <end>47</end>
      <status>unmodified</status>
      <modifiedWord/>
      <trackRevisions>false</trackRevisions>
    </reviewItem>
    <reviewItem>
      <errorID>c484e615-fce1-4588-a3c7-5032f3622042</errorID>
      <errorWord>:</errorWord>
      <group>L1_Format</group>
      <groupName>格式问题</groupName>
      <ability>L2_HalfPunc</ability>
      <abilityName>全半角检查</abilityName>
      <candidateList>
        <item>：</item>
      </candidateList>
      <explain>文本全半角错误。</explain>
      <paraID>2B73055C</paraID>
      <start>9</start>
      <end>10</end>
      <status>unmodified</status>
      <modifiedWord/>
      <trackRevisions>false</trackRevisions>
    </reviewItem>
    <reviewItem>
      <errorID>e772edd0-3742-4dde-a5b0-ab17fb938d82</errorID>
      <errorWord>即使</errorWord>
      <group>L1_Word</group>
      <groupName>字词问题</groupName>
      <ability>L2_Typo</ability>
      <abilityName>字词错误</abilityName>
      <candidateList>
        <item>及时</item>
      </candidateList>
      <explain>❶〈形〉正赶上时候；适合需要：～雨｜他来得很～。❷〈副〉不拖延；马上；立刻：有问题就～解决。</explain>
      <paraID>1B7E8C49</paraID>
      <start>4</start>
      <end>6</end>
      <status>modified</status>
      <modifiedWord>及时</modifiedWord>
      <trackRevisions>false</trackRevisions>
    </reviewItem>
    <reviewItem>
      <errorID>399f02dd-af32-435a-ab13-5d56b6e5c232</errorID>
      <errorWord>下</errorWord>
      <group>L1_Word</group>
      <groupName>字词问题</groupName>
      <ability>L2_Typo</ability>
      <abilityName>字词错误</abilityName>
      <candidateList>
        <item>下简</item>
      </candidateList>
      <explain/>
      <paraID>58091C57</paraID>
      <start>5</start>
      <end>6</end>
      <status>unmodified</status>
      <modifiedWord/>
      <trackRevisions>false</trackRevisions>
    </reviewItem>
    <reviewItem>
      <errorID>ab43e2b7-6985-4acc-8f39-44c14bc296ac</errorID>
      <errorWord>下</errorWord>
      <group>L1_Word</group>
      <groupName>字词问题</groupName>
      <ability>L2_Typo</ability>
      <abilityName>字词错误</abilityName>
      <candidateList>
        <item>下简</item>
      </candidateList>
      <explain/>
      <paraID>709116DC</paraID>
      <start>6</start>
      <end>7</end>
      <status>unmodified</status>
      <modifiedWord/>
      <trackRevisions>false</trackRevisions>
    </reviewItem>
    <reviewItem>
      <errorID>6c970410-35db-4646-a659-5dc2745a2c11</errorID>
      <errorWord>》</errorWord>
      <group>L1_Word</group>
      <groupName>字词问题</groupName>
      <ability>L2_Typo</ability>
      <abilityName>字词错误</abilityName>
      <candidateList>
        <item>》和</item>
      </candidateList>
      <explain/>
      <paraID> 46B510B</paraID>
      <start>15</start>
      <end>16</end>
      <status>unmodified</status>
      <modifiedWord/>
      <trackRevisions>false</trackRevisions>
    </reviewItem>
    <reviewItem>
      <errorID>3ebd0f25-1d17-4356-a0b8-b00786ea77c2</errorID>
      <errorWord>签定</errorWord>
      <group>L1_Word</group>
      <groupName>字词问题</groupName>
      <ability>L2_Typo</ability>
      <abilityName>字词错误</abilityName>
      <candidateList>
        <item>签订</item>
      </candidateList>
      <explain>存在发音相同字词的误用。</explain>
      <paraID>58BFA1BE</paraID>
      <start>14</start>
      <end>16</end>
      <status>modified</status>
      <modifiedWord>签订</modifiedWord>
      <trackRevisions>false</trackRevisions>
    </reviewItem>
    <reviewItem>
      <errorID>459880e0-1fbb-4e80-b858-dc43a2e4a18a</errorID>
      <errorWord>１</errorWord>
      <group>L1_Format</group>
      <groupName>格式问题</groupName>
      <ability>L2_HalfPunc</ability>
      <abilityName>全半角检查</abilityName>
      <candidateList>
        <item>1</item>
      </candidateList>
      <explain>文本全半角错误。</explain>
      <paraID>7E5C2C01</paraID>
      <start>0</start>
      <end>1</end>
      <status>unmodified</status>
      <modifiedWord/>
      <trackRevisions>false</trackRevisions>
    </reviewItem>
    <reviewItem>
      <errorID>28a97ad7-fe21-4b4f-8284-9e68693c7642</errorID>
      <errorWord>２</errorWord>
      <group>L1_Format</group>
      <groupName>格式问题</groupName>
      <ability>L2_HalfPunc</ability>
      <abilityName>全半角检查</abilityName>
      <candidateList>
        <item>2</item>
      </candidateList>
      <explain>文本全半角错误。</explain>
      <paraID>31112D5B</paraID>
      <start>0</start>
      <end>1</end>
      <status>unmodified</status>
      <modifiedWord/>
      <trackRevisions>false</trackRevisions>
    </reviewItem>
    <reviewItem>
      <errorID>69349720-a4fa-4ed6-8746-14e43f81443c</errorID>
      <errorWord>３</errorWord>
      <group>L1_Format</group>
      <groupName>格式问题</groupName>
      <ability>L2_HalfPunc</ability>
      <abilityName>全半角检查</abilityName>
      <candidateList>
        <item>3</item>
      </candidateList>
      <explain>文本全半角错误。</explain>
      <paraID>7B05D3CC</paraID>
      <start>0</start>
      <end>1</end>
      <status>unmodified</status>
      <modifiedWord/>
      <trackRevisions>false</trackRevisions>
    </reviewItem>
    <reviewItem>
      <errorID>e00c712a-dfe1-490e-8d67-5be0823f163d</errorID>
      <errorWord>４</errorWord>
      <group>L1_Format</group>
      <groupName>格式问题</groupName>
      <ability>L2_HalfPunc</ability>
      <abilityName>全半角检查</abilityName>
      <candidateList>
        <item>4</item>
      </candidateList>
      <explain>文本全半角错误。</explain>
      <paraID>299B2DD9</paraID>
      <start>0</start>
      <end>1</end>
      <status>unmodified</status>
      <modifiedWord/>
      <trackRevisions>false</trackRevisions>
    </reviewItem>
    <reviewItem>
      <errorID>79ae7180-adfc-44fc-9aff-a97113315c8a</errorID>
      <errorWord>法律、法规</errorWord>
      <group>L1_Word</group>
      <groupName>字词问题</groupName>
      <ability>L2_Typo</ability>
      <abilityName>字词错误</abilityName>
      <candidateList>
        <item>法律法规</item>
      </candidateList>
      <explain/>
      <paraID>413AB7AC</paraID>
      <start>21</start>
      <end>25</end>
      <status>modified</status>
      <modifiedWord>法律法规</modifiedWord>
      <trackRevisions>false</trackRevisions>
    </reviewItem>
    <reviewItem>
      <errorID>7bd9421a-b900-4527-8535-e9b2557c3aca</errorID>
      <errorWord>第50条</errorWord>
      <group>L1_Knowledge</group>
      <groupName>知识性问题</groupName>
      <ability>L2_Knowledge</ability>
      <abilityName>其他知识</abilityName>
      <candidateList>
        <item>第五十条</item>
      </candidateList>
      <explain/>
      <paraID>6E9531F5</paraID>
      <start>15</start>
      <end>19</end>
      <status>unmodified</status>
      <modifiedWord/>
      <trackRevisions>false</trackRevisions>
    </reviewItem>
    <reviewItem>
      <errorID>c79023a7-9838-43b6-acc2-e1e923e03a53</errorID>
      <errorWord>因</errorWord>
      <group>L1_Word</group>
      <groupName>字词问题</groupName>
      <ability>L2_Typo</ability>
      <abilityName>字词错误</abilityName>
      <candidateList>
        <item>应</item>
      </candidateList>
      <explain>存在发音相近字词的误用。</explain>
      <paraID>22B89C47</paraID>
      <start>2</start>
      <end>3</end>
      <status>unmodified</status>
      <modifiedWord/>
      <trackRevisions>false</trackRevisions>
    </reviewItem>
    <reviewItem>
      <errorID>61faf5b4-b63b-4cda-9290-35d93be32db9</errorID>
      <errorWord>归</errorWord>
      <group>L1_Word</group>
      <groupName>字词问题</groupName>
      <ability>L2_Typo</ability>
      <abilityName>字词错误</abilityName>
      <candidateList>
        <item>给</item>
      </candidateList>
      <explain/>
      <paraID>22B89C47</paraID>
      <start>73</start>
      <end>74</end>
      <status>unmodified</status>
      <modifiedWord/>
      <trackRevisions>false</trackRevisions>
    </reviewItem>
    <reviewItem>
      <errorID>5c40ab57-e6d8-4e21-8da6-accd68635801</errorID>
      <errorWord>帐号</errorWord>
      <group>L1_Word</group>
      <groupName>字词问题</groupName>
      <ability>L2_Typo</ability>
      <abilityName>字词错误</abilityName>
      <candidateList>
        <item>账号</item>
      </candidateList>
      <explain>〈名〉单位或个人跟银行建立经济关系后，银行在账上给该单位或个人编的号码。</explain>
      <paraID>75742EA8</paraID>
      <start>0</start>
      <end>2</end>
      <status>modified</status>
      <modifiedWord>账号</modifiedWord>
      <trackRevisions>false</trackRevisions>
    </reviewItem>
    <reviewItem>
      <errorID>6c15c421-a6fa-4b1c-9cb7-4f5988e8e558</errorID>
      <errorWord>帐号</errorWord>
      <group>L1_Word</group>
      <groupName>字词问题</groupName>
      <ability>L2_Typo</ability>
      <abilityName>字词错误</abilityName>
      <candidateList>
        <item>账号</item>
      </candidateList>
      <explain>〈名〉单位或个人跟银行建立经济关系后，银行在账上给该单位或个人编的号码。</explain>
      <paraID> 52ED214</paraID>
      <start>0</start>
      <end>2</end>
      <status>modified</status>
      <modifiedWord>账号</modifiedWord>
      <trackRevisions>false</trackRevisions>
    </reviewItem>
    <reviewItem>
      <errorID>f64b0647-9526-4e60-b06f-6436e70add95</errorID>
      <errorWord>(</errorWord>
      <group>L1_Format</group>
      <groupName>格式问题</groupName>
      <ability>L2_HalfPunc</ability>
      <abilityName>全半角检查</abilityName>
      <candidateList>
        <item>（</item>
      </candidateList>
      <explain>文本全半角错误。</explain>
      <paraID>275C8B85</paraID>
      <start>9</start>
      <end>10</end>
      <status>unmodified</status>
      <modifiedWord/>
      <trackRevisions>false</trackRevisions>
    </reviewItem>
    <reviewItem>
      <errorID>2ea07755-7e98-4669-ad11-0d6050c856d5</errorID>
      <errorWord>)</errorWord>
      <group>L1_Format</group>
      <groupName>格式问题</groupName>
      <ability>L2_HalfPunc</ability>
      <abilityName>全半角检查</abilityName>
      <candidateList>
        <item>）</item>
      </candidateList>
      <explain>文本全半角错误。</explain>
      <paraID>275C8B85</paraID>
      <start>14</start>
      <end>15</end>
      <status>unmodified</status>
      <modifiedWord/>
      <trackRevisions>false</trackRevisions>
    </reviewItem>
    <reviewItem>
      <errorID>afc1e556-83a0-4c1e-8d35-65f62092787e</errorID>
      <errorWord>(</errorWord>
      <group>L1_Format</group>
      <groupName>格式问题</groupName>
      <ability>L2_HalfPunc</ability>
      <abilityName>全半角检查</abilityName>
      <candidateList>
        <item>（</item>
      </candidateList>
      <explain>文本全半角错误。</explain>
      <paraID>61491502</paraID>
      <start>12</start>
      <end>13</end>
      <status>unmodified</status>
      <modifiedWord/>
      <trackRevisions>false</trackRevisions>
    </reviewItem>
    <reviewItem>
      <errorID>fe9198a9-ca7a-46c9-8d7f-7128897a95ef</errorID>
      <errorWord>)</errorWord>
      <group>L1_Format</group>
      <groupName>格式问题</groupName>
      <ability>L2_HalfPunc</ability>
      <abilityName>全半角检查</abilityName>
      <candidateList>
        <item>）</item>
      </candidateList>
      <explain>文本全半角错误。</explain>
      <paraID>61491502</paraID>
      <start>17</start>
      <end>18</end>
      <status>unmodified</status>
      <modifiedWord/>
      <trackRevisions>false</trackRevisions>
    </reviewItem>
    <reviewItem>
      <errorID>a9eae8fc-ad9e-4cee-8d3a-98789507a524</errorID>
      <errorWord>(</errorWord>
      <group>L1_Format</group>
      <groupName>格式问题</groupName>
      <ability>L2_HalfPunc</ability>
      <abilityName>全半角检查</abilityName>
      <candidateList>
        <item>（</item>
      </candidateList>
      <explain>文本全半角错误。</explain>
      <paraID>3FBBACC2</paraID>
      <start>5</start>
      <end>6</end>
      <status>unmodified</status>
      <modifiedWord/>
      <trackRevisions>false</trackRevisions>
    </reviewItem>
    <reviewItem>
      <errorID>b861e5c1-f3c5-4892-9353-526370b7900b</errorID>
      <errorWord>)</errorWord>
      <group>L1_Format</group>
      <groupName>格式问题</groupName>
      <ability>L2_HalfPunc</ability>
      <abilityName>全半角检查</abilityName>
      <candidateList>
        <item>）</item>
      </candidateList>
      <explain>文本全半角错误。</explain>
      <paraID>3FBBACC2</paraID>
      <start>10</start>
      <end>11</end>
      <status>unmodified</status>
      <modifiedWord/>
      <trackRevisions>false</trackRevisions>
    </reviewItem>
    <reviewItem>
      <errorID>46429438-80e3-4eb8-83c4-1197fb5a1c8a</errorID>
      <errorWord>(</errorWord>
      <group>L1_Format</group>
      <groupName>格式问题</groupName>
      <ability>L2_HalfPunc</ability>
      <abilityName>全半角检查</abilityName>
      <candidateList>
        <item>（</item>
      </candidateList>
      <explain>文本全半角错误。</explain>
      <paraID>74722F87</paraID>
      <start>7</start>
      <end>8</end>
      <status>unmodified</status>
      <modifiedWord/>
      <trackRevisions>false</trackRevisions>
    </reviewItem>
    <reviewItem>
      <errorID>1c64a7c6-9f63-4df5-b19f-cebb7b1cef81</errorID>
      <errorWord>)</errorWord>
      <group>L1_Format</group>
      <groupName>格式问题</groupName>
      <ability>L2_HalfPunc</ability>
      <abilityName>全半角检查</abilityName>
      <candidateList>
        <item>）</item>
      </candidateList>
      <explain>文本全半角错误。</explain>
      <paraID>74722F87</paraID>
      <start>12</start>
      <end>13</end>
      <status>unmodified</status>
      <modifiedWord/>
      <trackRevisions>false</trackRevisions>
    </reviewItem>
    <reviewItem>
      <errorID>5d8ff899-0ff3-4dc9-8742-25275ccf9202</errorID>
      <errorWord>(</errorWord>
      <group>L1_Format</group>
      <groupName>格式问题</groupName>
      <ability>L2_HalfPunc</ability>
      <abilityName>全半角检查</abilityName>
      <candidateList>
        <item>（</item>
      </candidateList>
      <explain>文本全半角错误。</explain>
      <paraID>2B652919</paraID>
      <start>9</start>
      <end>10</end>
      <status>unmodified</status>
      <modifiedWord/>
      <trackRevisions>false</trackRevisions>
    </reviewItem>
    <reviewItem>
      <errorID>2259c202-1851-4a15-9695-57aac4983e90</errorID>
      <errorWord>)</errorWord>
      <group>L1_Format</group>
      <groupName>格式问题</groupName>
      <ability>L2_HalfPunc</ability>
      <abilityName>全半角检查</abilityName>
      <candidateList>
        <item>）</item>
      </candidateList>
      <explain>文本全半角错误。</explain>
      <paraID>2B652919</paraID>
      <start>14</start>
      <end>15</end>
      <status>unmodified</status>
      <modifiedWord/>
      <trackRevisions>false</trackRevisions>
    </reviewItem>
    <reviewItem>
      <errorID>58aaac6b-febe-4bc4-a054-fc01c19dc8dc</errorID>
      <errorWord>(</errorWord>
      <group>L1_Format</group>
      <groupName>格式问题</groupName>
      <ability>L2_HalfPunc</ability>
      <abilityName>全半角检查</abilityName>
      <candidateList>
        <item>（</item>
      </candidateList>
      <explain>文本全半角错误。</explain>
      <paraID>62E669EA</paraID>
      <start>9</start>
      <end>10</end>
      <status>unmodified</status>
      <modifiedWord/>
      <trackRevisions>false</trackRevisions>
    </reviewItem>
    <reviewItem>
      <errorID>88dcfa54-3a4b-4d9d-a826-42b12de94701</errorID>
      <errorWord>)</errorWord>
      <group>L1_Format</group>
      <groupName>格式问题</groupName>
      <ability>L2_HalfPunc</ability>
      <abilityName>全半角检查</abilityName>
      <candidateList>
        <item>）</item>
      </candidateList>
      <explain>文本全半角错误。</explain>
      <paraID>62E669EA</paraID>
      <start>14</start>
      <end>15</end>
      <status>unmodified</status>
      <modifiedWord/>
      <trackRevisions>false</trackRevisions>
    </reviewItem>
    <reviewItem>
      <errorID>b1f4fb9d-19d5-4645-809d-6b2bfa929b10</errorID>
      <errorWord>(</errorWord>
      <group>L1_Format</group>
      <groupName>格式问题</groupName>
      <ability>L2_HalfPunc</ability>
      <abilityName>全半角检查</abilityName>
      <candidateList>
        <item>（</item>
      </candidateList>
      <explain>文本全半角错误。</explain>
      <paraID>3C7A1AF0</paraID>
      <start>11</start>
      <end>12</end>
      <status>unmodified</status>
      <modifiedWord/>
      <trackRevisions>false</trackRevisions>
    </reviewItem>
    <reviewItem>
      <errorID>662ca5f4-c9df-4942-86e3-7849814970b9</errorID>
      <errorWord>)</errorWord>
      <group>L1_Format</group>
      <groupName>格式问题</groupName>
      <ability>L2_HalfPunc</ability>
      <abilityName>全半角检查</abilityName>
      <candidateList>
        <item>）</item>
      </candidateList>
      <explain>文本全半角错误。</explain>
      <paraID>3C7A1AF0</paraID>
      <start>16</start>
      <end>17</end>
      <status>unmodified</status>
      <modifiedWord/>
      <trackRevisions>false</trackRevisions>
    </reviewItem>
    <reviewItem>
      <errorID>b7167945-f979-4eb3-8d7e-a033c49a2026</errorID>
      <errorWord>(</errorWord>
      <group>L1_Format</group>
      <groupName>格式问题</groupName>
      <ability>L2_HalfPunc</ability>
      <abilityName>全半角检查</abilityName>
      <candidateList>
        <item>（</item>
      </candidateList>
      <explain>文本全半角错误。</explain>
      <paraID>3368365D</paraID>
      <start>31</start>
      <end>32</end>
      <status>unmodified</status>
      <modifiedWord/>
      <trackRevisions>false</trackRevisions>
    </reviewItem>
    <reviewItem>
      <errorID>555ffc8b-1c95-4785-bfb0-1049fe523919</errorID>
      <errorWord>)</errorWord>
      <group>L1_Format</group>
      <groupName>格式问题</groupName>
      <ability>L2_HalfPunc</ability>
      <abilityName>全半角检查</abilityName>
      <candidateList>
        <item>）</item>
      </candidateList>
      <explain>文本全半角错误。</explain>
      <paraID>3368365D</paraID>
      <start>36</start>
      <end>37</end>
      <status>unmodified</status>
      <modifiedWord/>
      <trackRevisions>false</trackRevisions>
    </reviewItem>
    <reviewItem>
      <errorID>2e5bc92e-f63b-4b4d-bb2b-9867103f8632</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105AFB4D</paraID>
      <start>0</start>
      <end>3</end>
      <status>unmodified</status>
      <modifiedWord/>
      <trackRevisions>false</trackRevisions>
    </reviewItem>
    <reviewItem>
      <errorID>8073dc0e-75ec-4590-ab09-bd9444bae06b</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D6769D4</paraID>
      <start>0</start>
      <end>3</end>
      <status>unmodified</status>
      <modifiedWord/>
      <trackRevisions>false</trackRevisions>
    </reviewItem>
    <reviewItem>
      <errorID>4ed0d949-80f0-4326-a325-5324112aa193</errorID>
      <errorWord>)</errorWord>
      <group>L1_Format</group>
      <groupName>格式问题</groupName>
      <ability>L2_HalfPunc</ability>
      <abilityName>全半角检查</abilityName>
      <candidateList>
        <item>）</item>
      </candidateList>
      <explain>文本全半角错误。</explain>
      <paraID>5353ADFA</paraID>
      <start>2</start>
      <end>3</end>
      <status>unmodified</status>
      <modifiedWord/>
      <trackRevisions>false</trackRevisions>
    </reviewItem>
    <reviewItem>
      <errorID>7a8fe24f-d198-47e4-928a-0ae91387492e</errorID>
      <errorWord>(</errorWord>
      <group>L1_Format</group>
      <groupName>格式问题</groupName>
      <ability>L2_HalfPunc</ability>
      <abilityName>全半角检查</abilityName>
      <candidateList>
        <item>（</item>
      </candidateList>
      <explain>文本全半角错误。</explain>
      <paraID>1176D6A8</paraID>
      <start>19</start>
      <end>20</end>
      <status>unmodified</status>
      <modifiedWord/>
      <trackRevisions>false</trackRevisions>
    </reviewItem>
    <reviewItem>
      <errorID>fa00f35d-9456-469b-9041-1bc786c0be0d</errorID>
      <errorWord>)</errorWord>
      <group>L1_Format</group>
      <groupName>格式问题</groupName>
      <ability>L2_HalfPunc</ability>
      <abilityName>全半角检查</abilityName>
      <candidateList>
        <item>）</item>
      </candidateList>
      <explain>文本全半角错误。</explain>
      <paraID>1176D6A8</paraID>
      <start>25</start>
      <end>26</end>
      <status>unmodified</status>
      <modifiedWord/>
      <trackRevisions>false</trackRevisions>
    </reviewItem>
    <reviewItem>
      <errorID>cc8f0aa8-d3d7-47b1-97b2-df0f8727a631</errorID>
      <errorWord>其它</errorWord>
      <group>L1_Word</group>
      <groupName>字词问题</groupName>
      <ability>L2_Alias</ability>
      <abilityName>也作/曾用词</abilityName>
      <candidateList>
        <item>其他</item>
      </candidateList>
      <explain>词汇[其它]为不规范表述或旧称，其规范书面表述为[其他]。</explain>
      <paraID> 5F21653</paraID>
      <start>8</start>
      <end>10</end>
      <status>unmodified</status>
      <modifiedWord/>
      <trackRevisions>false</trackRevisions>
    </reviewItem>
    <reviewItem>
      <errorID>fb961bac-e274-44f2-ad10-629ba40016d4</errorID>
      <errorWord>所必须的</errorWord>
      <group>L1_Word</group>
      <groupName>字词问题</groupName>
      <ability>L2_Typo</ability>
      <abilityName>字词错误</abilityName>
      <candidateList>
        <item>所必需的</item>
      </candidateList>
      <explain/>
      <paraID>7C1D9305</paraID>
      <start>9</start>
      <end>13</end>
      <status>unmodified</status>
      <modifiedWord/>
      <trackRevisions>false</trackRevisions>
    </reviewItem>
    <reviewItem>
      <errorID>a7fd4fb3-41f3-4c66-becb-a992ce320607</errorID>
      <errorWord>帐号</errorWord>
      <group>L1_Word</group>
      <groupName>字词问题</groupName>
      <ability>L2_Typo</ability>
      <abilityName>字词错误</abilityName>
      <candidateList>
        <item>账号</item>
      </candidateList>
      <explain>〈名〉单位或个人跟银行建立经济关系后，银行在账上给该单位或个人编的号码。</explain>
      <paraID>27AFB3FE</paraID>
      <start>0</start>
      <end>2</end>
      <status>modified</status>
      <modifiedWord>账号</modifiedWord>
      <trackRevisions>false</trackRevisions>
    </reviewItem>
    <reviewItem>
      <errorID>ed57e0f5-1624-422c-a4f7-2051817d19b5</errorID>
      <errorWord>:</errorWord>
      <group>L1_Format</group>
      <groupName>格式问题</groupName>
      <ability>L2_HalfPunc</ability>
      <abilityName>全半角检查</abilityName>
      <candidateList>
        <item>：</item>
      </candidateList>
      <explain>文本全半角错误。</explain>
      <paraID>75A956C2</paraID>
      <start>4</start>
      <end>5</end>
      <status>unmodified</status>
      <modifiedWord/>
      <trackRevisions>false</trackRevisions>
    </reviewItem>
    <reviewItem>
      <errorID>f6279045-8b67-461a-87aa-c341321aa6b1</errorID>
      <errorWord>：</errorWord>
      <group>L1_Punc</group>
      <groupName>标点问题</groupName>
      <ability>L2_Punc</ability>
      <abilityName>标点符号检查</abilityName>
      <candidateList/>
      <explain/>
      <paraID> 2B310F7</paraID>
      <start>25</start>
      <end>26</end>
      <status>unmodified</status>
      <modifiedWord/>
      <trackRevisions>false</trackRevisions>
    </reviewItem>
    <reviewItem>
      <errorID>5e3b4567-dcfb-45f4-bb20-44ad18c340b6</errorID>
      <errorWord>其它</errorWord>
      <group>L1_Word</group>
      <groupName>字词问题</groupName>
      <ability>L2_Alias</ability>
      <abilityName>也作/曾用词</abilityName>
      <candidateList>
        <item>其他</item>
      </candidateList>
      <explain>词汇[其它]为不规范表述或旧称，其规范书面表述为[其他]。</explain>
      <paraID> A2D9DF4</paraID>
      <start>0</start>
      <end>2</end>
      <status>unmodified</status>
      <modifiedWord/>
      <trackRevisions>false</trackRevisions>
    </reviewItem>
    <reviewItem>
      <errorID>7e10e07b-bd22-44fd-a7f5-c40293cc3989</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364227E2</paraID>
      <start>6</start>
      <end>7</end>
      <status>unmodified</status>
      <modifiedWord/>
      <trackRevisions>false</trackRevisions>
    </reviewItem>
    <reviewItem>
      <errorID>ce1e2989-bca3-473d-82bc-db5b3a026f02</errorID>
      <errorWord>:</errorWord>
      <group>L1_Format</group>
      <groupName>格式问题</groupName>
      <ability>L2_HalfPunc</ability>
      <abilityName>全半角检查</abilityName>
      <candidateList>
        <item>：</item>
      </candidateList>
      <explain>文本全半角错误。</explain>
      <paraID>488B6E76</paraID>
      <start>7</start>
      <end>8</end>
      <status>unmodified</status>
      <modifiedWord/>
      <trackRevisions>false</trackRevisions>
    </reviewItem>
    <reviewItem>
      <errorID>dae40b19-7b49-44b9-803c-90a958b13888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66255723</paraID>
      <start>0</start>
      <end>2</end>
      <status>unmodified</status>
      <modifiedWord/>
      <trackRevisions>false</trackRevisions>
    </reviewItem>
    <reviewItem>
      <errorID>4fe7fdae-c71c-487e-9718-c16b954473c5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418CBCB2</paraID>
      <start>0</start>
      <end>2</end>
      <status>unmodified</status>
      <modifiedWord/>
      <trackRevisions>false</trackRevisions>
    </reviewItem>
    <reviewItem>
      <errorID>3cf8c852-418e-4c34-802c-4129cb5dff85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418CBCB2</paraID>
      <start>49</start>
      <end>52</end>
      <status>unmodified</status>
      <modifiedWord/>
      <trackRevisions>false</trackRevisions>
    </reviewItem>
    <reviewItem>
      <errorID>6a4098df-44aa-4b68-b1c2-2ca7ad2eeb85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418CBCB2</paraID>
      <start>63</start>
      <end>66</end>
      <status>unmodified</status>
      <modifiedWord/>
      <trackRevisions>false</trackRevisions>
    </reviewItem>
    <reviewItem>
      <errorID>221fac9d-e6a8-4e1b-a91b-62162677f2ff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24645385</paraID>
      <start>0</start>
      <end>2</end>
      <status>unmodified</status>
      <modifiedWord/>
      <trackRevisions>false</trackRevisions>
    </reviewItem>
    <reviewItem>
      <errorID>07ebf771-8bfd-449e-a10b-09634450cb5c</errorID>
      <errorWord>后像</errorWord>
      <group>L1_Word</group>
      <groupName>字词问题</groupName>
      <ability>L2_Typo</ability>
      <abilityName>字词错误</abilityName>
      <candidateList>
        <item>后续</item>
      </candidateList>
      <explain/>
      <paraID> D161B63</paraID>
      <start>0</start>
      <end>2</end>
      <status>unmodified</status>
      <modifiedWord/>
      <trackRevisions>false</trackRevisions>
    </reviewItem>
    <reviewItem>
      <errorID>6217dfc1-8541-4946-b7ee-896b3d0db12e</errorID>
      <errorWord>:</errorWord>
      <group>L1_Format</group>
      <groupName>格式问题</groupName>
      <ability>L2_HalfPunc</ability>
      <abilityName>全半角检查</abilityName>
      <candidateList>
        <item>：</item>
      </candidateList>
      <explain>文本全半角错误。</explain>
      <paraID>6E2E34CA</paraID>
      <start>7</start>
      <end>8</end>
      <status>unmodified</status>
      <modifiedWord/>
      <trackRevisions>false</trackRevisions>
    </reviewItem>
    <reviewItem>
      <errorID>7c812273-4c6e-4b8c-9af8-401d9774e803</errorID>
      <errorWord>：</errorWord>
      <group>L1_Punc</group>
      <groupName>标点问题</groupName>
      <ability>L2_Punc</ability>
      <abilityName>标点符号检查</abilityName>
      <candidateList/>
      <explain/>
      <paraID> 44DE455</paraID>
      <start>25</start>
      <end>26</end>
      <status>unmodified</status>
      <modifiedWord/>
      <trackRevisions>false</trackRevisions>
    </reviewItem>
    <reviewItem>
      <errorID>f7ddec37-15ba-4442-bb60-c0c03749b36f</errorID>
      <errorWord>：</errorWord>
      <group>L1_Punc</group>
      <groupName>标点问题</groupName>
      <ability>L2_Punc</ability>
      <abilityName>标点符号检查</abilityName>
      <candidateList/>
      <explain/>
      <paraID> BFCE148</paraID>
      <start>25</start>
      <end>26</end>
      <status>unmodified</status>
      <modifiedWord/>
      <trackRevisions>false</trackRevisions>
    </reviewItem>
    <reviewItem>
      <errorID>c9f0c9fb-e787-4a76-a55a-06f7311366ad</errorID>
      <errorWord>：。</errorWord>
      <group>L1_Punc</group>
      <groupName>标点问题</groupName>
      <ability>L2_Punc</ability>
      <abilityName>标点符号检查</abilityName>
      <candidateList>
        <item>：</item>
      </candidateList>
      <explain/>
      <paraID>67E5818B</paraID>
      <start>5</start>
      <end>7</end>
      <status>unmodified</status>
      <modifiedWord/>
      <trackRevisions>false</trackRevisions>
    </reviewItem>
    <reviewItem>
      <errorID>dc89de21-028a-498a-b3c8-7ae20ec19a9c</errorID>
      <errorWord>(</errorWord>
      <group>L1_Format</group>
      <groupName>格式问题</groupName>
      <ability>L2_HalfPunc</ability>
      <abilityName>全半角检查</abilityName>
      <candidateList>
        <item>（</item>
      </candidateList>
      <explain>文本全半角错误。</explain>
      <paraID>67E5818B</paraID>
      <start>7</start>
      <end>8</end>
      <status>unmodified</status>
      <modifiedWord/>
      <trackRevisions>false</trackRevisions>
    </reviewItem>
    <reviewItem>
      <errorID>532be735-7d99-4ad8-9c66-5c2dd6ae7de8</errorID>
      <errorWord>)</errorWord>
      <group>L1_Format</group>
      <groupName>格式问题</groupName>
      <ability>L2_HalfPunc</ability>
      <abilityName>全半角检查</abilityName>
      <candidateList>
        <item>）</item>
      </candidateList>
      <explain>文本全半角错误。</explain>
      <paraID>67E5818B</paraID>
      <start>12</start>
      <end>13</end>
      <status>unmodified</status>
      <modifiedWord/>
      <trackRevisions>false</trackRevisions>
    </reviewItem>
    <reviewItem>
      <errorID>7752f609-01d8-4428-b6a0-4fd016c98e4f</errorID>
      <errorWord>：。</errorWord>
      <group>L1_Punc</group>
      <groupName>标点问题</groupName>
      <ability>L2_Punc</ability>
      <abilityName>标点符号检查</abilityName>
      <candidateList>
        <item>：</item>
      </candidateList>
      <explain/>
      <paraID>6AA78F87</paraID>
      <start>9</start>
      <end>11</end>
      <status>unmodified</status>
      <modifiedWord/>
      <trackRevisions>false</trackRevisions>
    </reviewItem>
    <reviewItem>
      <errorID>3dfdc746-ef83-49e9-a3d8-ba4809e87c50</errorID>
      <errorWord>(</errorWord>
      <group>L1_Format</group>
      <groupName>格式问题</groupName>
      <ability>L2_HalfPunc</ability>
      <abilityName>全半角检查</abilityName>
      <candidateList>
        <item>（</item>
      </candidateList>
      <explain>文本全半角错误。</explain>
      <paraID>6AA78F87</paraID>
      <start>11</start>
      <end>12</end>
      <status>unmodified</status>
      <modifiedWord/>
      <trackRevisions>false</trackRevisions>
    </reviewItem>
    <reviewItem>
      <errorID>8383667f-d2b2-4ea5-89ae-5e53fb85e19d</errorID>
      <errorWord>)</errorWord>
      <group>L1_Format</group>
      <groupName>格式问题</groupName>
      <ability>L2_HalfPunc</ability>
      <abilityName>全半角检查</abilityName>
      <candidateList>
        <item>）</item>
      </candidateList>
      <explain>文本全半角错误。</explain>
      <paraID>6AA78F87</paraID>
      <start>16</start>
      <end>17</end>
      <status>unmodified</status>
      <modifiedWord/>
      <trackRevisions>false</trackRevisions>
    </reviewItem>
    <reviewItem>
      <errorID>10038cbe-f2d3-4c80-90cb-8bfeabeaf5ee</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2A41C55</paraID>
      <start>0</start>
      <end>3</end>
      <status>unmodified</status>
      <modifiedWord/>
      <trackRevisions>false</trackRevisions>
    </reviewItem>
    <reviewItem>
      <errorID>e0fc71fe-cc7e-4e50-a9b0-9791cfa260f5</errorID>
      <errorWord>(</errorWord>
      <group>L1_Format</group>
      <groupName>格式问题</groupName>
      <ability>L2_HalfPunc</ability>
      <abilityName>全半角检查</abilityName>
      <candidateList>
        <item>（</item>
      </candidateList>
      <explain>文本全半角错误。</explain>
      <paraID>6CDFA6B1</paraID>
      <start>6</start>
      <end>7</end>
      <status>unmodified</status>
      <modifiedWord/>
      <trackRevisions>false</trackRevisions>
    </reviewItem>
    <reviewItem>
      <errorID>fb938841-a7b3-4fd6-b29e-37ceedcbb82d</errorID>
      <errorWord>)</errorWord>
      <group>L1_Format</group>
      <groupName>格式问题</groupName>
      <ability>L2_HalfPunc</ability>
      <abilityName>全半角检查</abilityName>
      <candidateList>
        <item>）</item>
      </candidateList>
      <explain>文本全半角错误。</explain>
      <paraID>6CDFA6B1</paraID>
      <start>9</start>
      <end>10</end>
      <status>unmodified</status>
      <modifiedWord/>
      <trackRevisions>false</trackRevisions>
    </reviewItem>
    <reviewItem>
      <errorID>b33be3ac-d4c5-4862-b300-1181953b28be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61EB51AC</paraID>
      <start>0</start>
      <end>2</end>
      <status>unmodified</status>
      <modifiedWord/>
      <trackRevisions>false</trackRevisions>
    </reviewItem>
    <reviewItem>
      <errorID>5cbe2e3b-d67b-4f26-985b-2c76e9c3d336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1BA928E6</paraID>
      <start>0</start>
      <end>2</end>
      <status>unmodified</status>
      <modifiedWord/>
      <trackRevisions>false</trackRevisions>
    </reviewItem>
    <reviewItem>
      <errorID>bcbf7ade-c952-4f7c-bc05-e06aa0a803b1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4392CB3B</paraID>
      <start>0</start>
      <end>2</end>
      <status>unmodified</status>
      <modifiedWord/>
      <trackRevisions>false</trackRevisions>
    </reviewItem>
    <reviewItem>
      <errorID>b40798f9-32e0-4aec-9b49-f2d19166fe2b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718B81CE</paraID>
      <start>0</start>
      <end>2</end>
      <status>unmodified</status>
      <modifiedWord/>
      <trackRevisions>false</trackRevisions>
    </reviewItem>
    <reviewItem>
      <errorID>b0ff1de5-3617-4824-ae19-4380db362e98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FFFA0D8</paraID>
      <start>0</start>
      <end>2</end>
      <status>unmodified</status>
      <modifiedWord/>
      <trackRevisions>false</trackRevisions>
    </reviewItem>
    <reviewItem>
      <errorID>06466b64-4315-4efa-8ef9-2d429f068f06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381BFE31</paraID>
      <start>0</start>
      <end>2</end>
      <status>unmodified</status>
      <modifiedWord/>
      <trackRevisions>false</trackRevisions>
    </reviewItem>
    <reviewItem>
      <errorID>d3ebc582-1925-4b38-a1ee-8ab31695270e</errorID>
      <errorWord>)</errorWord>
      <group>L1_Format</group>
      <groupName>格式问题</groupName>
      <ability>L2_HalfPunc</ability>
      <abilityName>全半角检查</abilityName>
      <candidateList>
        <item>）</item>
      </candidateList>
      <explain>文本全半角错误。</explain>
      <paraID>5B6C10A0</paraID>
      <start>2</start>
      <end>3</end>
      <status>unmodified</status>
      <modifiedWord/>
      <trackRevisions>false</trackRevisions>
    </reviewItem>
    <reviewItem>
      <errorID>85037580-951c-4c5d-acf6-8a8a78457efd</errorID>
      <errorWord>〔2017〕 141号</errorWord>
      <group>L1_Knowledge</group>
      <groupName>知识性问题</groupName>
      <ability>L2_Knowledge</ability>
      <abilityName>其他知识</abilityName>
      <candidateList>
        <item>〔2017〕141号</item>
      </candidateList>
      <explain>发文字号格式错误。</explain>
      <paraID> 9631A5B</paraID>
      <start>49</start>
      <end>60</end>
      <status>unmodified</status>
      <modifiedWord/>
      <trackRevisions>false</trackRevisions>
    </reviewItem>
    <reviewItem>
      <errorID>46035b1a-2250-47e4-a228-0bed386e5af9</errorID>
      <errorWord>:</errorWord>
      <group>L1_Format</group>
      <groupName>格式问题</groupName>
      <ability>L2_HalfPunc</ability>
      <abilityName>全半角检查</abilityName>
      <candidateList>
        <item>：</item>
      </candidateList>
      <explain>文本全半角错误。</explain>
      <paraID>4CDF5146</paraID>
      <start>7</start>
      <end>8</end>
      <status>unmodified</status>
      <modifiedWord/>
      <trackRevisions>false</trackRevisions>
    </reviewItem>
    <reviewItem>
      <errorID>624c75ff-97a7-4b40-a0a8-491ad83be0e2</errorID>
      <errorWord>（</errorWord>
      <group>L1_Punc</group>
      <groupName>标点问题</groupName>
      <ability>L2_Punc</ability>
      <abilityName>标点符号检查</abilityName>
      <candidateList>
        <item/>
      </candidateList>
      <explain>同一形式括号套用。</explain>
      <paraID>3224E325</paraID>
      <start>0</start>
      <end>1</end>
      <status>unmodified</status>
      <modifiedWord/>
      <trackRevisions>false</trackRevisions>
    </reviewItem>
    <reviewItem>
      <errorID>f47de8e0-2c09-4e82-a751-09a8758fadcf</errorID>
      <errorWord>(</errorWord>
      <group>L1_Punc</group>
      <groupName>标点问题</groupName>
      <ability>L2_Punc</ability>
      <abilityName>标点符号检查</abilityName>
      <candidateList/>
      <explain>同一形式括号套用。</explain>
      <paraID>3224E325</paraID>
      <start>19</start>
      <end>20</end>
      <status>unmodified</status>
      <modifiedWord/>
      <trackRevisions>false</trackRevisions>
    </reviewItem>
    <reviewItem>
      <errorID>539dac89-5bd3-4ec3-9894-1f34f4d8be54</errorID>
      <errorWord>)</errorWord>
      <group>L1_Punc</group>
      <groupName>标点问题</groupName>
      <ability>L2_Punc</ability>
      <abilityName>标点符号检查</abilityName>
      <candidateList/>
      <explain>同一形式括号套用。</explain>
      <paraID>3224E325</paraID>
      <start>29</start>
      <end>30</end>
      <status>unmodified</status>
      <modifiedWord/>
      <trackRevisions>false</trackRevisions>
    </reviewItem>
    <reviewItem>
      <errorID>7f33f262-38dd-4ef2-8ecb-238c00f782db</errorID>
      <errorWord>）</errorWord>
      <group>L1_Punc</group>
      <groupName>标点问题</groupName>
      <ability>L2_Punc</ability>
      <abilityName>标点符号检查</abilityName>
      <candidateList/>
      <explain>同一形式括号套用。</explain>
      <paraID>3224E325</paraID>
      <start>44</start>
      <end>45</end>
      <status>unmodified</status>
      <modifiedWord/>
      <trackRevisions>false</trackRevisions>
    </reviewItem>
    <reviewItem>
      <errorID>62c42b4a-c910-422f-9302-f3aff92cdb0d</errorID>
      <errorWord>（2020）46号</errorWord>
      <group>L1_Knowledge</group>
      <groupName>知识性问题</groupName>
      <ability>L2_Knowledge</ability>
      <abilityName>其他知识</abilityName>
      <candidateList>
        <item>〔2020〕46号</item>
      </candidateList>
      <explain>发文字号格式错误。</explain>
      <paraID> 21BD85B</paraID>
      <start>23</start>
      <end>32</end>
      <status>unmodified</status>
      <modifiedWord/>
      <trackRevisions>false</trackRevisions>
    </reviewItem>
    <reviewItem>
      <errorID>c50f60ba-91b2-4df0-8969-42b8c81fb970</errorID>
      <errorWord>[2011]300号</errorWord>
      <group>L1_Knowledge</group>
      <groupName>知识性问题</groupName>
      <ability>L2_Knowledge</ability>
      <abilityName>其他知识</abilityName>
      <candidateList>
        <item>〔2011〕300号</item>
      </candidateList>
      <explain>发文字号格式错误。</explain>
      <paraID> 21BD85B</paraID>
      <start>87</start>
      <end>97</end>
      <status>unmodified</status>
      <modifiedWord/>
      <trackRevisions>false</trackRevisions>
    </reviewItem>
  </reviewItems>
  <config/>
</contractReview>
</file>

<file path=customXml/itemProps1.xml><?xml version="1.0" encoding="utf-8"?>
<ds:datastoreItem xmlns:ds="http://schemas.openxmlformats.org/officeDocument/2006/customXml" ds:itemID="{C8B539FA-BB12-43B3-915F-30379966F0C0}">
  <ds:schemaRefs/>
</ds:datastoreItem>
</file>

<file path=customXml/itemProps2.xml><?xml version="1.0" encoding="utf-8"?>
<ds:datastoreItem xmlns:ds="http://schemas.openxmlformats.org/officeDocument/2006/customXml" ds:itemID="{4017d6be-5148-48bc-bae0-5e8df414b4c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47</Pages>
  <Words>11659</Words>
  <Characters>12344</Characters>
  <Lines>193</Lines>
  <Paragraphs>54</Paragraphs>
  <TotalTime>86</TotalTime>
  <ScaleCrop>false</ScaleCrop>
  <LinksUpToDate>false</LinksUpToDate>
  <CharactersWithSpaces>12481</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2023-12-21T09:25:00Z</dcterms:created>
  <dc:creator>Administrator</dc:creator>
  <cp:lastModifiedBy>张张</cp:lastModifiedBy>
  <cp:lastPrinted>2025-12-23T02:37:00Z</cp:lastPrinted>
  <dcterms:modified xsi:type="dcterms:W3CDTF">2026-03-05T06:12:58Z</dcterms:modified>
  <cp:revision>266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1A03AFAAC6A54D6BB998B8CD17E70AD0_13</vt:lpwstr>
  </property>
  <property fmtid="{D5CDD505-2E9C-101B-9397-08002B2CF9AE}" pid="4" name="KSOTemplateDocerSaveRecord">
    <vt:lpwstr>eyJoZGlkIjoiMGU1OWZlM2JlZmVmYjlkYTZiMzBmOWY0NTkxMjJmNDkiLCJ1c2VySWQiOiI1MDU0MzIyNTgifQ==</vt:lpwstr>
  </property>
</Properties>
</file>