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3D6BA">
      <w:pPr>
        <w:widowControl w:val="0"/>
        <w:adjustRightInd w:val="0"/>
        <w:snapToGrid w:val="0"/>
        <w:spacing w:line="360" w:lineRule="auto"/>
        <w:jc w:val="center"/>
        <w:rPr>
          <w:color w:val="auto"/>
          <w:sz w:val="40"/>
          <w:szCs w:val="28"/>
          <w:highlight w:val="none"/>
          <w:lang w:val="en-IE"/>
        </w:rPr>
      </w:pPr>
      <w:r>
        <w:rPr>
          <w:color w:val="auto"/>
          <w:sz w:val="40"/>
          <w:szCs w:val="28"/>
          <w:highlight w:val="none"/>
          <w:lang w:val="en-IE"/>
        </w:rPr>
        <w:t xml:space="preserve">                                                                                             </w:t>
      </w:r>
    </w:p>
    <w:p w14:paraId="6FB15B56">
      <w:pPr>
        <w:widowControl w:val="0"/>
        <w:adjustRightInd w:val="0"/>
        <w:snapToGrid w:val="0"/>
        <w:spacing w:line="360" w:lineRule="auto"/>
        <w:jc w:val="center"/>
        <w:rPr>
          <w:color w:val="auto"/>
          <w:sz w:val="40"/>
          <w:szCs w:val="28"/>
          <w:highlight w:val="none"/>
        </w:rPr>
      </w:pPr>
    </w:p>
    <w:p w14:paraId="0248DDB6">
      <w:pPr>
        <w:widowControl w:val="0"/>
        <w:adjustRightInd w:val="0"/>
        <w:snapToGrid w:val="0"/>
        <w:spacing w:line="360" w:lineRule="auto"/>
        <w:jc w:val="center"/>
        <w:rPr>
          <w:color w:val="auto"/>
          <w:sz w:val="24"/>
          <w:highlight w:val="none"/>
        </w:rPr>
      </w:pPr>
      <w:r>
        <w:rPr>
          <w:rFonts w:hint="eastAsia"/>
          <w:color w:val="auto"/>
          <w:sz w:val="40"/>
          <w:szCs w:val="28"/>
          <w:highlight w:val="none"/>
        </w:rPr>
        <w:t>迈皋桥街道垃圾分类智能设备投口改造及维保服务</w:t>
      </w:r>
    </w:p>
    <w:p w14:paraId="09AD93B5">
      <w:pPr>
        <w:widowControl w:val="0"/>
        <w:jc w:val="center"/>
        <w:rPr>
          <w:rFonts w:hint="eastAsia" w:ascii="宋体" w:hAnsi="宋体" w:cs="宋体"/>
          <w:color w:val="auto"/>
          <w:sz w:val="28"/>
          <w:szCs w:val="24"/>
          <w:highlight w:val="none"/>
        </w:rPr>
      </w:pPr>
    </w:p>
    <w:p w14:paraId="601F9F54">
      <w:pPr>
        <w:widowControl w:val="0"/>
        <w:jc w:val="center"/>
        <w:rPr>
          <w:rFonts w:hint="eastAsia" w:ascii="宋体" w:hAnsi="宋体" w:cs="宋体"/>
          <w:color w:val="auto"/>
          <w:sz w:val="28"/>
          <w:szCs w:val="24"/>
          <w:highlight w:val="none"/>
        </w:rPr>
      </w:pPr>
    </w:p>
    <w:p w14:paraId="798D4B3C">
      <w:pPr>
        <w:widowControl w:val="0"/>
        <w:jc w:val="center"/>
        <w:rPr>
          <w:rFonts w:hint="eastAsia" w:ascii="宋体" w:hAnsi="宋体" w:cs="宋体"/>
          <w:color w:val="auto"/>
          <w:sz w:val="28"/>
          <w:szCs w:val="24"/>
          <w:highlight w:val="none"/>
        </w:rPr>
      </w:pPr>
      <w:r>
        <w:rPr>
          <w:rFonts w:hint="eastAsia" w:ascii="宋体" w:hAnsi="宋体" w:cs="宋体"/>
          <w:color w:val="auto"/>
          <w:sz w:val="28"/>
          <w:szCs w:val="24"/>
          <w:highlight w:val="none"/>
        </w:rPr>
        <w:t>项目编号：NJQZD-260</w:t>
      </w:r>
      <w:r>
        <w:rPr>
          <w:rFonts w:hint="eastAsia" w:ascii="宋体" w:hAnsi="宋体" w:cs="宋体"/>
          <w:color w:val="auto"/>
          <w:sz w:val="28"/>
          <w:szCs w:val="24"/>
          <w:highlight w:val="none"/>
          <w:lang w:val="en-US" w:eastAsia="zh-CN"/>
        </w:rPr>
        <w:t>30</w:t>
      </w:r>
      <w:r>
        <w:rPr>
          <w:rFonts w:hint="eastAsia" w:ascii="宋体" w:hAnsi="宋体" w:cs="宋体"/>
          <w:color w:val="auto"/>
          <w:sz w:val="28"/>
          <w:szCs w:val="24"/>
          <w:highlight w:val="none"/>
        </w:rPr>
        <w:t>-FW</w:t>
      </w:r>
    </w:p>
    <w:p w14:paraId="7AEEF5F2">
      <w:pPr>
        <w:widowControl w:val="0"/>
        <w:spacing w:line="237" w:lineRule="exact"/>
        <w:rPr>
          <w:color w:val="auto"/>
          <w:sz w:val="24"/>
          <w:highlight w:val="none"/>
        </w:rPr>
      </w:pPr>
    </w:p>
    <w:p w14:paraId="2F531BD0">
      <w:pPr>
        <w:pStyle w:val="20"/>
        <w:widowControl w:val="0"/>
        <w:rPr>
          <w:rFonts w:hint="eastAsia"/>
          <w:color w:val="auto"/>
          <w:highlight w:val="none"/>
        </w:rPr>
      </w:pPr>
    </w:p>
    <w:p w14:paraId="6FFFE9C2">
      <w:pPr>
        <w:pStyle w:val="20"/>
        <w:widowControl w:val="0"/>
        <w:rPr>
          <w:rFonts w:hint="eastAsia"/>
          <w:color w:val="auto"/>
          <w:highlight w:val="none"/>
        </w:rPr>
      </w:pPr>
    </w:p>
    <w:p w14:paraId="178E5D53">
      <w:pPr>
        <w:pStyle w:val="20"/>
        <w:widowControl w:val="0"/>
        <w:ind w:firstLine="0"/>
        <w:rPr>
          <w:rFonts w:hint="eastAsia"/>
          <w:color w:val="auto"/>
          <w:highlight w:val="none"/>
        </w:rPr>
      </w:pPr>
    </w:p>
    <w:p w14:paraId="4EEE98E3">
      <w:pPr>
        <w:pStyle w:val="20"/>
        <w:widowControl w:val="0"/>
        <w:rPr>
          <w:rFonts w:hint="eastAsia"/>
          <w:color w:val="auto"/>
          <w:highlight w:val="none"/>
        </w:rPr>
      </w:pPr>
    </w:p>
    <w:p w14:paraId="1956F794">
      <w:pPr>
        <w:widowControl w:val="0"/>
        <w:spacing w:line="0" w:lineRule="atLeast"/>
        <w:jc w:val="center"/>
        <w:rPr>
          <w:rFonts w:hint="eastAsia" w:ascii="宋体" w:hAnsi="宋体"/>
          <w:color w:val="auto"/>
          <w:sz w:val="112"/>
          <w:szCs w:val="18"/>
          <w:highlight w:val="none"/>
        </w:rPr>
      </w:pPr>
      <w:r>
        <w:rPr>
          <w:rFonts w:hint="eastAsia" w:ascii="宋体" w:hAnsi="宋体" w:cs="仿宋"/>
          <w:b/>
          <w:color w:val="auto"/>
          <w:sz w:val="72"/>
          <w:szCs w:val="60"/>
          <w:highlight w:val="none"/>
        </w:rPr>
        <w:t>竞争性磋商文件</w:t>
      </w:r>
    </w:p>
    <w:p w14:paraId="209743AB">
      <w:pPr>
        <w:widowControl w:val="0"/>
        <w:spacing w:line="200" w:lineRule="exact"/>
        <w:rPr>
          <w:rFonts w:eastAsia="Times New Roman"/>
          <w:color w:val="auto"/>
          <w:sz w:val="24"/>
          <w:highlight w:val="none"/>
        </w:rPr>
      </w:pPr>
    </w:p>
    <w:p w14:paraId="4C914C11">
      <w:pPr>
        <w:widowControl w:val="0"/>
        <w:spacing w:line="200" w:lineRule="exact"/>
        <w:rPr>
          <w:rFonts w:eastAsia="Times New Roman"/>
          <w:color w:val="auto"/>
          <w:sz w:val="24"/>
          <w:highlight w:val="none"/>
        </w:rPr>
      </w:pPr>
    </w:p>
    <w:p w14:paraId="08D4E4CB">
      <w:pPr>
        <w:widowControl w:val="0"/>
        <w:spacing w:line="200" w:lineRule="exact"/>
        <w:rPr>
          <w:rFonts w:eastAsia="Times New Roman"/>
          <w:color w:val="auto"/>
          <w:sz w:val="24"/>
          <w:highlight w:val="none"/>
        </w:rPr>
      </w:pPr>
    </w:p>
    <w:p w14:paraId="422EC505">
      <w:pPr>
        <w:widowControl w:val="0"/>
        <w:spacing w:line="200" w:lineRule="exact"/>
        <w:rPr>
          <w:rFonts w:eastAsia="Times New Roman"/>
          <w:color w:val="auto"/>
          <w:sz w:val="24"/>
          <w:highlight w:val="none"/>
        </w:rPr>
      </w:pPr>
    </w:p>
    <w:p w14:paraId="2BBAB2DD">
      <w:pPr>
        <w:widowControl w:val="0"/>
        <w:spacing w:line="200" w:lineRule="exact"/>
        <w:rPr>
          <w:rFonts w:eastAsia="Times New Roman"/>
          <w:color w:val="auto"/>
          <w:sz w:val="24"/>
          <w:highlight w:val="none"/>
        </w:rPr>
      </w:pPr>
    </w:p>
    <w:p w14:paraId="0BA515EB">
      <w:pPr>
        <w:widowControl w:val="0"/>
        <w:spacing w:line="200" w:lineRule="exact"/>
        <w:rPr>
          <w:rFonts w:eastAsia="Times New Roman"/>
          <w:color w:val="auto"/>
          <w:sz w:val="24"/>
          <w:highlight w:val="none"/>
        </w:rPr>
      </w:pPr>
    </w:p>
    <w:p w14:paraId="6ADC7D9A">
      <w:pPr>
        <w:widowControl w:val="0"/>
        <w:spacing w:line="200" w:lineRule="exact"/>
        <w:rPr>
          <w:rFonts w:eastAsia="Times New Roman"/>
          <w:color w:val="auto"/>
          <w:sz w:val="24"/>
          <w:highlight w:val="none"/>
        </w:rPr>
      </w:pPr>
    </w:p>
    <w:p w14:paraId="3BA56864">
      <w:pPr>
        <w:widowControl w:val="0"/>
        <w:spacing w:line="200" w:lineRule="exact"/>
        <w:rPr>
          <w:rFonts w:eastAsia="Times New Roman"/>
          <w:color w:val="auto"/>
          <w:sz w:val="24"/>
          <w:highlight w:val="none"/>
        </w:rPr>
      </w:pPr>
    </w:p>
    <w:p w14:paraId="7A5D1CFE">
      <w:pPr>
        <w:widowControl w:val="0"/>
        <w:spacing w:line="200" w:lineRule="exact"/>
        <w:rPr>
          <w:color w:val="auto"/>
          <w:sz w:val="24"/>
          <w:highlight w:val="none"/>
        </w:rPr>
      </w:pPr>
    </w:p>
    <w:p w14:paraId="53E5E48A">
      <w:pPr>
        <w:widowControl w:val="0"/>
        <w:spacing w:line="200" w:lineRule="exact"/>
        <w:rPr>
          <w:rFonts w:eastAsia="Times New Roman"/>
          <w:color w:val="auto"/>
          <w:sz w:val="24"/>
          <w:highlight w:val="none"/>
        </w:rPr>
      </w:pPr>
    </w:p>
    <w:p w14:paraId="021FF84F">
      <w:pPr>
        <w:widowControl w:val="0"/>
        <w:spacing w:line="260" w:lineRule="exact"/>
        <w:rPr>
          <w:rFonts w:eastAsia="Times New Roman"/>
          <w:color w:val="auto"/>
          <w:sz w:val="24"/>
          <w:highlight w:val="none"/>
        </w:rPr>
      </w:pPr>
    </w:p>
    <w:p w14:paraId="129AF029">
      <w:pPr>
        <w:widowControl w:val="0"/>
        <w:jc w:val="both"/>
        <w:rPr>
          <w:rFonts w:hint="eastAsia" w:ascii="宋体" w:hAnsi="宋体" w:cs="宋体"/>
          <w:color w:val="auto"/>
          <w:sz w:val="28"/>
          <w:szCs w:val="24"/>
          <w:highlight w:val="none"/>
        </w:rPr>
      </w:pPr>
    </w:p>
    <w:p w14:paraId="36331EC1">
      <w:pPr>
        <w:widowControl w:val="0"/>
        <w:spacing w:line="200" w:lineRule="exact"/>
        <w:rPr>
          <w:rFonts w:eastAsia="Times New Roman"/>
          <w:color w:val="auto"/>
          <w:sz w:val="24"/>
          <w:highlight w:val="none"/>
        </w:rPr>
      </w:pPr>
    </w:p>
    <w:p w14:paraId="7912EAF2">
      <w:pPr>
        <w:widowControl w:val="0"/>
        <w:spacing w:line="200" w:lineRule="exact"/>
        <w:rPr>
          <w:rFonts w:eastAsia="Times New Roman"/>
          <w:color w:val="auto"/>
          <w:sz w:val="24"/>
          <w:highlight w:val="none"/>
        </w:rPr>
      </w:pPr>
    </w:p>
    <w:p w14:paraId="7A3C5D7E">
      <w:pPr>
        <w:widowControl w:val="0"/>
        <w:spacing w:line="200" w:lineRule="exact"/>
        <w:rPr>
          <w:rFonts w:eastAsia="Times New Roman"/>
          <w:color w:val="auto"/>
          <w:sz w:val="24"/>
          <w:highlight w:val="none"/>
        </w:rPr>
      </w:pPr>
    </w:p>
    <w:p w14:paraId="1845D926">
      <w:pPr>
        <w:widowControl w:val="0"/>
        <w:spacing w:line="200" w:lineRule="exact"/>
        <w:rPr>
          <w:rFonts w:eastAsia="Times New Roman"/>
          <w:color w:val="auto"/>
          <w:sz w:val="24"/>
          <w:highlight w:val="none"/>
        </w:rPr>
      </w:pPr>
    </w:p>
    <w:p w14:paraId="5D1B4C52">
      <w:pPr>
        <w:widowControl w:val="0"/>
        <w:spacing w:line="200" w:lineRule="exact"/>
        <w:rPr>
          <w:rFonts w:eastAsia="Times New Roman"/>
          <w:color w:val="auto"/>
          <w:sz w:val="24"/>
          <w:highlight w:val="none"/>
        </w:rPr>
      </w:pPr>
    </w:p>
    <w:p w14:paraId="6442D70A">
      <w:pPr>
        <w:widowControl w:val="0"/>
        <w:spacing w:line="200" w:lineRule="exact"/>
        <w:rPr>
          <w:rFonts w:eastAsia="Times New Roman"/>
          <w:color w:val="auto"/>
          <w:sz w:val="24"/>
          <w:highlight w:val="none"/>
        </w:rPr>
      </w:pPr>
    </w:p>
    <w:p w14:paraId="14365D2F">
      <w:pPr>
        <w:pStyle w:val="20"/>
        <w:widowControl w:val="0"/>
        <w:rPr>
          <w:rFonts w:hint="eastAsia"/>
          <w:color w:val="auto"/>
          <w:highlight w:val="none"/>
        </w:rPr>
      </w:pPr>
    </w:p>
    <w:p w14:paraId="08FF0953">
      <w:pPr>
        <w:widowControl w:val="0"/>
        <w:spacing w:line="360" w:lineRule="auto"/>
        <w:ind w:firstLine="964"/>
        <w:rPr>
          <w:rFonts w:hint="eastAsia" w:ascii="宋体" w:hAnsi="宋体" w:cs="仿宋"/>
          <w:b/>
          <w:bCs/>
          <w:color w:val="auto"/>
          <w:sz w:val="32"/>
          <w:szCs w:val="32"/>
          <w:highlight w:val="none"/>
        </w:rPr>
      </w:pPr>
      <w:r>
        <w:rPr>
          <w:rFonts w:hint="eastAsia" w:ascii="宋体" w:hAnsi="宋体" w:cs="仿宋"/>
          <w:b/>
          <w:bCs/>
          <w:color w:val="auto"/>
          <w:sz w:val="32"/>
          <w:szCs w:val="32"/>
          <w:highlight w:val="none"/>
        </w:rPr>
        <w:t>采购人：南京市栖霞区人民政府迈皋桥街道办事处</w:t>
      </w:r>
    </w:p>
    <w:p w14:paraId="5A3FE4F9">
      <w:pPr>
        <w:widowControl w:val="0"/>
        <w:spacing w:line="360" w:lineRule="auto"/>
        <w:ind w:firstLine="964"/>
        <w:rPr>
          <w:rFonts w:hint="eastAsia" w:ascii="宋体" w:hAnsi="宋体" w:cs="仿宋"/>
          <w:b/>
          <w:bCs/>
          <w:color w:val="auto"/>
          <w:sz w:val="32"/>
          <w:szCs w:val="32"/>
          <w:highlight w:val="none"/>
        </w:rPr>
      </w:pPr>
      <w:r>
        <w:rPr>
          <w:rFonts w:hint="eastAsia" w:ascii="宋体" w:hAnsi="宋体" w:cs="仿宋"/>
          <w:b/>
          <w:bCs/>
          <w:color w:val="auto"/>
          <w:sz w:val="32"/>
          <w:szCs w:val="32"/>
          <w:highlight w:val="none"/>
        </w:rPr>
        <w:t>代理人：南京勤泽道工程项目管理有限公司</w:t>
      </w:r>
    </w:p>
    <w:p w14:paraId="6B1D55CD">
      <w:pPr>
        <w:widowControl w:val="0"/>
        <w:spacing w:line="360" w:lineRule="auto"/>
        <w:jc w:val="center"/>
        <w:rPr>
          <w:rFonts w:hint="eastAsia" w:ascii="宋体" w:hAnsi="宋体" w:cs="仿宋"/>
          <w:b/>
          <w:bCs/>
          <w:color w:val="auto"/>
          <w:sz w:val="32"/>
          <w:szCs w:val="32"/>
          <w:highlight w:val="none"/>
        </w:rPr>
      </w:pPr>
      <w:bookmarkStart w:id="0" w:name="page2"/>
      <w:bookmarkEnd w:id="0"/>
      <w:r>
        <w:rPr>
          <w:rFonts w:hint="eastAsia" w:ascii="宋体" w:hAnsi="宋体" w:cs="仿宋"/>
          <w:b/>
          <w:bCs/>
          <w:color w:val="auto"/>
          <w:sz w:val="32"/>
          <w:szCs w:val="32"/>
          <w:highlight w:val="none"/>
        </w:rPr>
        <w:t>二〇二六年</w:t>
      </w:r>
      <w:r>
        <w:rPr>
          <w:rFonts w:hint="eastAsia" w:ascii="宋体" w:hAnsi="宋体" w:cs="仿宋"/>
          <w:b/>
          <w:bCs/>
          <w:color w:val="auto"/>
          <w:sz w:val="32"/>
          <w:szCs w:val="32"/>
          <w:highlight w:val="none"/>
          <w:lang w:val="en-US" w:eastAsia="zh-CN"/>
        </w:rPr>
        <w:t>六</w:t>
      </w:r>
      <w:r>
        <w:rPr>
          <w:rFonts w:hint="eastAsia" w:ascii="宋体" w:hAnsi="宋体" w:cs="仿宋"/>
          <w:b/>
          <w:bCs/>
          <w:color w:val="auto"/>
          <w:sz w:val="32"/>
          <w:szCs w:val="32"/>
          <w:highlight w:val="none"/>
        </w:rPr>
        <w:t>月</w:t>
      </w:r>
    </w:p>
    <w:p w14:paraId="5D806F62">
      <w:pPr>
        <w:pStyle w:val="3"/>
        <w:keepNext w:val="0"/>
        <w:keepLines w:val="0"/>
        <w:widowControl w:val="0"/>
        <w:numPr>
          <w:ilvl w:val="0"/>
          <w:numId w:val="1"/>
        </w:numPr>
        <w:rPr>
          <w:rFonts w:ascii="黑体" w:eastAsia="黑体" w:cs="黑体"/>
          <w:color w:val="auto"/>
          <w:szCs w:val="36"/>
          <w:highlight w:val="none"/>
          <w:lang w:val="zh-CN"/>
        </w:rPr>
        <w:sectPr>
          <w:headerReference r:id="rId3" w:type="default"/>
          <w:footerReference r:id="rId4" w:type="default"/>
          <w:pgSz w:w="11905" w:h="16838"/>
          <w:pgMar w:top="1191" w:right="1174" w:bottom="1157" w:left="1088" w:header="850" w:footer="992" w:gutter="0"/>
          <w:pgNumType w:start="1"/>
          <w:cols w:space="0" w:num="1"/>
          <w:titlePg/>
          <w:docGrid w:linePitch="360" w:charSpace="0"/>
        </w:sectPr>
      </w:pPr>
    </w:p>
    <w:p w14:paraId="5F6C53D0">
      <w:pPr>
        <w:pStyle w:val="3"/>
        <w:keepNext w:val="0"/>
        <w:keepLines w:val="0"/>
        <w:widowControl w:val="0"/>
        <w:numPr>
          <w:ilvl w:val="0"/>
          <w:numId w:val="1"/>
        </w:numPr>
        <w:rPr>
          <w:rFonts w:ascii="黑体" w:eastAsia="黑体" w:cs="黑体"/>
          <w:color w:val="auto"/>
          <w:szCs w:val="36"/>
          <w:highlight w:val="none"/>
          <w:lang w:val="zh-CN"/>
        </w:rPr>
      </w:pPr>
      <w:r>
        <w:rPr>
          <w:rFonts w:hint="eastAsia"/>
          <w:color w:val="auto"/>
          <w:highlight w:val="none"/>
          <w:lang w:val="zh-CN"/>
        </w:rPr>
        <w:t>竞争性磋商公告</w:t>
      </w:r>
    </w:p>
    <w:p w14:paraId="4DA6F446">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项目概况</w:t>
      </w:r>
    </w:p>
    <w:p w14:paraId="786FA163">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迈皋桥街道垃圾分类智能设备投口改造及维保服务采购项目的潜在供应商应在</w:t>
      </w:r>
      <w:r>
        <w:rPr>
          <w:rFonts w:hint="eastAsia"/>
          <w:color w:val="auto"/>
          <w:highlight w:val="none"/>
          <w:lang w:eastAsia="zh-CN"/>
        </w:rPr>
        <w:t>“</w:t>
      </w:r>
      <w:r>
        <w:rPr>
          <w:rFonts w:hint="eastAsia"/>
          <w:color w:val="auto"/>
          <w:highlight w:val="none"/>
          <w:lang w:val="en-US" w:eastAsia="zh-CN"/>
        </w:rPr>
        <w:t>南京市栖霞区人民政府”网站</w:t>
      </w:r>
      <w:r>
        <w:rPr>
          <w:rFonts w:hint="eastAsia"/>
          <w:color w:val="auto"/>
          <w:highlight w:val="none"/>
        </w:rPr>
        <w:t>获取竞争性磋商文件，并于2026年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23日9</w:t>
      </w:r>
      <w:r>
        <w:rPr>
          <w:rFonts w:hint="eastAsia"/>
          <w:color w:val="auto"/>
          <w:highlight w:val="none"/>
        </w:rPr>
        <w:t>时30分（北京时间）前提交响应文件。</w:t>
      </w:r>
    </w:p>
    <w:p w14:paraId="464A1DFA">
      <w:pPr>
        <w:pStyle w:val="11"/>
        <w:widowControl w:val="0"/>
        <w:spacing w:before="0" w:beforeAutospacing="0" w:after="0" w:afterAutospacing="0" w:line="360" w:lineRule="auto"/>
        <w:rPr>
          <w:rFonts w:hint="eastAsia"/>
          <w:color w:val="auto"/>
          <w:highlight w:val="none"/>
        </w:rPr>
      </w:pPr>
      <w:r>
        <w:rPr>
          <w:rFonts w:hint="eastAsia"/>
          <w:color w:val="auto"/>
          <w:highlight w:val="none"/>
        </w:rPr>
        <w:t>一、项目基本情况</w:t>
      </w:r>
    </w:p>
    <w:p w14:paraId="6B7C2CBC">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项目编号：NJQZD-260</w:t>
      </w:r>
      <w:r>
        <w:rPr>
          <w:rFonts w:hint="eastAsia"/>
          <w:color w:val="auto"/>
          <w:highlight w:val="none"/>
          <w:lang w:val="en-US" w:eastAsia="zh-CN"/>
        </w:rPr>
        <w:t>30</w:t>
      </w:r>
      <w:r>
        <w:rPr>
          <w:rFonts w:hint="eastAsia"/>
          <w:color w:val="auto"/>
          <w:highlight w:val="none"/>
        </w:rPr>
        <w:t>-FW</w:t>
      </w:r>
    </w:p>
    <w:p w14:paraId="01FB863A">
      <w:pPr>
        <w:pStyle w:val="11"/>
        <w:widowControl w:val="0"/>
        <w:spacing w:before="0" w:beforeAutospacing="0" w:after="0" w:afterAutospacing="0" w:line="360" w:lineRule="auto"/>
        <w:ind w:firstLine="420"/>
        <w:rPr>
          <w:rFonts w:hint="eastAsia"/>
          <w:color w:val="auto"/>
          <w:spacing w:val="-6"/>
          <w:highlight w:val="none"/>
        </w:rPr>
      </w:pPr>
      <w:r>
        <w:rPr>
          <w:rFonts w:hint="eastAsia"/>
          <w:color w:val="auto"/>
          <w:highlight w:val="none"/>
        </w:rPr>
        <w:t>项目名称：迈皋桥街道垃圾分类智能设备投口改造及维保服务</w:t>
      </w:r>
    </w:p>
    <w:p w14:paraId="7492F48B">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预算金额：59.00万元</w:t>
      </w:r>
    </w:p>
    <w:p w14:paraId="5362AD07">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最高限价：</w:t>
      </w:r>
      <w:bookmarkStart w:id="1" w:name="_Hlk225330137"/>
      <w:r>
        <w:rPr>
          <w:rFonts w:hint="eastAsia"/>
          <w:color w:val="auto"/>
          <w:highlight w:val="none"/>
        </w:rPr>
        <w:t>59.00万元，供应商报价超过最高限价的作无效投标处理。</w:t>
      </w:r>
      <w:bookmarkEnd w:id="1"/>
    </w:p>
    <w:p w14:paraId="1B468C40">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采购需求：迈皋桥街道垃圾分类智能设备投口改造及维保服务，具体详见竞争性磋商文件。</w:t>
      </w:r>
    </w:p>
    <w:p w14:paraId="61D9FDD3">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合同履行期限：自合同签订之日起一年。</w:t>
      </w:r>
    </w:p>
    <w:p w14:paraId="69CBE76D">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本项目（</w:t>
      </w:r>
      <w:r>
        <w:rPr>
          <w:rStyle w:val="15"/>
          <w:rFonts w:hint="eastAsia"/>
          <w:i w:val="0"/>
          <w:color w:val="auto"/>
          <w:highlight w:val="none"/>
        </w:rPr>
        <w:t>是/否</w:t>
      </w:r>
      <w:r>
        <w:rPr>
          <w:rFonts w:hint="eastAsia"/>
          <w:color w:val="auto"/>
          <w:highlight w:val="none"/>
        </w:rPr>
        <w:t>）接受联合体投标：否。</w:t>
      </w:r>
    </w:p>
    <w:p w14:paraId="6BD19C9D">
      <w:pPr>
        <w:pStyle w:val="11"/>
        <w:widowControl w:val="0"/>
        <w:spacing w:before="0" w:beforeAutospacing="0" w:after="0" w:afterAutospacing="0" w:line="360" w:lineRule="auto"/>
        <w:rPr>
          <w:rFonts w:hint="eastAsia"/>
          <w:color w:val="auto"/>
          <w:highlight w:val="none"/>
        </w:rPr>
      </w:pPr>
      <w:r>
        <w:rPr>
          <w:rFonts w:hint="eastAsia"/>
          <w:color w:val="auto"/>
          <w:highlight w:val="none"/>
        </w:rPr>
        <w:t>二、申请人的资格要求：</w:t>
      </w:r>
    </w:p>
    <w:p w14:paraId="4244B1DF">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1.满足《中华人民共和国政府采购法》第二十二条规定：</w:t>
      </w:r>
    </w:p>
    <w:p w14:paraId="550E9E73">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（1）具有独立承担民事责任的能力(提供法人或者其他组织的营业执照，自然人的身份证明，复印件加盖公章)；</w:t>
      </w:r>
    </w:p>
    <w:p w14:paraId="733DEE19">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2）具有良好的商业信誉和健全的财务会计制度(提供参加本次采购活动前半年任意一个月的会计报表或提供2024年度的财务审计报告，或磋商截止时间前六个月内银行出具的资信证明，成立不满一个月不需提供)；</w:t>
      </w:r>
    </w:p>
    <w:p w14:paraId="49E9304F">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（3）具有履行采购合同所必需的设备和专业技术能力的书面声明（供应商根据履行采购项目合同需要，提供履行合同所必需的设备和专业技术能力的证明材料）；</w:t>
      </w:r>
    </w:p>
    <w:p w14:paraId="0F27B122">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（4）具有依法缴纳税收和社会保障资金的良好记录（提供参加本次磋商采购活动前缴纳税收的凭据；并提供缴纳社会保险的凭据（专用收据或社会保险缴纳清单），成立不满一个月不需提供）；</w:t>
      </w:r>
    </w:p>
    <w:p w14:paraId="542616C4">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（5）参加本次采购活动前三年内，在经营活动中没有重大违法记录（格式见附件）；</w:t>
      </w:r>
    </w:p>
    <w:p w14:paraId="54458F75">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（6）法律、行政法规规定的其他条件：无。</w:t>
      </w:r>
    </w:p>
    <w:p w14:paraId="1B30AC2F">
      <w:pPr>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2.落实政府采购政策需满足的资格要求：本项目为非预留份额的采购项目或采购包，执行价格扣除优惠政策，具体详见第三章评标办法与标准。</w:t>
      </w:r>
    </w:p>
    <w:p w14:paraId="7661CF95">
      <w:pPr>
        <w:pStyle w:val="11"/>
        <w:widowControl w:val="0"/>
        <w:adjustRightInd w:val="0"/>
        <w:snapToGrid w:val="0"/>
        <w:spacing w:before="0" w:beforeAutospacing="0" w:after="0" w:afterAutospacing="0" w:line="360" w:lineRule="auto"/>
        <w:ind w:firstLine="480" w:firstLineChars="200"/>
        <w:rPr>
          <w:rFonts w:hint="eastAsia"/>
          <w:color w:val="auto"/>
          <w:highlight w:val="none"/>
        </w:rPr>
      </w:pPr>
      <w:r>
        <w:rPr>
          <w:rFonts w:hint="eastAsia"/>
          <w:color w:val="auto"/>
          <w:highlight w:val="none"/>
        </w:rPr>
        <w:t>3.本项目的特定资格要求：无</w:t>
      </w:r>
    </w:p>
    <w:p w14:paraId="54C7D99A">
      <w:pPr>
        <w:pStyle w:val="11"/>
        <w:widowControl w:val="0"/>
        <w:adjustRightInd w:val="0"/>
        <w:snapToGrid w:val="0"/>
        <w:spacing w:before="0" w:beforeAutospacing="0" w:after="0" w:afterAutospacing="0" w:line="360" w:lineRule="auto"/>
        <w:ind w:firstLine="480" w:firstLineChars="200"/>
        <w:rPr>
          <w:rFonts w:hint="eastAsia"/>
          <w:color w:val="auto"/>
          <w:highlight w:val="none"/>
        </w:rPr>
      </w:pPr>
      <w:r>
        <w:rPr>
          <w:rFonts w:hint="eastAsia"/>
          <w:color w:val="auto"/>
          <w:highlight w:val="none"/>
        </w:rPr>
        <w:t>4.</w:t>
      </w:r>
      <w:r>
        <w:rPr>
          <w:rFonts w:ascii="Arial" w:hAnsi="Arial" w:cs="Arial"/>
          <w:color w:val="auto"/>
          <w:sz w:val="20"/>
          <w:szCs w:val="20"/>
          <w:highlight w:val="none"/>
          <w:shd w:val="clear" w:color="auto" w:fill="FFFFFF"/>
        </w:rPr>
        <w:t xml:space="preserve"> </w:t>
      </w:r>
      <w:r>
        <w:rPr>
          <w:color w:val="auto"/>
          <w:highlight w:val="none"/>
        </w:rPr>
        <w:t>提供《南京市政府采购供应商信用记录表暨信用承诺书》</w:t>
      </w:r>
      <w:r>
        <w:rPr>
          <w:rFonts w:hint="eastAsia"/>
          <w:color w:val="auto"/>
          <w:highlight w:val="none"/>
        </w:rPr>
        <w:t>，</w:t>
      </w:r>
      <w:r>
        <w:rPr>
          <w:color w:val="auto"/>
          <w:highlight w:val="none"/>
        </w:rPr>
        <w:t>网站在线打印，法定代表人签字并</w:t>
      </w:r>
      <w:r>
        <w:rPr>
          <w:rFonts w:hint="eastAsia"/>
          <w:color w:val="auto"/>
          <w:highlight w:val="none"/>
        </w:rPr>
        <w:t>加</w:t>
      </w:r>
      <w:r>
        <w:rPr>
          <w:color w:val="auto"/>
          <w:highlight w:val="none"/>
        </w:rPr>
        <w:t>盖单位公章。</w:t>
      </w:r>
    </w:p>
    <w:p w14:paraId="4D9C6D12">
      <w:pPr>
        <w:pStyle w:val="11"/>
        <w:widowControl w:val="0"/>
        <w:spacing w:before="0" w:beforeAutospacing="0" w:after="0" w:afterAutospacing="0" w:line="360" w:lineRule="auto"/>
        <w:rPr>
          <w:rFonts w:hint="eastAsia"/>
          <w:color w:val="auto"/>
          <w:highlight w:val="none"/>
        </w:rPr>
      </w:pPr>
      <w:r>
        <w:rPr>
          <w:rFonts w:hint="eastAsia"/>
          <w:color w:val="auto"/>
          <w:highlight w:val="none"/>
        </w:rPr>
        <w:t>三、获取采购文件</w:t>
      </w:r>
    </w:p>
    <w:p w14:paraId="3D307137">
      <w:pPr>
        <w:pStyle w:val="11"/>
        <w:widowControl w:val="0"/>
        <w:spacing w:before="0" w:beforeAutospacing="0" w:after="0" w:afterAutospacing="0" w:line="360" w:lineRule="auto"/>
        <w:ind w:firstLine="480" w:firstLineChars="200"/>
        <w:rPr>
          <w:rFonts w:hint="eastAsia"/>
          <w:color w:val="auto"/>
          <w:highlight w:val="none"/>
        </w:rPr>
      </w:pPr>
      <w:r>
        <w:rPr>
          <w:rFonts w:hint="eastAsia"/>
          <w:color w:val="auto"/>
          <w:highlight w:val="none"/>
        </w:rPr>
        <w:t>获取时间：</w:t>
      </w:r>
      <w:r>
        <w:rPr>
          <w:color w:val="auto"/>
          <w:highlight w:val="none"/>
        </w:rPr>
        <w:t>2026年</w:t>
      </w:r>
      <w:r>
        <w:rPr>
          <w:rFonts w:hint="eastAsia"/>
          <w:color w:val="auto"/>
          <w:highlight w:val="none"/>
          <w:lang w:val="en-US" w:eastAsia="zh-CN"/>
        </w:rPr>
        <w:t>6</w:t>
      </w:r>
      <w:r>
        <w:rPr>
          <w:color w:val="auto"/>
          <w:highlight w:val="none"/>
        </w:rPr>
        <w:t>月</w:t>
      </w:r>
      <w:r>
        <w:rPr>
          <w:rFonts w:hint="eastAsia"/>
          <w:color w:val="auto"/>
          <w:highlight w:val="none"/>
          <w:lang w:val="en-US" w:eastAsia="zh-CN"/>
        </w:rPr>
        <w:t>12</w:t>
      </w:r>
      <w:r>
        <w:rPr>
          <w:color w:val="auto"/>
          <w:highlight w:val="none"/>
        </w:rPr>
        <w:t>日至2026年</w:t>
      </w:r>
      <w:r>
        <w:rPr>
          <w:rFonts w:hint="eastAsia"/>
          <w:color w:val="auto"/>
          <w:highlight w:val="none"/>
          <w:lang w:val="en-US" w:eastAsia="zh-CN"/>
        </w:rPr>
        <w:t>6</w:t>
      </w:r>
      <w:r>
        <w:rPr>
          <w:color w:val="auto"/>
          <w:highlight w:val="none"/>
        </w:rPr>
        <w:t>月</w:t>
      </w:r>
      <w:r>
        <w:rPr>
          <w:rFonts w:hint="eastAsia"/>
          <w:color w:val="auto"/>
          <w:highlight w:val="none"/>
          <w:lang w:val="en-US" w:eastAsia="zh-CN"/>
        </w:rPr>
        <w:t>22</w:t>
      </w:r>
      <w:r>
        <w:rPr>
          <w:color w:val="auto"/>
          <w:highlight w:val="none"/>
        </w:rPr>
        <w:t>日（北京时间，法定节假日除外）</w:t>
      </w:r>
      <w:r>
        <w:rPr>
          <w:rFonts w:hint="eastAsia"/>
          <w:color w:val="auto"/>
          <w:highlight w:val="none"/>
        </w:rPr>
        <w:t>。</w:t>
      </w:r>
    </w:p>
    <w:p w14:paraId="215E9785">
      <w:pPr>
        <w:pStyle w:val="11"/>
        <w:widowControl w:val="0"/>
        <w:spacing w:before="0" w:beforeAutospacing="0" w:after="0" w:afterAutospacing="0" w:line="360" w:lineRule="auto"/>
        <w:ind w:firstLine="480" w:firstLineChars="200"/>
        <w:rPr>
          <w:rFonts w:hint="eastAsia"/>
          <w:color w:val="auto"/>
          <w:highlight w:val="none"/>
        </w:rPr>
      </w:pPr>
      <w:r>
        <w:rPr>
          <w:rFonts w:hint="eastAsia"/>
          <w:color w:val="auto"/>
          <w:highlight w:val="none"/>
        </w:rPr>
        <w:t>获取方式：</w:t>
      </w:r>
      <w:r>
        <w:rPr>
          <w:color w:val="auto"/>
          <w:highlight w:val="none"/>
        </w:rPr>
        <w:t>免费</w:t>
      </w:r>
      <w:r>
        <w:rPr>
          <w:rFonts w:hint="eastAsia"/>
          <w:color w:val="auto"/>
          <w:highlight w:val="none"/>
        </w:rPr>
        <w:t>下载获取，</w:t>
      </w:r>
      <w:r>
        <w:rPr>
          <w:color w:val="auto"/>
          <w:highlight w:val="none"/>
        </w:rPr>
        <w:fldChar w:fldCharType="begin"/>
      </w:r>
      <w:r>
        <w:rPr>
          <w:color w:val="auto"/>
          <w:highlight w:val="none"/>
        </w:rPr>
        <w:instrText xml:space="preserve"> HYPERLINK "mailto:请将经办人身份证复印件加盖公章以附件形式上传发送至代理机构邮箱2068841442@qq.com，邮件主题标明项目编号NJQZD-26015-FW+申请人名称，免费获取。" </w:instrText>
      </w:r>
      <w:r>
        <w:rPr>
          <w:color w:val="auto"/>
          <w:highlight w:val="none"/>
        </w:rPr>
        <w:fldChar w:fldCharType="separate"/>
      </w:r>
      <w:r>
        <w:rPr>
          <w:rFonts w:hint="eastAsia"/>
          <w:color w:val="auto"/>
          <w:highlight w:val="none"/>
        </w:rPr>
        <w:t>供应商在获取</w:t>
      </w:r>
      <w:r>
        <w:rPr>
          <w:color w:val="auto"/>
          <w:highlight w:val="none"/>
        </w:rPr>
        <w:t>磋商文件规定时间内</w:t>
      </w:r>
      <w:r>
        <w:rPr>
          <w:rFonts w:hint="eastAsia"/>
          <w:color w:val="auto"/>
          <w:highlight w:val="none"/>
        </w:rPr>
        <w:t>将单位介绍信原件（或授权委托书原件）、委托代理人身份证复印件加盖公章以附件形式上传发送至代理机构邮箱2068841442@qq.com</w:t>
      </w:r>
      <w:r>
        <w:rPr>
          <w:color w:val="auto"/>
          <w:highlight w:val="none"/>
        </w:rPr>
        <w:t>，邮件主题标明项目编号+申请人名称</w:t>
      </w:r>
      <w:r>
        <w:rPr>
          <w:rFonts w:hint="eastAsia"/>
          <w:color w:val="auto"/>
          <w:highlight w:val="none"/>
        </w:rPr>
        <w:t>。</w:t>
      </w:r>
      <w:r>
        <w:rPr>
          <w:rFonts w:hint="eastAsia"/>
          <w:color w:val="auto"/>
          <w:highlight w:val="none"/>
        </w:rPr>
        <w:fldChar w:fldCharType="end"/>
      </w:r>
    </w:p>
    <w:p w14:paraId="0181BCC9">
      <w:pPr>
        <w:pStyle w:val="11"/>
        <w:widowControl w:val="0"/>
        <w:spacing w:before="0" w:beforeAutospacing="0" w:after="0" w:afterAutospacing="0" w:line="360" w:lineRule="auto"/>
        <w:ind w:firstLine="480" w:firstLineChars="200"/>
        <w:rPr>
          <w:rFonts w:hint="eastAsia"/>
          <w:color w:val="auto"/>
          <w:highlight w:val="none"/>
        </w:rPr>
      </w:pPr>
      <w:r>
        <w:rPr>
          <w:rFonts w:hint="eastAsia"/>
          <w:color w:val="auto"/>
          <w:highlight w:val="none"/>
        </w:rPr>
        <w:t>四、响应文件提交</w:t>
      </w:r>
    </w:p>
    <w:p w14:paraId="5FD0C2F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提交开始时间：2026年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时00分（北京时间）；</w:t>
      </w:r>
    </w:p>
    <w:p w14:paraId="5D30634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提交截止时间：2026年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时30分（北京时间）；</w:t>
      </w:r>
    </w:p>
    <w:p w14:paraId="0033F7D9">
      <w:pPr>
        <w:pStyle w:val="11"/>
        <w:widowControl w:val="0"/>
        <w:spacing w:before="0" w:beforeAutospacing="0" w:after="0" w:afterAutospacing="0" w:line="360" w:lineRule="auto"/>
        <w:ind w:firstLine="480" w:firstLineChars="200"/>
        <w:rPr>
          <w:rFonts w:hint="eastAsia"/>
          <w:color w:val="auto"/>
          <w:highlight w:val="none"/>
        </w:rPr>
      </w:pPr>
      <w:r>
        <w:rPr>
          <w:rFonts w:hint="eastAsia"/>
          <w:color w:val="auto"/>
          <w:highlight w:val="none"/>
        </w:rPr>
        <w:t>地点：南京市玄武区红山路常发广场2号楼520室</w:t>
      </w:r>
    </w:p>
    <w:p w14:paraId="79B1CEFF">
      <w:pPr>
        <w:pStyle w:val="11"/>
        <w:widowControl w:val="0"/>
        <w:spacing w:before="0" w:beforeAutospacing="0" w:after="0" w:afterAutospacing="0" w:line="360" w:lineRule="auto"/>
        <w:rPr>
          <w:rFonts w:hint="eastAsia"/>
          <w:color w:val="auto"/>
          <w:highlight w:val="none"/>
        </w:rPr>
      </w:pPr>
      <w:r>
        <w:rPr>
          <w:rFonts w:hint="eastAsia"/>
          <w:color w:val="auto"/>
          <w:highlight w:val="none"/>
        </w:rPr>
        <w:t>五、开启</w:t>
      </w:r>
    </w:p>
    <w:p w14:paraId="43E588A0">
      <w:pPr>
        <w:pStyle w:val="11"/>
        <w:widowControl w:val="0"/>
        <w:spacing w:before="0" w:beforeAutospacing="0" w:after="0" w:afterAutospacing="0" w:line="360" w:lineRule="auto"/>
        <w:ind w:firstLine="480"/>
        <w:rPr>
          <w:rFonts w:hint="eastAsia"/>
          <w:color w:val="auto"/>
          <w:highlight w:val="none"/>
        </w:rPr>
      </w:pPr>
      <w:r>
        <w:rPr>
          <w:rFonts w:hint="eastAsia"/>
          <w:color w:val="auto"/>
          <w:highlight w:val="none"/>
        </w:rPr>
        <w:t>时间：2026年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23</w:t>
      </w:r>
      <w:r>
        <w:rPr>
          <w:rFonts w:hint="eastAsia"/>
          <w:color w:val="auto"/>
          <w:highlight w:val="none"/>
        </w:rPr>
        <w:t>日</w:t>
      </w:r>
      <w:r>
        <w:rPr>
          <w:rFonts w:hint="eastAsia"/>
          <w:color w:val="auto"/>
          <w:highlight w:val="none"/>
          <w:lang w:val="en-US" w:eastAsia="zh-CN"/>
        </w:rPr>
        <w:t>9</w:t>
      </w:r>
      <w:r>
        <w:rPr>
          <w:rFonts w:hint="eastAsia"/>
          <w:color w:val="auto"/>
          <w:highlight w:val="none"/>
        </w:rPr>
        <w:t>时30分（北京时间）</w:t>
      </w:r>
    </w:p>
    <w:p w14:paraId="346E53DD">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地点：南京市玄武区红山路常发广场2号楼520室</w:t>
      </w:r>
    </w:p>
    <w:p w14:paraId="67F39A6C">
      <w:pPr>
        <w:pStyle w:val="11"/>
        <w:widowControl w:val="0"/>
        <w:spacing w:before="0" w:beforeAutospacing="0" w:after="0" w:afterAutospacing="0" w:line="360" w:lineRule="auto"/>
        <w:rPr>
          <w:rFonts w:hint="eastAsia"/>
          <w:color w:val="auto"/>
          <w:highlight w:val="none"/>
        </w:rPr>
      </w:pPr>
      <w:r>
        <w:rPr>
          <w:rFonts w:hint="eastAsia"/>
          <w:color w:val="auto"/>
          <w:highlight w:val="none"/>
        </w:rPr>
        <w:t>六、公告期限</w:t>
      </w:r>
    </w:p>
    <w:p w14:paraId="40F9D9FE">
      <w:pPr>
        <w:pStyle w:val="11"/>
        <w:widowControl w:val="0"/>
        <w:spacing w:before="0" w:beforeAutospacing="0" w:after="0" w:afterAutospacing="0" w:line="360" w:lineRule="auto"/>
        <w:ind w:firstLine="420"/>
        <w:rPr>
          <w:rFonts w:hint="eastAsia"/>
          <w:color w:val="auto"/>
          <w:highlight w:val="none"/>
        </w:rPr>
      </w:pPr>
      <w:r>
        <w:rPr>
          <w:rFonts w:hint="eastAsia"/>
          <w:color w:val="auto"/>
          <w:highlight w:val="none"/>
        </w:rPr>
        <w:t>自本公告发布之日起5个工作日。</w:t>
      </w:r>
    </w:p>
    <w:p w14:paraId="05A6278D">
      <w:pPr>
        <w:pStyle w:val="11"/>
        <w:widowControl w:val="0"/>
        <w:spacing w:before="0" w:beforeAutospacing="0" w:after="0" w:afterAutospacing="0" w:line="360" w:lineRule="auto"/>
        <w:rPr>
          <w:rFonts w:hint="eastAsia"/>
          <w:color w:val="auto"/>
          <w:highlight w:val="none"/>
        </w:rPr>
      </w:pPr>
      <w:r>
        <w:rPr>
          <w:rFonts w:hint="eastAsia"/>
          <w:color w:val="auto"/>
          <w:highlight w:val="none"/>
        </w:rPr>
        <w:t>七、其他补充事宜</w:t>
      </w:r>
    </w:p>
    <w:p w14:paraId="226E463F">
      <w:pPr>
        <w:pStyle w:val="11"/>
        <w:widowControl w:val="0"/>
        <w:spacing w:before="0" w:beforeAutospacing="0" w:after="0" w:afterAutospacing="0" w:line="360" w:lineRule="auto"/>
        <w:ind w:firstLine="480"/>
        <w:rPr>
          <w:rFonts w:hint="eastAsia"/>
          <w:color w:val="auto"/>
          <w:highlight w:val="none"/>
        </w:rPr>
      </w:pPr>
      <w:r>
        <w:rPr>
          <w:rFonts w:hint="eastAsia"/>
          <w:color w:val="auto"/>
          <w:highlight w:val="none"/>
        </w:rPr>
        <w:t>1、拒绝下述供应商参加本次采购活动：</w:t>
      </w:r>
    </w:p>
    <w:p w14:paraId="69C252C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（1）供应商单位负责人为同一人或者存在直接控股、管理关系的不同供应商，不得参加本项目的采购活动。</w:t>
      </w:r>
    </w:p>
    <w:p w14:paraId="25CE0A9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（2）凡为采购项目提供整体设计、规范编制或者项目管理、监理、检测等服务的供应商，不得再参加本项目的采购活动。</w:t>
      </w:r>
    </w:p>
    <w:p w14:paraId="7FBBB07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（3）供应商被“信用中国”网站、“中国政府采购网”网站、</w:t>
      </w:r>
      <w:r>
        <w:rPr>
          <w:rFonts w:hint="eastAsia" w:ascii="宋体" w:hAnsi="宋体" w:cs="宋体"/>
          <w:bCs/>
          <w:color w:val="auto"/>
          <w:sz w:val="24"/>
          <w:highlight w:val="none"/>
        </w:rPr>
        <w:t>“信用江苏”</w:t>
      </w:r>
      <w:r>
        <w:rPr>
          <w:rFonts w:hint="eastAsia" w:ascii="宋体" w:hAnsi="宋体" w:cs="宋体"/>
          <w:color w:val="auto"/>
          <w:sz w:val="24"/>
          <w:highlight w:val="none"/>
        </w:rPr>
        <w:t>列入失信被执行人、重大税收违法案件当事人名单、政府采购严重违法失信行为记录名单。</w:t>
      </w:r>
    </w:p>
    <w:p w14:paraId="21B11D3F">
      <w:pPr>
        <w:pStyle w:val="11"/>
        <w:widowControl w:val="0"/>
        <w:spacing w:before="0" w:beforeAutospacing="0" w:after="0" w:afterAutospacing="0" w:line="360" w:lineRule="auto"/>
        <w:ind w:firstLine="480"/>
        <w:rPr>
          <w:rFonts w:hint="eastAsia"/>
          <w:color w:val="auto"/>
          <w:highlight w:val="none"/>
        </w:rPr>
      </w:pPr>
      <w:r>
        <w:rPr>
          <w:rFonts w:hint="eastAsia"/>
          <w:color w:val="auto"/>
          <w:highlight w:val="none"/>
        </w:rPr>
        <w:t>2、采购人不统一组织进行现场踏勘。关于本次招标的事项若存在变动或修改，敬请及时关注“南京市栖霞区人民政府</w:t>
      </w:r>
      <w:r>
        <w:rPr>
          <w:color w:val="auto"/>
          <w:highlight w:val="none"/>
        </w:rPr>
        <w:t>（https://www.njqxq.gov.cn/）</w:t>
      </w:r>
      <w:r>
        <w:rPr>
          <w:rFonts w:hint="eastAsia"/>
          <w:color w:val="auto"/>
          <w:highlight w:val="none"/>
        </w:rPr>
        <w:t>”发布的信息更正公告。若因供应商未及时关注网站公告导致误投标，其责任由供应商自行承担。</w:t>
      </w:r>
    </w:p>
    <w:p w14:paraId="69790EBA">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3、政府采购信用承诺</w:t>
      </w:r>
    </w:p>
    <w:p w14:paraId="03C1E47F">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根据《关于在政府采购活动中推行信用承诺制的通知》宁财购通〔2021〕5号规定， 参加南京地区政府采购活动的供应商，应以书面形式向采购人或代理机构作出信用承诺。供应商应尽早做好承诺工作，点击‘南京公共采购信息网’首页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定代表人签字并加盖单位公章，随响应文件一并递交。在资格审查环节，供应商只需提供书面《南京市政府采购供应商信用记录表暨信用承诺书》，即可替代以下证明材料： </w:t>
      </w:r>
    </w:p>
    <w:p w14:paraId="509ABE73">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（1）符合国家相关规定的财务状况报告； </w:t>
      </w:r>
    </w:p>
    <w:p w14:paraId="0BC80F52">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（2）依法缴纳税收的证明材料； </w:t>
      </w:r>
    </w:p>
    <w:p w14:paraId="06499434">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（3）依法缴纳社会保障资金的证明材料； </w:t>
      </w:r>
    </w:p>
    <w:p w14:paraId="2707F5F7">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（4）具备履行采购合同所必需的设备和专业技术能力的证明材料； </w:t>
      </w:r>
    </w:p>
    <w:p w14:paraId="307A04E2">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（5）参加本次采购活动前三年内在经营活动中没有重大违法记录的证明材料； </w:t>
      </w:r>
    </w:p>
    <w:p w14:paraId="2DC7E14C">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（6）未被列入失信被执行人、重大税收违法失信主体、政府采购严重违法失信行为记录名单的证明材料。 </w:t>
      </w:r>
    </w:p>
    <w:p w14:paraId="08FAF580">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供应商在成交后，应按竞争性磋商文件要求，将上述由信用承诺书替代的证明材料提交采购人或采购代理机构核验。经核验无误后，由采购人或采购代理机构发出成交结果通知书。 </w:t>
      </w:r>
    </w:p>
    <w:p w14:paraId="0599274A">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供应商涉及以下情形的，不适用信用承诺： </w:t>
      </w:r>
    </w:p>
    <w:p w14:paraId="409C822F">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（1）供应商被列入严重失信主体名单； </w:t>
      </w:r>
    </w:p>
    <w:p w14:paraId="252DFEB0">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（2）被相关监管部门作出行政处罚且尚在处罚有效期内； </w:t>
      </w:r>
    </w:p>
    <w:p w14:paraId="5A8E4A14">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（3）其他法律、行政法规规定的不适用信用承诺的情形。 </w:t>
      </w:r>
    </w:p>
    <w:p w14:paraId="085DA4CC">
      <w:pPr>
        <w:widowControl w:val="0"/>
        <w:spacing w:line="34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供应商对信用承诺内容的真实性、合法性、有效性负责。如作出虚假信用承诺，视同为“提供虚假材料谋取成交”的违法行为。</w:t>
      </w:r>
    </w:p>
    <w:p w14:paraId="4E62C836">
      <w:pPr>
        <w:pStyle w:val="11"/>
        <w:widowControl w:val="0"/>
        <w:spacing w:before="0" w:beforeAutospacing="0" w:after="0" w:afterAutospacing="0" w:line="348" w:lineRule="auto"/>
        <w:rPr>
          <w:rFonts w:hint="eastAsia"/>
          <w:color w:val="auto"/>
          <w:highlight w:val="none"/>
        </w:rPr>
      </w:pPr>
      <w:r>
        <w:rPr>
          <w:rFonts w:hint="eastAsia"/>
          <w:color w:val="auto"/>
          <w:highlight w:val="none"/>
        </w:rPr>
        <w:t>八、对本次磋商提出询问，请按以下方式联系</w:t>
      </w:r>
    </w:p>
    <w:p w14:paraId="0A26AB6C">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1.采购人信息</w:t>
      </w:r>
    </w:p>
    <w:p w14:paraId="3766CCAC">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名称：南京市栖霞区人民政府迈皋桥街道办事处</w:t>
      </w:r>
    </w:p>
    <w:p w14:paraId="7EDBC142">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地址：南京市栖霞区迈皋桥寅春路18号</w:t>
      </w:r>
    </w:p>
    <w:p w14:paraId="61394119">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联系人：胡科</w:t>
      </w:r>
    </w:p>
    <w:p w14:paraId="5C7C3623">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联系电话：02585398713</w:t>
      </w:r>
    </w:p>
    <w:p w14:paraId="704BDF1A">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2.采购代理机构信息</w:t>
      </w:r>
    </w:p>
    <w:p w14:paraId="768FE589">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名称：南京勤泽道工程项目管理有限公司</w:t>
      </w:r>
    </w:p>
    <w:p w14:paraId="5D890A8B">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地址：南京市玄武区红山路常发广场2号商务楼520室</w:t>
      </w:r>
    </w:p>
    <w:p w14:paraId="03C3CE1A">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联系方式：18694995032</w:t>
      </w:r>
    </w:p>
    <w:p w14:paraId="63CBD95A">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3.项目联系方式</w:t>
      </w:r>
    </w:p>
    <w:p w14:paraId="55055B0D">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 xml:space="preserve">项目联系人：王心雨 </w:t>
      </w:r>
    </w:p>
    <w:p w14:paraId="1DD3AAA4">
      <w:pPr>
        <w:pStyle w:val="11"/>
        <w:widowControl w:val="0"/>
        <w:spacing w:before="0" w:beforeAutospacing="0" w:after="0" w:afterAutospacing="0" w:line="348" w:lineRule="auto"/>
        <w:ind w:firstLine="420"/>
        <w:rPr>
          <w:rFonts w:hint="eastAsia"/>
          <w:color w:val="auto"/>
          <w:highlight w:val="none"/>
        </w:rPr>
      </w:pPr>
      <w:r>
        <w:rPr>
          <w:rFonts w:hint="eastAsia"/>
          <w:color w:val="auto"/>
          <w:highlight w:val="none"/>
        </w:rPr>
        <w:t>电话：18694995032</w:t>
      </w:r>
    </w:p>
    <w:p w14:paraId="6F25810F">
      <w:pPr>
        <w:widowControl w:val="0"/>
        <w:rPr>
          <w:color w:val="auto"/>
          <w:highlight w:val="none"/>
          <w:lang w:val="zh-CN"/>
        </w:rPr>
      </w:pPr>
      <w:r>
        <w:rPr>
          <w:rFonts w:hint="eastAsia"/>
          <w:color w:val="auto"/>
          <w:highlight w:val="none"/>
          <w:lang w:val="zh-CN"/>
        </w:rPr>
        <w:br w:type="page" w:clear="all"/>
      </w:r>
    </w:p>
    <w:p w14:paraId="0CEAB1C5">
      <w:pPr>
        <w:pStyle w:val="3"/>
        <w:keepNext w:val="0"/>
        <w:keepLines w:val="0"/>
        <w:widowControl w:val="0"/>
        <w:rPr>
          <w:color w:val="auto"/>
          <w:highlight w:val="none"/>
        </w:rPr>
      </w:pPr>
      <w:r>
        <w:rPr>
          <w:rFonts w:hint="eastAsia"/>
          <w:color w:val="auto"/>
          <w:highlight w:val="none"/>
          <w:lang w:val="zh-CN"/>
        </w:rPr>
        <w:t>第二章</w:t>
      </w:r>
      <w:r>
        <w:rPr>
          <w:rFonts w:hint="eastAsia"/>
          <w:color w:val="auto"/>
          <w:highlight w:val="none"/>
        </w:rPr>
        <w:t xml:space="preserve"> </w:t>
      </w:r>
      <w:r>
        <w:rPr>
          <w:rFonts w:hint="eastAsia"/>
          <w:color w:val="auto"/>
          <w:highlight w:val="none"/>
          <w:lang w:val="zh-CN"/>
        </w:rPr>
        <w:t>供应商须知</w:t>
      </w:r>
    </w:p>
    <w:p w14:paraId="25243F75">
      <w:pPr>
        <w:widowControl w:val="0"/>
        <w:spacing w:line="360" w:lineRule="auto"/>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一、总则</w:t>
      </w:r>
    </w:p>
    <w:p w14:paraId="004A800B">
      <w:pPr>
        <w:widowControl w:val="0"/>
        <w:spacing w:line="360" w:lineRule="auto"/>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1、适用法律</w:t>
      </w:r>
    </w:p>
    <w:p w14:paraId="4DCEDF1F">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1.1《中华人民共和国政府采购法》、《中华人民共和国政府采购法实施条例》、《</w:t>
      </w:r>
      <w:r>
        <w:rPr>
          <w:rFonts w:hint="eastAsia" w:ascii="宋体" w:hAnsi="宋体"/>
          <w:color w:val="auto"/>
          <w:sz w:val="24"/>
          <w:highlight w:val="none"/>
          <w:lang w:val="zh-CN"/>
        </w:rPr>
        <w:t>政府采购竞争性磋商采购方式管理暂行办法</w:t>
      </w:r>
      <w:r>
        <w:rPr>
          <w:rFonts w:hint="eastAsia" w:ascii="宋体" w:hAnsi="宋体" w:cs="宋体"/>
          <w:bCs/>
          <w:color w:val="auto"/>
          <w:sz w:val="24"/>
          <w:szCs w:val="24"/>
          <w:highlight w:val="none"/>
        </w:rPr>
        <w:t>》等有关法律、规章和规定等。</w:t>
      </w:r>
    </w:p>
    <w:p w14:paraId="65B667A8">
      <w:pPr>
        <w:widowControl w:val="0"/>
        <w:spacing w:line="360" w:lineRule="auto"/>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2、定义</w:t>
      </w:r>
    </w:p>
    <w:p w14:paraId="72D52B7C">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2.1“供应商”是指参加投标竞争，并符合竞争性磋商文件规定资格条件的法人、其他组织或者自然人。</w:t>
      </w:r>
    </w:p>
    <w:p w14:paraId="638DBD8E">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2.2“产品”指本竞争性磋商文件中所述产品及相关服务。</w:t>
      </w:r>
    </w:p>
    <w:p w14:paraId="3F3648E5">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2.3“采购人或使用单位”是指使用服务的单位。</w:t>
      </w:r>
    </w:p>
    <w:p w14:paraId="15DB3ABF">
      <w:pPr>
        <w:widowControl w:val="0"/>
        <w:numPr>
          <w:ilvl w:val="0"/>
          <w:numId w:val="2"/>
        </w:numPr>
        <w:spacing w:line="360" w:lineRule="auto"/>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竞争性磋商文件</w:t>
      </w:r>
    </w:p>
    <w:p w14:paraId="50DE91D1">
      <w:pPr>
        <w:widowControl w:val="0"/>
        <w:spacing w:line="360" w:lineRule="auto"/>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3、政策功能</w:t>
      </w:r>
    </w:p>
    <w:p w14:paraId="6D2D384D">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3.1政府采购促进中小企业发展，小企业（含小型、微型企业）提供的产品和服务在评审时将获得优势，参加磋商的小企业，应当提供《中小企业声明函》（“中小企业划型标准”详见《关于印发中小企业划型标准规定的通知》工信部联企业〔2011〕300号及《国家统计局关于印发统计上大中小微型企业划分办法（2017）的通知》国统字〔2017〕213 号）。</w:t>
      </w:r>
    </w:p>
    <w:p w14:paraId="02313225">
      <w:pPr>
        <w:spacing w:line="360" w:lineRule="auto"/>
        <w:ind w:firstLine="482"/>
        <w:rPr>
          <w:color w:val="auto"/>
          <w:highlight w:val="none"/>
        </w:rPr>
      </w:pPr>
      <w:r>
        <w:rPr>
          <w:rFonts w:hint="eastAsia" w:ascii="宋体" w:hAnsi="宋体" w:cs="宋体"/>
          <w:b/>
          <w:bCs/>
          <w:color w:val="auto"/>
          <w:sz w:val="24"/>
          <w:szCs w:val="24"/>
          <w:highlight w:val="none"/>
        </w:rPr>
        <w:t>在货物采购项目中，供应商提供的货物既有中小企业制造货物，也有大型企业制造货物的，不享受中小企业扶持政策。</w:t>
      </w:r>
    </w:p>
    <w:p w14:paraId="7ED8096D">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3.2政府采购支持监狱和戒毒企业发展政策，监狱和戒毒企业提供的产品和服务在评审时将获得优势，参加投标的监狱和戒毒企业，应当提供由省级以上监狱管理局、戒毒管理局（含新疆生产建设兵团）出具的属于监狱企业的证明文件，监狱和戒毒企业享受政府采购支持政策的要求详见财库〔2014〕68号。</w:t>
      </w:r>
    </w:p>
    <w:p w14:paraId="7F837231">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3.3政府采购促进残疾人就业政策，残疾人福利性单位提供的产品和服务在评审时将获得优势，参加投标的残疾人福利性单位，应当提供《残疾人福利性单位声明函》，残疾人福利性单位享受政府采购支持政策的要求详见财库〔2017〕141号。</w:t>
      </w:r>
    </w:p>
    <w:p w14:paraId="1CC69F91">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3.4小型、微型企业提供中型或大型企业制造的货物的，视同为中型或大型企业。参加政府采购活动的中小企业应当按“关于印发《政府采购促进中小企业发展管理办法》的通知[财库〔2020〕46 号]” 和《财库〔2022〕19 号》规定提供《中小企业声明函》和《残疾人福利性单位声明函》。未提供上述资料的报价，其价格不予扣除。</w:t>
      </w:r>
    </w:p>
    <w:p w14:paraId="3E95A64B">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3.5强制采购节能产品、信息安全产品，优先采购环境标志产品。节能产品是指列入财政部、国家发展和改革委员会制定的节能产品品目政府采购清单，且经过认定的节能产品；信息安全产品是指列入国家质检总局国家认监委《信息安全产品强制性认证目录》，并获得强制性产品认证证书的产品；环境标志产品是指列入财政部、国家环保总局制定的环境标志产品品目政府采购清单，且经过认证的环境标志产品。</w:t>
      </w:r>
    </w:p>
    <w:p w14:paraId="14F5B572">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3.6提供的产品属于信息安全产品的，供应商应当选择经国家认证的信息安全产品投标，并提供由中国信息安全认证中心按国家标准认证颁发的有效认证证书复印件。</w:t>
      </w:r>
    </w:p>
    <w:p w14:paraId="43073362">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3.7提供的产品属于政府强制采购节能产品的，供应商应当选择经过认证的节能产品投标，并提供有效的节能产品认证证书复印件。</w:t>
      </w:r>
    </w:p>
    <w:p w14:paraId="67326037">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3.8提供的产品属于环境标志产品的,供应商应当选择经过认证的环境标志产品投标,并提供有效的环境标志产品认证证书复印件。</w:t>
      </w:r>
    </w:p>
    <w:p w14:paraId="0925D6CF">
      <w:pPr>
        <w:widowControl w:val="0"/>
        <w:spacing w:line="360" w:lineRule="auto"/>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4、竞争性磋商文件组成</w:t>
      </w:r>
    </w:p>
    <w:p w14:paraId="6BFBE53B">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文件组成：竞争性磋商公告、供应商须知、供应商应当提交的资格和资信证明文件、磋商报价要求、竞争性磋商响应文件编制要求、磋商项目的技术规格、要求和数量、合同主要条款及合同签订方式、合同履行期限、付款条件、评审方法、评审标准、无效投标和废标条款、附件等。</w:t>
      </w:r>
    </w:p>
    <w:p w14:paraId="4EF6B524">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竞争性磋商的最小单位是包。竞争性磋商服务数量及技术要求中未分包的，供应商对要求提供的服务不得部分投标；竞争性磋商服务数量及技术要求中已经分包的，应当以包为单位投标。</w:t>
      </w:r>
    </w:p>
    <w:p w14:paraId="51D5CC2C">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竞争性磋商文件如果要求供应商提交备选投标方案的，供应商可以提交备选方案；否则，备选方案将被拒绝。</w:t>
      </w:r>
    </w:p>
    <w:p w14:paraId="5328D4C1">
      <w:pPr>
        <w:widowControl w:val="0"/>
        <w:spacing w:line="360" w:lineRule="auto"/>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5、竞争性磋商文件的澄清、修改</w:t>
      </w:r>
    </w:p>
    <w:p w14:paraId="79D5F180">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采购人或采购代理机构对已发出的竞争性磋商文件进行必要澄清或者修改的，将在竞争性磋商文件要求提交竞争性磋商响应文件截止时间五日前，在原竞争性磋商公告媒体发布更正公告，该澄清或者修改的内容为竞争性磋商文件的组成部分。</w:t>
      </w:r>
    </w:p>
    <w:p w14:paraId="59078765">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采购人或采购代理机构在竞争性磋商文件要求提交竞争性磋商响应文件截止时间三日前，有权决定延长递交竞争性磋商响应文件截止时间和磋商时间，并在原采购信息发布媒体上发布变更公告。</w:t>
      </w:r>
    </w:p>
    <w:p w14:paraId="6554C63A">
      <w:pPr>
        <w:widowControl w:val="0"/>
        <w:spacing w:line="360" w:lineRule="auto"/>
        <w:ind w:firstLine="480"/>
        <w:rPr>
          <w:rFonts w:hint="eastAsia" w:ascii="宋体" w:hAnsi="宋体" w:cs="宋体"/>
          <w:b/>
          <w:color w:val="auto"/>
          <w:sz w:val="24"/>
          <w:szCs w:val="24"/>
          <w:highlight w:val="none"/>
        </w:rPr>
      </w:pPr>
      <w:r>
        <w:rPr>
          <w:rFonts w:hint="eastAsia" w:ascii="宋体" w:hAnsi="宋体" w:cs="宋体"/>
          <w:color w:val="auto"/>
          <w:sz w:val="24"/>
          <w:szCs w:val="24"/>
          <w:highlight w:val="none"/>
        </w:rPr>
        <w:t>供应商应在递交竞争性磋商响应文件截止时间前关注原采购信息发布媒体上有关本磋商项目有无变更公告。</w:t>
      </w:r>
    </w:p>
    <w:p w14:paraId="18DB555C">
      <w:pPr>
        <w:widowControl w:val="0"/>
        <w:numPr>
          <w:ilvl w:val="0"/>
          <w:numId w:val="2"/>
        </w:numPr>
        <w:spacing w:line="360" w:lineRule="auto"/>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磋商响应</w:t>
      </w:r>
    </w:p>
    <w:p w14:paraId="5273B6A6">
      <w:pPr>
        <w:widowControl w:val="0"/>
        <w:spacing w:line="360" w:lineRule="auto"/>
        <w:ind w:left="400"/>
        <w:rPr>
          <w:rFonts w:hint="eastAsia" w:ascii="宋体" w:hAnsi="宋体" w:cs="宋体"/>
          <w:b/>
          <w:color w:val="auto"/>
          <w:sz w:val="24"/>
          <w:szCs w:val="24"/>
          <w:highlight w:val="none"/>
        </w:rPr>
      </w:pPr>
      <w:r>
        <w:rPr>
          <w:rFonts w:hint="eastAsia" w:ascii="宋体" w:hAnsi="宋体" w:cs="宋体"/>
          <w:b/>
          <w:color w:val="auto"/>
          <w:sz w:val="24"/>
          <w:szCs w:val="24"/>
          <w:highlight w:val="none"/>
        </w:rPr>
        <w:t>6、竞争性磋商响应文件的语言、计量单位、货币和编制</w:t>
      </w:r>
    </w:p>
    <w:p w14:paraId="67ECE630">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提交的竞争性磋商响应文件、技术文件和资料，包括图纸中的说明，以及供应商与采购代理机构就有关磋商响应的所有来往函电均应使用中文。竞争性磋商响应文件中若有英文或其他语言文字的资料，应提供相应的中文翻译资料。对不同文本竞争性磋商响应文件的解释发生异议的，以中文文本为准。</w:t>
      </w:r>
    </w:p>
    <w:p w14:paraId="1E6A04F5">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供应商所使用的计量单位应为国家法定计量单位。</w:t>
      </w:r>
    </w:p>
    <w:p w14:paraId="531CCCB3">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供应商应用人民币报价。</w:t>
      </w:r>
    </w:p>
    <w:p w14:paraId="5968F745">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竞争性磋商响应文件应字迹清楚、内容齐全、不得涂改。如有修改，修改处须有供应商公章和法定代表人或其授权的供应商代表签字。</w:t>
      </w:r>
    </w:p>
    <w:p w14:paraId="2CB9C05D">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供应商应在竞争性磋商响应文件中写清相应的项目编号、项目名称、供应商全称、地址、电话、传真等。</w:t>
      </w:r>
    </w:p>
    <w:p w14:paraId="4B3B1BE6">
      <w:pPr>
        <w:widowControl w:val="0"/>
        <w:spacing w:line="360" w:lineRule="auto"/>
        <w:ind w:left="416"/>
        <w:rPr>
          <w:rFonts w:hint="eastAsia" w:ascii="宋体" w:hAnsi="宋体" w:cs="宋体"/>
          <w:b/>
          <w:color w:val="auto"/>
          <w:sz w:val="24"/>
          <w:szCs w:val="24"/>
          <w:highlight w:val="none"/>
        </w:rPr>
      </w:pPr>
      <w:r>
        <w:rPr>
          <w:rFonts w:hint="eastAsia" w:ascii="宋体" w:hAnsi="宋体" w:cs="宋体"/>
          <w:b/>
          <w:color w:val="auto"/>
          <w:sz w:val="24"/>
          <w:szCs w:val="24"/>
          <w:highlight w:val="none"/>
        </w:rPr>
        <w:t>7、联合投标</w:t>
      </w:r>
    </w:p>
    <w:p w14:paraId="2273E015">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两个以上的自然人、法人或者其他组织可以组成一个联合体，以一个供应商的身份共同参加政府采购。</w:t>
      </w:r>
    </w:p>
    <w:p w14:paraId="44E60959">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鼓励大中型企业和其他自然人、法人或者其他组织与小型、微型企业组成联合体共同参加非专门面向中小企业的政府采购活动。</w:t>
      </w:r>
    </w:p>
    <w:p w14:paraId="19F7DED9">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以联合体形式参加投标的，联合体各方均应当符合政府采购法第二十二条第一款规定的条件；采购人根据采购项目的特殊要求规定供应商特定条件的，联合体各方中至少应当有一方符合采购人规定的特定条件。由同一专业的供应商组成的联合体，联合体中有同类资质的供应商按照联合体分工承担相同工作的，按照资质等级较低的供应商确定资质等级，并以投标全权代表方的应答材料作为商务评审的依据。由不同专业的供应商组成联合体，首先以投标全权代表方的应答材料作为认定资质以及商务评审的依据，涉及行业专属的资质，按照所属行业对应的供应商的应答材料确定。</w:t>
      </w:r>
    </w:p>
    <w:p w14:paraId="6DD3C36D">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合体各方之间应当签订共同投标协议，明确约定联合体各方承担的工作和相应的责任，并将共同投标协议连同竞争性磋商响应文件一并提交。联合体各方签订共同投标协议后，不得再以自己名义单独在同一项目中投标，也不得组成新的联合体参加同一项目投标。</w:t>
      </w:r>
    </w:p>
    <w:p w14:paraId="69A36C72">
      <w:pPr>
        <w:widowControl w:val="0"/>
        <w:spacing w:line="360" w:lineRule="auto"/>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8、磋商响应费用</w:t>
      </w:r>
    </w:p>
    <w:p w14:paraId="319DC165">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供应商应自行承担所有与准备和参加磋商有关的费用。无论采购结果如何，采购代理和采购人在任何情况下均无义务和责任承担这些费用。</w:t>
      </w:r>
    </w:p>
    <w:p w14:paraId="02FB53DA">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9、竞争性磋商响应文件组成</w:t>
      </w:r>
    </w:p>
    <w:p w14:paraId="5A08315D">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应当根据竞争性磋商文件要求编制竞争性磋商响应文件，竞争性磋商响应文件应对竞争性磋商文件提出的要求和条件作出实质性响应，并在《商务条款偏离表》和《技术条款偏离表》等处逐条标明满足与否。对带星号（“★”）的技术条款必须在竞争性磋商响应文件中提供技术支持资料（如白皮书、彩页、手册、检测报告等），未提供技术支持资料的，评审时不予认可。（采购需求中另有规定的，也可从其规定）</w:t>
      </w:r>
    </w:p>
    <w:p w14:paraId="02F0823E">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供应商根据竞争性磋商文件载明的标的采购项目实际情况，拟在成交后将成交项目的非主体、非关键性工作交由他人完成的，应当在竞争性磋商响应文件中载明。</w:t>
      </w:r>
    </w:p>
    <w:p w14:paraId="508B899B">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竞争性磋商响应文件由商务部分、技术部分、价格部分，以及其他部分组成。</w:t>
      </w:r>
    </w:p>
    <w:p w14:paraId="50AC5E2B">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10、竞争性磋商响应文件的商务部分</w:t>
      </w:r>
    </w:p>
    <w:p w14:paraId="6732ECD5">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10.1商务部分是证明供应商有资格参加磋商响应和成交后有能力履行合同的文件，这些文件应能满足磋商的要求，包括但不限于下列文件，其中加★项目不得有缺失或无效。</w:t>
      </w:r>
    </w:p>
    <w:p w14:paraId="0FDF8098">
      <w:pPr>
        <w:widowControl w:val="0"/>
        <w:numPr>
          <w:ilvl w:val="0"/>
          <w:numId w:val="3"/>
        </w:numPr>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★磋商响应申请及声明；</w:t>
      </w:r>
    </w:p>
    <w:p w14:paraId="18ABFAD1">
      <w:pPr>
        <w:widowControl w:val="0"/>
        <w:numPr>
          <w:ilvl w:val="0"/>
          <w:numId w:val="3"/>
        </w:numPr>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★法定代表人授权委托书及委托代理人的身份证明文件的复印件；</w:t>
      </w:r>
    </w:p>
    <w:p w14:paraId="743FEF3A">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（3）★第一章竞争性磋商公告中第二条申请人的资格要求《中华人民共和国政府采购法》规定的资格条件证明文件；</w:t>
      </w:r>
    </w:p>
    <w:p w14:paraId="52CFF4F3">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（4）★第一章竞争性磋商公告中第二条申请人的资格要求，采购人根据采购项目的特殊要求规定的特定条件证明文件（若有）；</w:t>
      </w:r>
    </w:p>
    <w:p w14:paraId="151039E4">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（5）★磋商报价表；</w:t>
      </w:r>
    </w:p>
    <w:p w14:paraId="118D762F">
      <w:pPr>
        <w:spacing w:line="360" w:lineRule="auto"/>
        <w:ind w:firstLine="420"/>
        <w:rPr>
          <w:rFonts w:hint="eastAsia" w:ascii="宋体" w:hAnsi="宋体" w:cs="宋体"/>
          <w:bCs/>
          <w:color w:val="auto"/>
          <w:sz w:val="24"/>
          <w:szCs w:val="24"/>
          <w:highlight w:val="none"/>
        </w:rPr>
      </w:pPr>
      <w:r>
        <w:rPr>
          <w:rFonts w:hint="eastAsia" w:ascii="宋体" w:hAnsi="宋体" w:cs="宋体"/>
          <w:bCs/>
          <w:color w:val="auto"/>
          <w:sz w:val="24"/>
          <w:szCs w:val="24"/>
          <w:highlight w:val="none"/>
        </w:rPr>
        <w:t>（6）★《南京市政府采购供应商信用记录表暨信用承诺书》（</w:t>
      </w:r>
      <w:r>
        <w:rPr>
          <w:rFonts w:hint="eastAsia" w:ascii="宋体" w:hAnsi="宋体" w:cs="宋体"/>
          <w:bCs/>
          <w:color w:val="auto"/>
          <w:sz w:val="24"/>
          <w:szCs w:val="24"/>
          <w:highlight w:val="none"/>
          <w:lang w:val="zh-CN"/>
        </w:rPr>
        <w:t>注：承诺书打印时间必须在采购文件发布之日起至提交响应文件截止日前</w:t>
      </w:r>
      <w:r>
        <w:rPr>
          <w:rFonts w:hint="eastAsia" w:ascii="宋体" w:hAnsi="宋体" w:cs="宋体"/>
          <w:bCs/>
          <w:color w:val="auto"/>
          <w:sz w:val="24"/>
          <w:szCs w:val="24"/>
          <w:highlight w:val="none"/>
        </w:rPr>
        <w:t>）；</w:t>
      </w:r>
    </w:p>
    <w:p w14:paraId="25DDAE41">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（7）★《商务条款偏离表》；</w:t>
      </w:r>
    </w:p>
    <w:p w14:paraId="66E12AC9">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（8）供应商类似业绩情况表；</w:t>
      </w:r>
    </w:p>
    <w:p w14:paraId="5F14378D">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（9）拟投入人员一览表；</w:t>
      </w:r>
    </w:p>
    <w:p w14:paraId="24372424">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（10）★声明函；</w:t>
      </w:r>
    </w:p>
    <w:p w14:paraId="2B9E981C">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（11）供应商认为需要提供的其他资格证明文件和商务资料等。</w:t>
      </w:r>
    </w:p>
    <w:p w14:paraId="1BA018C7">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11、竞争性磋商响应文件的技术部分</w:t>
      </w:r>
    </w:p>
    <w:p w14:paraId="15A5E1E2">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技术部分是证明供应商提供的产品和服务是合格的并符合竞争性磋商文件要求的证明文件，以及对报价表中的服务的详细说明，这些文件可以是文字资料、图纸和数据等。</w:t>
      </w:r>
    </w:p>
    <w:p w14:paraId="4369E1A9">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若技术性能无特殊说明，则按国家有关部门最新颁布的标准及规范为准；提供的服务如与竞争性磋商文件要求有不符之处，应说明其差别之所在，并在《技术条款偏离表》中逐条予以说明。</w:t>
      </w:r>
    </w:p>
    <w:p w14:paraId="71B1379A">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11.4竞争性磋商响应文件应按照竞争性磋商文件要求提供技术资料、文件和有关证明，包括但不限于其中加★项目不得有缺失或无效：</w:t>
      </w:r>
    </w:p>
    <w:p w14:paraId="7301089F">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（1）★《技术条款偏离表》；</w:t>
      </w:r>
    </w:p>
    <w:p w14:paraId="3E314ED2">
      <w:pPr>
        <w:pStyle w:val="20"/>
        <w:widowControl w:val="0"/>
        <w:rPr>
          <w:rFonts w:hint="eastAsia"/>
          <w:color w:val="auto"/>
          <w:highlight w:val="none"/>
        </w:rPr>
      </w:pPr>
      <w:r>
        <w:rPr>
          <w:rFonts w:hint="eastAsia" w:cs="宋体"/>
          <w:bCs/>
          <w:color w:val="auto"/>
          <w:szCs w:val="24"/>
          <w:highlight w:val="none"/>
        </w:rPr>
        <w:t>（2）服务方案；</w:t>
      </w:r>
    </w:p>
    <w:p w14:paraId="6BDC408F">
      <w:pPr>
        <w:widowControl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（3）项目参与人员相关证书及资料复印件；</w:t>
      </w:r>
    </w:p>
    <w:p w14:paraId="41F40150">
      <w:pPr>
        <w:widowControl w:val="0"/>
        <w:spacing w:line="360" w:lineRule="auto"/>
        <w:ind w:firstLine="480"/>
        <w:rPr>
          <w:rFonts w:hint="eastAsia" w:ascii="宋体" w:hAnsi="宋体" w:cs="宋体"/>
          <w:color w:val="auto"/>
          <w:sz w:val="24"/>
          <w:szCs w:val="24"/>
          <w:highlight w:val="none"/>
        </w:rPr>
      </w:pPr>
      <w:r>
        <w:rPr>
          <w:rFonts w:hint="eastAsia" w:ascii="宋体" w:hAnsi="宋体" w:cs="宋体"/>
          <w:bCs/>
          <w:color w:val="auto"/>
          <w:sz w:val="24"/>
          <w:szCs w:val="24"/>
          <w:highlight w:val="none"/>
        </w:rPr>
        <w:t>（4）供应商认为需要提供的其他技术资料。</w:t>
      </w:r>
    </w:p>
    <w:p w14:paraId="26CA0B83">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12、竞争性磋商响应文件的价格部分</w:t>
      </w:r>
    </w:p>
    <w:p w14:paraId="48B63588">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12.1价格部分是对标的价格构成的说明，竞争性磋商文件如没有特别说明的话，仅接受一个价格。</w:t>
      </w:r>
    </w:p>
    <w:p w14:paraId="69A3E5D8">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12.2供应商应充分考虑到市场价格变动，以及项目实施过程中的不可预见因素，一旦成交，总价格不变。如果有漏项，视同让利。供应商的任何错漏、优惠、竞争性报价不得作为减轻责任、减少服务、增加收费、降低质量的理由。</w:t>
      </w:r>
    </w:p>
    <w:p w14:paraId="2D266111">
      <w:pPr>
        <w:pStyle w:val="20"/>
        <w:widowControl w:val="0"/>
        <w:rPr>
          <w:rFonts w:hint="eastAsia"/>
          <w:color w:val="auto"/>
          <w:highlight w:val="none"/>
        </w:rPr>
      </w:pPr>
      <w:r>
        <w:rPr>
          <w:rFonts w:hint="eastAsia" w:cs="宋体"/>
          <w:color w:val="auto"/>
          <w:szCs w:val="24"/>
          <w:highlight w:val="none"/>
        </w:rPr>
        <w:t>12.3经磋商后，如果成交价低于供应商在磋商响应文件报价的话，分项报价同比例调整。</w:t>
      </w:r>
    </w:p>
    <w:p w14:paraId="0B8A9F3C">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12.4评标委员会认为供应商的报价明显低于其他通过符合性审查的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28DC1C1F">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12.5供应商应在《报价一览表》</w:t>
      </w:r>
      <w:bookmarkStart w:id="2" w:name="_Hlk210912429"/>
      <w:r>
        <w:rPr>
          <w:rFonts w:hint="eastAsia" w:ascii="宋体" w:hAnsi="宋体" w:cs="宋体"/>
          <w:color w:val="auto"/>
          <w:sz w:val="24"/>
          <w:szCs w:val="24"/>
          <w:highlight w:val="none"/>
        </w:rPr>
        <w:t>（《磋商报价表》）</w:t>
      </w:r>
      <w:bookmarkEnd w:id="2"/>
      <w:r>
        <w:rPr>
          <w:rFonts w:hint="eastAsia" w:ascii="宋体" w:hAnsi="宋体" w:cs="宋体"/>
          <w:color w:val="auto"/>
          <w:sz w:val="24"/>
          <w:szCs w:val="24"/>
          <w:highlight w:val="none"/>
        </w:rPr>
        <w:t>、《分项报价表》等标明提供货物或服务的单价、总价以及分项报价。</w:t>
      </w:r>
    </w:p>
    <w:p w14:paraId="7D56A1DB">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13、竞争性磋商响应文件的其他部分</w:t>
      </w:r>
    </w:p>
    <w:p w14:paraId="2D841FC7">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其他部分由供应商根据编制竞争性磋商响应文件需要提供的其他相关文件。</w:t>
      </w:r>
    </w:p>
    <w:p w14:paraId="0B2E40D4">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14、投标保证金</w:t>
      </w:r>
    </w:p>
    <w:p w14:paraId="2490BFF0">
      <w:pPr>
        <w:widowControl w:val="0"/>
        <w:spacing w:line="360" w:lineRule="auto"/>
        <w:ind w:left="400"/>
        <w:rPr>
          <w:rFonts w:hint="eastAsia" w:ascii="宋体" w:hAnsi="宋体" w:cs="宋体"/>
          <w:color w:val="auto"/>
          <w:sz w:val="24"/>
          <w:szCs w:val="24"/>
          <w:highlight w:val="none"/>
        </w:rPr>
      </w:pPr>
      <w:r>
        <w:rPr>
          <w:rFonts w:hint="eastAsia" w:ascii="宋体" w:hAnsi="宋体" w:cs="宋体"/>
          <w:color w:val="auto"/>
          <w:sz w:val="24"/>
          <w:szCs w:val="24"/>
          <w:highlight w:val="none"/>
        </w:rPr>
        <w:t>本项目不需要交纳投标保证金。</w:t>
      </w:r>
    </w:p>
    <w:p w14:paraId="0018591E">
      <w:pPr>
        <w:widowControl w:val="0"/>
        <w:spacing w:line="360" w:lineRule="auto"/>
        <w:ind w:left="400"/>
        <w:rPr>
          <w:rFonts w:hint="eastAsia" w:ascii="宋体" w:hAnsi="宋体" w:cs="宋体"/>
          <w:color w:val="auto"/>
          <w:sz w:val="24"/>
          <w:szCs w:val="24"/>
          <w:highlight w:val="none"/>
        </w:rPr>
      </w:pPr>
      <w:r>
        <w:rPr>
          <w:rFonts w:hint="eastAsia" w:ascii="宋体" w:hAnsi="宋体" w:cs="宋体"/>
          <w:color w:val="auto"/>
          <w:sz w:val="24"/>
          <w:szCs w:val="24"/>
          <w:highlight w:val="none"/>
        </w:rPr>
        <w:t>15、投标有效期自磋商之日起90天内投标有效。</w:t>
      </w:r>
    </w:p>
    <w:p w14:paraId="5D4ACC43">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在特殊情况下，在原磋商有效期截止之前，采购人可要求供应商同意延长磋商有效期，这种要求与答复均以书面形式提交。供应商可拒绝这种要求。接受延长磋商有效期的供应商将不会要求和允许修正其磋商。</w:t>
      </w:r>
    </w:p>
    <w:p w14:paraId="3B3B68EA">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16、竞争性磋商响应文件签署</w:t>
      </w:r>
    </w:p>
    <w:p w14:paraId="76A3880C">
      <w:pPr>
        <w:widowControl w:val="0"/>
        <w:spacing w:line="360" w:lineRule="auto"/>
        <w:ind w:firstLine="480"/>
        <w:rPr>
          <w:rFonts w:hint="eastAsia" w:ascii="宋体" w:hAnsi="宋体" w:cs="宋体"/>
          <w:color w:val="auto"/>
          <w:sz w:val="24"/>
          <w:highlight w:val="none"/>
        </w:rPr>
      </w:pPr>
      <w:r>
        <w:rPr>
          <w:rFonts w:hint="eastAsia" w:ascii="宋体" w:hAnsi="宋体" w:cs="宋体"/>
          <w:color w:val="auto"/>
          <w:sz w:val="24"/>
          <w:szCs w:val="24"/>
          <w:highlight w:val="none"/>
        </w:rPr>
        <w:t>16.1竞争性磋商响应</w:t>
      </w:r>
      <w:r>
        <w:rPr>
          <w:rFonts w:hint="eastAsia" w:ascii="宋体" w:hAnsi="宋体" w:cs="宋体"/>
          <w:color w:val="auto"/>
          <w:sz w:val="24"/>
          <w:highlight w:val="none"/>
        </w:rPr>
        <w:t>文件应按照竞争性磋商文件要求签字、盖章，否则视为无效投标。</w:t>
      </w:r>
    </w:p>
    <w:p w14:paraId="1DB2015F">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17、竞争性磋商响应文件的密封和递交</w:t>
      </w:r>
    </w:p>
    <w:p w14:paraId="186C3379">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17.1竞争性磋商响应文件份数：一式叁份（壹份正本、贰份副本），每份竞争性磋商响应文件须清楚标明“正本”或“副本”字样；建议装订成册并逐页加注页码，竞争性磋商响应文件提倡按照 A4 幅面打印或复印并进行装订。一旦正本和副本不符，以正本为准。</w:t>
      </w:r>
    </w:p>
    <w:p w14:paraId="559A8773">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17.2供应商应提供电子版竞争性磋商响应文件（一般为PDF格式，介质形式为U盘，竞争性磋商响应文件电子版中必须包含竞争性磋商响应文件的全部内容，不得加密，所有文档、图表等采用PDF格式或WORD格式，电子版竞争性磋商响应文件应随纸质版竞争性磋商响应文件一并密封提交）。如出现电子版文件和纸质正本文件不一致时，以纸质版正本文件为准。电子文件用于辅助评审，供应商应承担前述不一致造成的不利后果。</w:t>
      </w:r>
    </w:p>
    <w:p w14:paraId="28F29B2C">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17.3供应商应当将竞争性磋商响应文件密封。</w:t>
      </w:r>
    </w:p>
    <w:p w14:paraId="311FD477">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17.4供应商应当在竞争性磋商文件要求提交竞争性磋商响应文件的截止时间前，将密封的竞争性磋商响应文件送达递交地点。任何单位和个人不得在开标前开启竞争性磋商响应文件。</w:t>
      </w:r>
    </w:p>
    <w:p w14:paraId="3EFD77C5">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18、有下列情形之一的竞争性磋商响应文件将拒收：</w:t>
      </w:r>
    </w:p>
    <w:p w14:paraId="2D435670">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（1）在竞争性磋商文件要求提交竞争性磋商响应文件的截止时间之后送达的。</w:t>
      </w:r>
    </w:p>
    <w:p w14:paraId="46E03200">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（2）未按照竞争性磋商文件要求密封的。</w:t>
      </w:r>
    </w:p>
    <w:p w14:paraId="29098826">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19、竞争性磋商响应文件的修改和撤回</w:t>
      </w:r>
    </w:p>
    <w:p w14:paraId="4DFD4CCB">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19.1供应商在递交竞争性磋商响应文件截止时间前，可以对所递交的竞争性磋商响应文件进行补充、修改或撤回，并书面通知采购代理机构。补充、修改的内容应当按照竞争性磋商文件要求签署、盖章，并作为竞争性磋商响应文件的组成部分。</w:t>
      </w:r>
    </w:p>
    <w:p w14:paraId="3AB312A8">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19.2竞争性磋商响应文件截止时间之后，竞争性磋商响应文件不得撤回。</w:t>
      </w:r>
    </w:p>
    <w:p w14:paraId="0E51F2BB">
      <w:pPr>
        <w:widowControl w:val="0"/>
        <w:spacing w:line="360" w:lineRule="auto"/>
        <w:ind w:firstLine="241" w:firstLineChars="1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四、磋商、评审与确定成交供应商</w:t>
      </w:r>
    </w:p>
    <w:p w14:paraId="63D4F89B">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20、磋商</w:t>
      </w:r>
    </w:p>
    <w:p w14:paraId="0EC44093">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20.1</w:t>
      </w:r>
      <w:r>
        <w:rPr>
          <w:rFonts w:hint="eastAsia" w:ascii="宋体" w:hAnsi="宋体" w:cs="宋体"/>
          <w:color w:val="auto"/>
          <w:sz w:val="24"/>
          <w:szCs w:val="24"/>
          <w:highlight w:val="none"/>
          <w:lang w:val="zh-CN"/>
        </w:rPr>
        <w:t>递交磋商响应文件时间截止后，采购代理机构在规定的时间和地点组织磋商小组与供应商进行磋商。具体磋商事务由依法组建的磋商小组负责。</w:t>
      </w:r>
    </w:p>
    <w:p w14:paraId="46C49112">
      <w:pPr>
        <w:widowControl w:val="0"/>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20.2磋商小组审阅</w:t>
      </w:r>
      <w:r>
        <w:rPr>
          <w:rFonts w:hint="eastAsia" w:ascii="宋体" w:hAnsi="宋体" w:cs="宋体"/>
          <w:color w:val="auto"/>
          <w:sz w:val="24"/>
          <w:szCs w:val="24"/>
          <w:highlight w:val="none"/>
          <w:lang w:val="zh-CN"/>
        </w:rPr>
        <w:t>供应商所递交的响应文件，凡不具备资格条件的供应商不得进入磋商程序。</w:t>
      </w:r>
    </w:p>
    <w:p w14:paraId="0808F263">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20.3</w:t>
      </w:r>
      <w:r>
        <w:rPr>
          <w:rFonts w:hint="eastAsia" w:ascii="宋体" w:hAnsi="宋体" w:cs="宋体"/>
          <w:color w:val="auto"/>
          <w:sz w:val="24"/>
          <w:szCs w:val="24"/>
          <w:highlight w:val="none"/>
          <w:lang w:val="zh-CN"/>
        </w:rPr>
        <w:t>磋商小组将与通过资格审查和符合性审查的供应商分别进行磋商。</w:t>
      </w:r>
    </w:p>
    <w:p w14:paraId="2AAC26CF">
      <w:pPr>
        <w:pStyle w:val="20"/>
        <w:widowControl w:val="0"/>
        <w:rPr>
          <w:rFonts w:hint="eastAsia" w:cs="宋体"/>
          <w:color w:val="auto"/>
          <w:szCs w:val="24"/>
          <w:highlight w:val="none"/>
          <w:lang w:val="zh-CN"/>
        </w:rPr>
      </w:pPr>
      <w:r>
        <w:rPr>
          <w:rFonts w:hint="eastAsia" w:cs="宋体"/>
          <w:color w:val="auto"/>
          <w:szCs w:val="24"/>
          <w:highlight w:val="none"/>
        </w:rPr>
        <w:t>20.</w:t>
      </w:r>
      <w:r>
        <w:rPr>
          <w:rFonts w:hint="eastAsia" w:cs="宋体"/>
          <w:color w:val="auto"/>
          <w:szCs w:val="24"/>
          <w:highlight w:val="none"/>
          <w:lang w:val="zh-CN"/>
        </w:rPr>
        <w:t>4 磋商过程中，磋商小组可以根据磋商文件和磋商情况实质性变动采购需求中的技术、服务要求以及合同草案条款，但不得变动磋商文件中的其他内容。实质性变动的内容，须经采购人代表确认。</w:t>
      </w:r>
    </w:p>
    <w:p w14:paraId="0F248508">
      <w:pPr>
        <w:pStyle w:val="20"/>
        <w:widowControl w:val="0"/>
        <w:rPr>
          <w:rFonts w:hint="eastAsia" w:cs="宋体"/>
          <w:color w:val="auto"/>
          <w:szCs w:val="24"/>
          <w:highlight w:val="none"/>
          <w:lang w:val="zh-CN"/>
        </w:rPr>
      </w:pPr>
      <w:r>
        <w:rPr>
          <w:rFonts w:hint="eastAsia" w:cs="宋体"/>
          <w:color w:val="auto"/>
          <w:szCs w:val="24"/>
          <w:highlight w:val="none"/>
          <w:lang w:val="zh-CN"/>
        </w:rPr>
        <w:t>对磋商文件作出的实质性变动是磋商文件的有效组成部分，磋商小组应当及时以书面形式同时通知所有参加磋商的供应商。</w:t>
      </w:r>
    </w:p>
    <w:p w14:paraId="390CBA52">
      <w:pPr>
        <w:pStyle w:val="20"/>
        <w:widowControl w:val="0"/>
        <w:rPr>
          <w:rFonts w:hint="eastAsia"/>
          <w:color w:val="auto"/>
          <w:highlight w:val="none"/>
        </w:rPr>
      </w:pPr>
      <w:r>
        <w:rPr>
          <w:rFonts w:hint="eastAsia"/>
          <w:color w:val="auto"/>
          <w:highlight w:val="none"/>
        </w:rPr>
        <w:t>20.5</w:t>
      </w:r>
      <w:r>
        <w:rPr>
          <w:rFonts w:ascii="Arial" w:hAnsi="Arial"/>
          <w:color w:val="auto"/>
          <w:szCs w:val="21"/>
          <w:highlight w:val="none"/>
          <w:lang w:val="zh-CN"/>
        </w:rPr>
        <w:t>如磋商文件有实质性变动的，</w:t>
      </w:r>
      <w:r>
        <w:rPr>
          <w:rFonts w:hint="eastAsia" w:ascii="Arial" w:hAnsi="Arial"/>
          <w:color w:val="auto"/>
          <w:szCs w:val="21"/>
          <w:highlight w:val="none"/>
          <w:lang w:val="zh-CN"/>
        </w:rPr>
        <w:t>供应商应当按照磋商文件的变动情况和磋商小组的要求重新提交响应文件，并</w:t>
      </w:r>
      <w:r>
        <w:rPr>
          <w:rFonts w:hint="eastAsia" w:cs="宋体"/>
          <w:color w:val="auto"/>
          <w:szCs w:val="24"/>
          <w:highlight w:val="none"/>
        </w:rPr>
        <w:t>由法定代表人或授权委托代理人签字</w:t>
      </w:r>
      <w:r>
        <w:rPr>
          <w:rFonts w:ascii="Arial" w:hAnsi="Arial"/>
          <w:color w:val="auto"/>
          <w:szCs w:val="21"/>
          <w:highlight w:val="none"/>
          <w:lang w:val="zh-CN"/>
        </w:rPr>
        <w:t>。</w:t>
      </w:r>
    </w:p>
    <w:p w14:paraId="530E8407">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20.6竞争性磋商响应文件报价、《报价一览表》（《磋商报价表》）的大写金额与小写金额不一致的，以大写金额为准；总价金额与单价汇总金额不一致的，以单价金额计算为准；单价金额小数点或者百分比有明显错位的，以《报价一览表》（《磋商报价表》）总价为准，并修改单价；对不同文字文本竞争性磋商响应文件的解释发生异议的，以中文文本为准。</w:t>
      </w:r>
    </w:p>
    <w:p w14:paraId="4A46427F">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20.7磋商的轮次原则上采用两轮报价机制。即供应商在响应文件中填写的报价为第一轮报价,在技术、商务、服务等报价以外内容磋商 (谈判) 结束后，代理机构应让所有实质性响应的供应商在规定时间内（10分钟内）提交最后报价(即第二轮报价)。提交最后报价的供应商不得少于3家</w:t>
      </w:r>
      <w:r>
        <w:rPr>
          <w:rFonts w:hint="eastAsia" w:ascii="宋体" w:hAnsi="宋体" w:cs="宋体"/>
          <w:color w:val="auto"/>
          <w:sz w:val="24"/>
          <w:szCs w:val="24"/>
          <w:highlight w:val="none"/>
          <w:lang w:val="zh-CN"/>
        </w:rPr>
        <w:t>。最后报价是供应商响应文件的有效组成部分，</w:t>
      </w:r>
      <w:r>
        <w:rPr>
          <w:rFonts w:hint="eastAsia" w:ascii="宋体" w:hAnsi="宋体" w:cs="宋体"/>
          <w:color w:val="auto"/>
          <w:sz w:val="24"/>
          <w:szCs w:val="24"/>
          <w:highlight w:val="none"/>
        </w:rPr>
        <w:t>除项目扩大了供货范围，增加了采购内容、提高了技术要求外，原则上不得高于上一轮报价</w:t>
      </w:r>
      <w:r>
        <w:rPr>
          <w:rFonts w:hint="eastAsia" w:ascii="宋体" w:hAnsi="宋体" w:cs="宋体"/>
          <w:color w:val="auto"/>
          <w:sz w:val="24"/>
          <w:szCs w:val="24"/>
          <w:highlight w:val="none"/>
          <w:lang w:val="zh-CN"/>
        </w:rPr>
        <w:t>。符合《政府采购竞争性磋商采购方式管理暂行办法》第三条第四项及《财政部关于竞争性磋商采购方式管理暂行办法有关问题的补充通知》（财库〔2015〕124号）规定情形的，提交最后报价的供应商可以为2家。</w:t>
      </w:r>
    </w:p>
    <w:p w14:paraId="17011B09">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20.8供应商未在磋商小组规定的时间内提交最后报价的视为放弃磋商，其响应文件按无效响应处理。已提交响应文件的供应商，在提交最后报价之前，可以根据磋商情况退出磋商，并提交由法定代表人或授权委托代理人签字的《退出磋商函》。</w:t>
      </w:r>
    </w:p>
    <w:p w14:paraId="3E1CD47D">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21、竞争性磋商响应文件有下列情况之一的，在资格性、符合性检查时按照无效投标处理：</w:t>
      </w:r>
    </w:p>
    <w:p w14:paraId="012CE001">
      <w:pPr>
        <w:numPr>
          <w:ilvl w:val="0"/>
          <w:numId w:val="4"/>
        </w:num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未按照竞争性磋商文件规定要求密封、签署、盖章的；</w:t>
      </w:r>
    </w:p>
    <w:p w14:paraId="368373CD">
      <w:pPr>
        <w:numPr>
          <w:ilvl w:val="0"/>
          <w:numId w:val="4"/>
        </w:num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磋商响应总价超出采购预算限额的；</w:t>
      </w:r>
    </w:p>
    <w:p w14:paraId="28206229">
      <w:pPr>
        <w:spacing w:line="360" w:lineRule="auto"/>
        <w:ind w:left="400"/>
        <w:rPr>
          <w:rFonts w:hint="eastAsia" w:ascii="宋体" w:hAnsi="宋体" w:cs="宋体"/>
          <w:color w:val="auto"/>
          <w:sz w:val="24"/>
          <w:szCs w:val="24"/>
          <w:highlight w:val="none"/>
        </w:rPr>
      </w:pPr>
      <w:r>
        <w:rPr>
          <w:rFonts w:hint="eastAsia" w:ascii="宋体" w:hAnsi="宋体" w:cs="宋体"/>
          <w:color w:val="auto"/>
          <w:sz w:val="24"/>
          <w:szCs w:val="24"/>
          <w:highlight w:val="none"/>
        </w:rPr>
        <w:t>（3）不具备竞争性磋商文件中规定资格要求的；</w:t>
      </w:r>
    </w:p>
    <w:p w14:paraId="01C5E017">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（4）不同供应商的竞争性磋商响应文件由同一单位或者个人编制；</w:t>
      </w:r>
    </w:p>
    <w:p w14:paraId="23C56ACD">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（5）不同供应商委托同一单位或者个人办理磋商响应事宜；</w:t>
      </w:r>
    </w:p>
    <w:p w14:paraId="17263888">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（6）不同供应商的竞争性磋商响应文件载明的项目管理成员为同一人；</w:t>
      </w:r>
    </w:p>
    <w:p w14:paraId="11FD50A4">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（7）不同供应商的竞争性磋商响应文件异常一致或者报价呈规律性差异；</w:t>
      </w:r>
    </w:p>
    <w:p w14:paraId="580B7E10">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（8）不同供应商的竞争性磋商响应文件相互混装；</w:t>
      </w:r>
    </w:p>
    <w:p w14:paraId="008DF4F8">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（9）不同供应商的法定代表人或委托代理人有夫妻、直系血亲关系的；</w:t>
      </w:r>
    </w:p>
    <w:p w14:paraId="7F51A71D">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（10）不同供应商的负责人为同一人或者存在控股、管理关系的；</w:t>
      </w:r>
    </w:p>
    <w:p w14:paraId="1115AAC6">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（11）没有逐一说明磋商响应产品名称、品牌、规格型号、技术参数和服务响应，而是直接拷贝竞争性磋商文件技术要求的；</w:t>
      </w:r>
    </w:p>
    <w:p w14:paraId="0DB739DA">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（12）服务承诺和付款条件未响应磋商要求的；</w:t>
      </w:r>
    </w:p>
    <w:p w14:paraId="44C3DA93">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（13）竞争性磋商响应文件含有采购人不能接受的附加条件的；</w:t>
      </w:r>
    </w:p>
    <w:p w14:paraId="0E575FD8">
      <w:pPr>
        <w:spacing w:line="360" w:lineRule="auto"/>
        <w:ind w:left="400"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（14）不符合法律、法规和竞争性磋商文件规定的其他实质性要求的。</w:t>
      </w:r>
    </w:p>
    <w:p w14:paraId="148C9D78">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21.2.2竞争性磋商响应文件的符合性检查。依据竞争性磋商文件规定，从竞争性磋商响应文件的有效性、完整性和对竞争性磋商文件的响应程度进行审查。</w:t>
      </w:r>
    </w:p>
    <w:p w14:paraId="292888D3">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21.2.2.1实质性要求是指本竞争性磋商文件中用带星号（“★”）、“必须”或“应（应当）”等其他文字说明的商务和技术要求。</w:t>
      </w:r>
    </w:p>
    <w:p w14:paraId="3170120F">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21.2.2.2有下列情形之一的予以废标，：</w:t>
      </w:r>
    </w:p>
    <w:p w14:paraId="39D57471">
      <w:pPr>
        <w:widowControl w:val="0"/>
        <w:numPr>
          <w:ilvl w:val="0"/>
          <w:numId w:val="5"/>
        </w:num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符合专业条件的供应商或者对竞争性磋商文件作实质性响应的供应商不足三家的；</w:t>
      </w:r>
    </w:p>
    <w:p w14:paraId="10EC7656">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（2）出现影响采购公正的违法、违规行为的；</w:t>
      </w:r>
    </w:p>
    <w:p w14:paraId="17E62EC4">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（3）供应商的报价均超过了采购预算的；</w:t>
      </w:r>
    </w:p>
    <w:p w14:paraId="2A9EB74F">
      <w:pPr>
        <w:widowControl w:val="0"/>
        <w:spacing w:line="360" w:lineRule="auto"/>
        <w:ind w:left="400"/>
        <w:rPr>
          <w:rFonts w:hint="eastAsia" w:ascii="宋体" w:hAnsi="宋体" w:cs="宋体"/>
          <w:color w:val="auto"/>
          <w:sz w:val="24"/>
          <w:szCs w:val="24"/>
          <w:highlight w:val="none"/>
        </w:rPr>
      </w:pPr>
      <w:r>
        <w:rPr>
          <w:rFonts w:hint="eastAsia" w:ascii="宋体" w:hAnsi="宋体" w:cs="宋体"/>
          <w:color w:val="auto"/>
          <w:sz w:val="24"/>
          <w:szCs w:val="24"/>
          <w:highlight w:val="none"/>
        </w:rPr>
        <w:t>（4）因重大变故，采购任务取消的。</w:t>
      </w:r>
    </w:p>
    <w:p w14:paraId="2A2F7632">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21.2.3澄清有关问题。对竞争性磋商响应文件中含义不明确、同类问题表述不一致或者明显文字和计算错误的内容，评审委员会可以要求供应商作出必要的澄清、说明或者补正。</w:t>
      </w:r>
      <w:r>
        <w:rPr>
          <w:rFonts w:hint="eastAsia" w:ascii="宋体" w:hAnsi="宋体"/>
          <w:color w:val="auto"/>
          <w:sz w:val="24"/>
          <w:szCs w:val="21"/>
          <w:highlight w:val="none"/>
        </w:rPr>
        <w:t>需要供应商进行澄清、说明和补正的，磋商小组将向供应商发出</w:t>
      </w:r>
      <w:r>
        <w:rPr>
          <w:rFonts w:hint="eastAsia" w:ascii="宋体" w:hAnsi="宋体"/>
          <w:color w:val="auto"/>
          <w:sz w:val="24"/>
          <w:highlight w:val="none"/>
          <w:lang w:val="zh-CN"/>
        </w:rPr>
        <w:t>《澄清要求函》</w:t>
      </w:r>
      <w:r>
        <w:rPr>
          <w:rFonts w:hint="eastAsia" w:ascii="宋体" w:hAnsi="宋体"/>
          <w:color w:val="auto"/>
          <w:sz w:val="24"/>
          <w:szCs w:val="21"/>
          <w:highlight w:val="none"/>
        </w:rPr>
        <w:t>，接到</w:t>
      </w:r>
      <w:r>
        <w:rPr>
          <w:rFonts w:hint="eastAsia" w:ascii="宋体" w:hAnsi="宋体"/>
          <w:color w:val="auto"/>
          <w:sz w:val="24"/>
          <w:highlight w:val="none"/>
          <w:lang w:val="zh-CN"/>
        </w:rPr>
        <w:t>《澄清要求函》</w:t>
      </w:r>
      <w:r>
        <w:rPr>
          <w:rFonts w:hint="eastAsia" w:ascii="宋体" w:hAnsi="宋体"/>
          <w:color w:val="auto"/>
          <w:sz w:val="24"/>
          <w:szCs w:val="21"/>
          <w:highlight w:val="none"/>
        </w:rPr>
        <w:t>的供应商应当按照要求提交</w:t>
      </w:r>
      <w:r>
        <w:rPr>
          <w:rFonts w:hint="eastAsia" w:ascii="宋体" w:hAnsi="宋体"/>
          <w:color w:val="auto"/>
          <w:sz w:val="24"/>
          <w:highlight w:val="none"/>
          <w:lang w:val="zh-CN"/>
        </w:rPr>
        <w:t>《澄清响应函》</w:t>
      </w:r>
      <w:r>
        <w:rPr>
          <w:rFonts w:hint="eastAsia" w:ascii="宋体" w:hAnsi="宋体"/>
          <w:color w:val="auto"/>
          <w:sz w:val="24"/>
          <w:szCs w:val="21"/>
          <w:highlight w:val="none"/>
        </w:rPr>
        <w:t>并由法定代表人或授权委托代理人签字。澄清、说明和补正的内容作为响应文件的补充部分。接到磋商小组澄清、说明和补正要求的供应商如未按规定作出澄清、说明和补正，其风险由供应商自行承担。</w:t>
      </w:r>
    </w:p>
    <w:p w14:paraId="0C7766FB">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21.2.4比较与评价。按照竞争性磋商文件中规定的评审方法和标准，对资格性检查和符合性检查合格的竞争性磋商响应文件进行商务和技术评估，综合比较与评价。</w:t>
      </w:r>
    </w:p>
    <w:p w14:paraId="3AA8EE88">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21.3评审方法和标准</w:t>
      </w:r>
    </w:p>
    <w:p w14:paraId="3B7DF266">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21.3.1采用综合评分法。即在最大限度地满足竞争性磋商文件实质性要求前提下，按照竞争性磋商文件中规定的各项因素进行综合评审后，以评审总得分最高的供应商作为成交候选供应商或者成交供应商的评审方法。</w:t>
      </w:r>
    </w:p>
    <w:p w14:paraId="76BD36F3">
      <w:pPr>
        <w:pStyle w:val="20"/>
        <w:widowControl w:val="0"/>
        <w:rPr>
          <w:rFonts w:hint="eastAsia" w:cs="宋体"/>
          <w:color w:val="auto"/>
          <w:szCs w:val="24"/>
          <w:highlight w:val="none"/>
        </w:rPr>
      </w:pPr>
      <w:r>
        <w:rPr>
          <w:rFonts w:hint="eastAsia" w:cs="宋体"/>
          <w:color w:val="auto"/>
          <w:szCs w:val="24"/>
          <w:highlight w:val="none"/>
        </w:rPr>
        <w:t>21.3.2综合评分的主要因素是：详见第三章 评分标准。</w:t>
      </w:r>
    </w:p>
    <w:p w14:paraId="532EAE10">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21.3.3评分标准详见文件第三章。</w:t>
      </w:r>
    </w:p>
    <w:p w14:paraId="42679C86">
      <w:pPr>
        <w:pBdr>
          <w:top w:val="none" w:color="000000" w:sz="0" w:space="0"/>
          <w:left w:val="none" w:color="000000" w:sz="0" w:space="0"/>
          <w:bottom w:val="none" w:color="000000" w:sz="0" w:space="0"/>
          <w:right w:val="none" w:color="000000" w:sz="0" w:space="0"/>
        </w:pBdr>
        <w:spacing w:line="360" w:lineRule="auto"/>
        <w:ind w:left="118" w:firstLine="420"/>
        <w:rPr>
          <w:rFonts w:hint="eastAsia" w:ascii="新宋体" w:hAnsi="新宋体" w:cs="新宋体"/>
          <w:b/>
          <w:bCs/>
          <w:color w:val="auto"/>
          <w:sz w:val="24"/>
          <w:highlight w:val="none"/>
        </w:rPr>
      </w:pPr>
      <w:r>
        <w:rPr>
          <w:rFonts w:hint="eastAsia" w:ascii="新宋体" w:hAnsi="新宋体" w:cs="新宋体"/>
          <w:b/>
          <w:bCs/>
          <w:color w:val="auto"/>
          <w:sz w:val="24"/>
          <w:highlight w:val="none"/>
        </w:rPr>
        <w:t>21.4</w:t>
      </w:r>
      <w:r>
        <w:rPr>
          <w:rFonts w:ascii="新宋体" w:hAnsi="新宋体" w:eastAsia="新宋体" w:cs="新宋体"/>
          <w:b/>
          <w:bCs/>
          <w:color w:val="auto"/>
          <w:sz w:val="24"/>
          <w:highlight w:val="none"/>
        </w:rPr>
        <w:t>评审过程中出现下列情形之一的，评审委员会应当启动异常低价投标(响应)审查程序:</w:t>
      </w:r>
    </w:p>
    <w:p w14:paraId="643AE8CC">
      <w:pPr>
        <w:widowControl w:val="0"/>
        <w:spacing w:line="360" w:lineRule="auto"/>
        <w:ind w:firstLine="48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①投标报价低于全部通过符合性审查供应商投标报价平均值50%的，即投标报价&lt;全部通过符合性审查供应商投标报价平均值×50%；</w:t>
      </w:r>
    </w:p>
    <w:p w14:paraId="1502FAE3">
      <w:pPr>
        <w:widowControl w:val="0"/>
        <w:spacing w:line="360" w:lineRule="auto"/>
        <w:ind w:firstLine="48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②投标报价低于通过符合性审查的次低报价供应商投标报价50%的，即投标报价&lt;通过符合性审查的次低报价供应商投标报价×50%；</w:t>
      </w:r>
    </w:p>
    <w:p w14:paraId="20EBF3DE">
      <w:pPr>
        <w:widowControl w:val="0"/>
        <w:spacing w:line="360" w:lineRule="auto"/>
        <w:ind w:firstLine="48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③投标报价低于采购项目最高限价45%的，即投标报价&lt;采购项目最高限价×45%；</w:t>
      </w:r>
    </w:p>
    <w:p w14:paraId="41D3867F">
      <w:pPr>
        <w:widowControl w:val="0"/>
        <w:spacing w:line="360" w:lineRule="auto"/>
        <w:ind w:firstLine="48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④评审委员会基于专业判断，认为供应商报价过低，有可能影响产品质量或者不能诚信履约的其他情形。</w:t>
      </w:r>
    </w:p>
    <w:p w14:paraId="2BD7750F">
      <w:pPr>
        <w:widowControl w:val="0"/>
        <w:spacing w:line="360" w:lineRule="auto"/>
        <w:ind w:firstLine="48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评审委员会启动异常低价投标审查后，属于前述第①项至第④项情形的，评审委员会通过要求供应商在30分钟内对投标价格作出解释，提供项目具体成本测算等与报价合理性相关的书面说明及必要的证明材料，包括但不限于原材料成本、人工成本、制造费用等证明其报价合理性。投标供应商不能提供书面说明、证明材料，或者提供的书面说明、证明材料不能证明其报价合理性的，评审委员会应当将其作为无效投标处理。</w:t>
      </w:r>
    </w:p>
    <w:p w14:paraId="19309165">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22、确定成交供应商</w:t>
      </w:r>
    </w:p>
    <w:p w14:paraId="46DFA637">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22.1评审结果按评审后得分由高到低顺序排列。得分相同的，按最终磋商价格由低到高顺序排列。得分且最终磋商价格相同的按技术评分得分自高到低顺序排列。竞争性磋商响应文件满足竞争性磋商文件全部实质性要求，且按照评审因素的量化指标评审得分最高的供应商为排名第一的成交候选人。</w:t>
      </w:r>
    </w:p>
    <w:p w14:paraId="1725C3B2">
      <w:pPr>
        <w:widowControl w:val="0"/>
        <w:spacing w:line="360" w:lineRule="auto"/>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22.2本项目的招标代理服务费由成交人承担。招标代理服务费参照《招标代理服务</w:t>
      </w:r>
      <w:r>
        <w:rPr>
          <w:rFonts w:hint="eastAsia" w:ascii="宋体" w:hAnsi="宋体" w:cs="宋体"/>
          <w:color w:val="auto"/>
          <w:sz w:val="24"/>
          <w:szCs w:val="24"/>
          <w:highlight w:val="none"/>
          <w:lang w:val="en-US" w:eastAsia="zh-CN"/>
        </w:rPr>
        <w:t>收</w:t>
      </w:r>
      <w:bookmarkStart w:id="16" w:name="_GoBack"/>
      <w:bookmarkEnd w:id="16"/>
      <w:r>
        <w:rPr>
          <w:rFonts w:hint="eastAsia" w:ascii="宋体" w:hAnsi="宋体" w:cs="宋体"/>
          <w:color w:val="auto"/>
          <w:sz w:val="24"/>
          <w:szCs w:val="24"/>
          <w:highlight w:val="none"/>
        </w:rPr>
        <w:t>费管理暂行办法》（国家发展计划委员会计价格【2002】1980号）文件标准计取。请各供应商在磋商报价时，将上述费用综合考虑计入磋商报价中，采购人后期不再对此费用进行单独列支与支付。</w:t>
      </w:r>
    </w:p>
    <w:p w14:paraId="4AC38B34">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专家评审费由采购人依据《关于规范江苏省政府采购专家评审费标准的通知》苏财购〔2016〕48号文件规定标准予以支付。</w:t>
      </w:r>
    </w:p>
    <w:p w14:paraId="44625EC2">
      <w:pPr>
        <w:widowControl w:val="0"/>
        <w:spacing w:line="360" w:lineRule="auto"/>
        <w:ind w:firstLine="480"/>
        <w:rPr>
          <w:rFonts w:hint="eastAsia" w:ascii="宋体" w:hAnsi="宋体" w:cs="宋体"/>
          <w:color w:val="auto"/>
          <w:sz w:val="24"/>
          <w:highlight w:val="none"/>
        </w:rPr>
      </w:pPr>
      <w:r>
        <w:rPr>
          <w:rFonts w:hint="eastAsia" w:ascii="宋体" w:hAnsi="宋体" w:cs="宋体"/>
          <w:color w:val="auto"/>
          <w:sz w:val="24"/>
          <w:szCs w:val="24"/>
          <w:highlight w:val="none"/>
        </w:rPr>
        <w:t>22.3成交人确定后，在“南京市栖霞区人民政府”上公告成交结果，成交公告期为1个工作日。</w:t>
      </w:r>
      <w:r>
        <w:rPr>
          <w:rFonts w:hint="eastAsia" w:ascii="宋体" w:hAnsi="宋体" w:cs="宋体"/>
          <w:color w:val="auto"/>
          <w:sz w:val="24"/>
          <w:highlight w:val="none"/>
        </w:rPr>
        <w:t>成交供应商向采购代理机构支付代理服务费后领取成交通知书。</w:t>
      </w:r>
    </w:p>
    <w:p w14:paraId="3B861D78">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22.4成交结果通知书对采购人和成交供应商具有同等法律效力。</w:t>
      </w:r>
    </w:p>
    <w:p w14:paraId="32E9A484">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22.5成交结果通知书发出后，成交供应商无正当理由不与采购人签订合同的，磋商保证金不予退还；情节严重的，由采购人将其列入不良行为记录名单，在一至三年内禁止参加本单位采购活动，并予以通报。</w:t>
      </w:r>
    </w:p>
    <w:p w14:paraId="50C9C46E">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22.6采购代理机构和评审委员会对未成交的供应商不作未成交原因的解释。</w:t>
      </w:r>
    </w:p>
    <w:p w14:paraId="365E071E">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22.7所有竞争性磋商响应文件都将作为档案保存，不论成交与否，采购代理机构均不退回。</w:t>
      </w:r>
    </w:p>
    <w:p w14:paraId="723E1756">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23、编写评审报告</w:t>
      </w:r>
    </w:p>
    <w:p w14:paraId="052ACE64">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23.1评审委员会根据全体评审成员签字的原始评审记录和评审结果编写评审报告。</w:t>
      </w:r>
    </w:p>
    <w:p w14:paraId="40E2C6C7">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24、评审过程的保密性</w:t>
      </w:r>
    </w:p>
    <w:p w14:paraId="439D8975">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24.1采购代理机构将采取必要措施，保证评审在严格保密的情况下进行。</w:t>
      </w:r>
    </w:p>
    <w:p w14:paraId="78BAA72A">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24.2任何单位和个人不得非法干预、影响评审过程和结果。</w:t>
      </w:r>
    </w:p>
    <w:p w14:paraId="2B3D5E7E">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24.3凡是与审查、澄清、评价和比较投标的有关资料等，均不向供应商及与评审无关的其他人员透露。</w:t>
      </w:r>
    </w:p>
    <w:p w14:paraId="3AC6A83A">
      <w:pPr>
        <w:widowControl w:val="0"/>
        <w:spacing w:line="360" w:lineRule="auto"/>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五、签订合同</w:t>
      </w:r>
    </w:p>
    <w:p w14:paraId="5DE2433B">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25.1成交供应商应当自成交结果通知书发出之日起三十日内，按照竞争性磋商文件和成交供应商竞争性磋商响应文件的约定与采购人签订服务合同，所签订的合同不得对竞争性磋商文件和成交供应商竞争性磋商响应文件作实质性修改。</w:t>
      </w:r>
    </w:p>
    <w:p w14:paraId="4BC989F6">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25.2采购人不得向成交供应商提出任何不合理的要求作为签订合同的条件，不得与成交供应商私下订立背离合同实质性内容的协议。</w:t>
      </w:r>
    </w:p>
    <w:p w14:paraId="6C8171FF">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25.3成交供应商拒绝与采购人签订合同，或因不可抗力或者自身原因不能履行政府采购合同的，采购人可以按照评审报告推荐的成交候选人名单排序，确定下一候选人为成交供应商，也可以重新开展采购活动。</w:t>
      </w:r>
    </w:p>
    <w:p w14:paraId="762BE420">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25.4除继续履行将损害国家利益和社会公众利益的，采购合同的双方当事人不得擅自变更、中止或者终止合同。成交供应商除发生法律规定的不能预见、不能避免并不能克服的客观情况外，不得放弃或拒绝签订合同。放弃或拒绝签订合同的，成交供应商不得参加对该项目重新开展的采购活动。由采购人按照《</w:t>
      </w:r>
      <w:r>
        <w:rPr>
          <w:rFonts w:hint="eastAsia" w:ascii="宋体" w:hAnsi="宋体" w:cs="宋体"/>
          <w:color w:val="auto"/>
          <w:sz w:val="24"/>
          <w:szCs w:val="24"/>
          <w:highlight w:val="none"/>
          <w:lang w:val="en-US" w:eastAsia="zh-CN"/>
        </w:rPr>
        <w:t>中华人民共和国</w:t>
      </w:r>
      <w:r>
        <w:rPr>
          <w:rFonts w:hint="eastAsia" w:ascii="宋体" w:hAnsi="宋体" w:cs="宋体"/>
          <w:color w:val="auto"/>
          <w:sz w:val="24"/>
          <w:szCs w:val="24"/>
          <w:highlight w:val="none"/>
        </w:rPr>
        <w:t>政府采购法》第七十七条第一款予以罚款，列入不良行为记录名单，在一至三年内禁止参加本单位采购活动，并予以通报。</w:t>
      </w:r>
    </w:p>
    <w:p w14:paraId="6529B89F">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25.5采购合同履行中，采购人需追加与合同标的相同货物或服务的，在不改变合同其他条款的前提下，可以与供应商协商签订补充合同，但所有补充合同的采购金额不得超过原合同采购金额的百分之十。</w:t>
      </w:r>
    </w:p>
    <w:p w14:paraId="03E58C1D">
      <w:pPr>
        <w:widowControl w:val="0"/>
        <w:spacing w:line="360" w:lineRule="auto"/>
        <w:ind w:left="4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六、询问、质疑、投诉和诚实信用</w:t>
      </w:r>
    </w:p>
    <w:p w14:paraId="73076352">
      <w:pPr>
        <w:widowControl w:val="0"/>
        <w:spacing w:line="360" w:lineRule="auto"/>
        <w:ind w:left="400"/>
        <w:rPr>
          <w:rFonts w:hint="eastAsia" w:ascii="宋体" w:hAnsi="宋体" w:cs="宋体"/>
          <w:color w:val="auto"/>
          <w:sz w:val="24"/>
          <w:szCs w:val="24"/>
          <w:highlight w:val="none"/>
        </w:rPr>
      </w:pPr>
      <w:r>
        <w:rPr>
          <w:rFonts w:hint="eastAsia" w:ascii="宋体" w:hAnsi="宋体" w:cs="宋体"/>
          <w:color w:val="auto"/>
          <w:sz w:val="24"/>
          <w:szCs w:val="24"/>
          <w:highlight w:val="none"/>
        </w:rPr>
        <w:t>26、询问</w:t>
      </w:r>
    </w:p>
    <w:p w14:paraId="22810455">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26.1供应商对磋商活动事项有疑问的，可以向采购代理机构或采购人提出询问，采购代理机构或采购人将在三个工作日内作出答复，但答复的内容不涉及商业秘密。</w:t>
      </w:r>
    </w:p>
    <w:p w14:paraId="2E06350F">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27、质疑</w:t>
      </w:r>
    </w:p>
    <w:p w14:paraId="20BD86E3">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27.1供应商认为竞争性磋商文件、采购过程和成交结果使自己的合法权益受到损害的，可以在知道或者应当知道其权益受到损害之日起七个工作日内（逾期不予受理），将质疑文件原件送达采购代理机构。采购信息公告期限自在指定媒体发布公告之日起算，期限5个工作日。采购结果公告期限自在指定媒体发布公告之日起算，期限1个工作日。</w:t>
      </w:r>
    </w:p>
    <w:p w14:paraId="0F52E476">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27.2质疑文件应包括以下主要内容，并按照“谁主张、谁举证”的原则，附上相关证明材料。否则，采购代理机构或采购人不予受理：</w:t>
      </w:r>
    </w:p>
    <w:p w14:paraId="06F97F2E">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（1）质疑项目名称、项目编号、包号、竞争性磋商公告发布时间、磋商时间；</w:t>
      </w:r>
    </w:p>
    <w:p w14:paraId="4BCB00EB">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（2）提起质疑的日期、具体的质疑事项及事实依据（具体条款）；</w:t>
      </w:r>
    </w:p>
    <w:p w14:paraId="794B7931">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认为自己合法权益受到损害或可能受到损害的相关证据材料。质疑相关证明材料中如涉及产品功能或技术指标的，应出具相关制造商的证明文件（友情提示：供应商全部产品线中没有满足技术需求要求的产品才可以对磋商产品提出质疑，并提出修改理由和修改建议）；</w:t>
      </w:r>
    </w:p>
    <w:p w14:paraId="0027E3A4">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（4）质疑供应商名称、地址、邮编、联系人、联系电话（包括座机、手机、传真号码等）；</w:t>
      </w:r>
    </w:p>
    <w:p w14:paraId="7C08D0DC">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（5）质疑文件应当署名，质疑人为自然人的，应当由本人签字并附有效身份证明；质疑人为法人或其他组织的，应当由法定代表人签字并加盖单位公章。</w:t>
      </w:r>
    </w:p>
    <w:p w14:paraId="1ACEF856">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（6）供应商委托代理质疑的，应当向被质疑人提交授权委托书，并载明委托代理的具体权限和事项。</w:t>
      </w:r>
    </w:p>
    <w:p w14:paraId="502CDE71">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27.3质疑供应商是指直接参加本项目采购活动的供应商；对竞争性磋商文件提出质疑的，应自供应商获得竞争性磋商文件之日起计算，且应当在递交竞争性磋商响应文件截止之日前提出；对采购过程提出质疑的，自采购程序环节结束之日起计算；对成交结果提出质疑的，自成交结果公告之日起计算。</w:t>
      </w:r>
    </w:p>
    <w:p w14:paraId="2CA39844">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27.4供应商应当在法定质疑期内一次性提出针对同一采购程序环节的质疑。供应商如在法定期限内对同一采购程序环节提出多次质疑的，采购代理机构、采购人将只对供应商第一次质疑作出答复。</w:t>
      </w:r>
    </w:p>
    <w:p w14:paraId="553B84A5">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27.5采购代理机构在收到供应商的书面质疑后将及时组织调查核实，在七个工作日内作出答复，并以书面形式通知质疑供应商和其他有关供应商，答复的内容不涉及商业秘密。采购代理机构遵循“谁过错谁负担”的原则，有过错的一方承担调查论证费用。</w:t>
      </w:r>
    </w:p>
    <w:p w14:paraId="4654D192">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28、投诉</w:t>
      </w:r>
    </w:p>
    <w:p w14:paraId="60492CDC">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28.1供应商投诉应当有明确的请求和必要的证明材料。供应商投诉的事项不得超出已质疑事项的范围。</w:t>
      </w:r>
    </w:p>
    <w:p w14:paraId="4D8CACD8">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28.2投诉人有下列行为之一的，属于严重失信行为，由采购人列入不良行为记录名单，禁止其一至三年内参加政府采购活动。</w:t>
      </w:r>
    </w:p>
    <w:p w14:paraId="19972EB2">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（1）投诉人在全国范围12个月内三次以上投诉查无实据的；</w:t>
      </w:r>
    </w:p>
    <w:p w14:paraId="1CBA1358">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（2）采用捏造事实、提供虚假材料或者以非法手段取得证明材料等方式进行虚假、恶意投诉证件来源的合法性存在明显疑问，投诉人无法证明其取得方式合法的，视为以非法手段取得证明材料。</w:t>
      </w:r>
    </w:p>
    <w:p w14:paraId="1A64A78B">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29、诚实信用</w:t>
      </w:r>
    </w:p>
    <w:p w14:paraId="5CF38643">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29.1供应商之间不得相互串通报价，不得妨碍其他供应商的公平竞争，不得损害采购人和其他供应商的合法权益。</w:t>
      </w:r>
    </w:p>
    <w:p w14:paraId="322EE8C8">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29.2供应商不得以向采购代理机构工作人员、评审委员会成员行贿或者采取其他不正当手段谋取成交。</w:t>
      </w:r>
    </w:p>
    <w:p w14:paraId="52E588BB">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29.3供应商不得虚假质疑和恶意质疑，并对质疑内容的真实性承担责任。供应商或者其他利害关系人通过捏造事实、伪造证明材料等方式提出异议或投诉，阻碍招投标活动正常进行的，属于严重不良行为，采购人将其列入不良行为记录名单。</w:t>
      </w:r>
    </w:p>
    <w:p w14:paraId="18E94E0A">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29.4供应商不得虚假承诺，否则，按照提供虚假材料谋取成交处理。</w:t>
      </w:r>
    </w:p>
    <w:p w14:paraId="3065214F">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29.5供应商应自觉遵守磋商、评审纪律，扰乱磋商评审现场秩序的，一经查实，采购人有权依据政府采购的有关规定，报请政府采购监管部门对该供应商进行相应的行政处罚和记录该供应商的失信信息。</w:t>
      </w:r>
    </w:p>
    <w:p w14:paraId="226A4FEB">
      <w:pPr>
        <w:widowControl w:val="0"/>
        <w:spacing w:line="360" w:lineRule="auto"/>
        <w:ind w:firstLine="480"/>
        <w:rPr>
          <w:rFonts w:hint="eastAsia" w:ascii="宋体" w:hAnsi="宋体" w:cs="宋体"/>
          <w:color w:val="auto"/>
          <w:sz w:val="24"/>
          <w:szCs w:val="24"/>
          <w:highlight w:val="none"/>
        </w:rPr>
      </w:pPr>
    </w:p>
    <w:p w14:paraId="1EDDBC5B">
      <w:pPr>
        <w:widowControl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clear="all"/>
      </w:r>
    </w:p>
    <w:p w14:paraId="2E693C53">
      <w:pPr>
        <w:pStyle w:val="3"/>
        <w:keepNext w:val="0"/>
        <w:keepLines w:val="0"/>
        <w:widowControl w:val="0"/>
        <w:spacing w:line="240" w:lineRule="auto"/>
        <w:rPr>
          <w:color w:val="auto"/>
          <w:highlight w:val="none"/>
        </w:rPr>
      </w:pPr>
      <w:r>
        <w:rPr>
          <w:rFonts w:hint="eastAsia"/>
          <w:color w:val="auto"/>
          <w:highlight w:val="none"/>
        </w:rPr>
        <w:t>第三章  评分标准</w:t>
      </w:r>
    </w:p>
    <w:p w14:paraId="67ADB4A5">
      <w:pPr>
        <w:widowControl w:val="0"/>
        <w:ind w:firstLine="480"/>
        <w:rPr>
          <w:rFonts w:hint="eastAsia" w:ascii="宋体" w:hAnsi="宋体" w:cs="宋体"/>
          <w:color w:val="auto"/>
          <w:sz w:val="24"/>
          <w:szCs w:val="28"/>
          <w:highlight w:val="none"/>
        </w:rPr>
      </w:pPr>
      <w:r>
        <w:rPr>
          <w:rFonts w:hint="eastAsia" w:ascii="宋体" w:hAnsi="宋体" w:cs="宋体"/>
          <w:color w:val="auto"/>
          <w:sz w:val="24"/>
          <w:szCs w:val="28"/>
          <w:highlight w:val="none"/>
        </w:rPr>
        <w:t>本项目采用综合评分法：按照竞争性磋商文件中规定的各项因素进行综合评审，</w:t>
      </w:r>
      <w:r>
        <w:rPr>
          <w:rFonts w:ascii="宋体" w:hAnsi="宋体"/>
          <w:color w:val="auto"/>
          <w:sz w:val="24"/>
          <w:szCs w:val="24"/>
          <w:highlight w:val="none"/>
        </w:rPr>
        <w:t>小数点后保留2位</w:t>
      </w:r>
      <w:r>
        <w:rPr>
          <w:rFonts w:hint="eastAsia" w:ascii="宋体" w:hAnsi="宋体"/>
          <w:color w:val="auto"/>
          <w:sz w:val="24"/>
          <w:szCs w:val="24"/>
          <w:highlight w:val="none"/>
        </w:rPr>
        <w:t>。</w:t>
      </w:r>
      <w:r>
        <w:rPr>
          <w:rFonts w:ascii="宋体" w:hAnsi="宋体"/>
          <w:color w:val="auto"/>
          <w:sz w:val="24"/>
          <w:szCs w:val="24"/>
          <w:highlight w:val="none"/>
        </w:rPr>
        <w:t>按评审后得分由高到低顺序排列，</w:t>
      </w:r>
      <w:r>
        <w:rPr>
          <w:rFonts w:hint="eastAsia" w:ascii="宋体" w:hAnsi="宋体" w:cs="宋体"/>
          <w:color w:val="auto"/>
          <w:sz w:val="24"/>
          <w:szCs w:val="28"/>
          <w:highlight w:val="none"/>
        </w:rPr>
        <w:t>得分相同时，按供应商最终磋商价格由低到高顺序排列；得分且最终磋商价格相同的，按技术评分得分自高到低顺序排列。</w:t>
      </w:r>
    </w:p>
    <w:tbl>
      <w:tblPr>
        <w:tblStyle w:val="13"/>
        <w:tblW w:w="108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1440"/>
        <w:gridCol w:w="8239"/>
        <w:gridCol w:w="606"/>
      </w:tblGrid>
      <w:tr w14:paraId="15D40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blHeader/>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598C48EF">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序号</w:t>
            </w:r>
          </w:p>
        </w:tc>
        <w:tc>
          <w:tcPr>
            <w:tcW w:w="1440" w:type="dxa"/>
            <w:tcBorders>
              <w:top w:val="single" w:color="000000" w:sz="4" w:space="0"/>
              <w:left w:val="single" w:color="000000" w:sz="4" w:space="0"/>
              <w:bottom w:val="single" w:color="000000" w:sz="4" w:space="0"/>
              <w:right w:val="single" w:color="000000" w:sz="4" w:space="0"/>
            </w:tcBorders>
            <w:vAlign w:val="center"/>
          </w:tcPr>
          <w:p w14:paraId="47262A5A">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评分因素</w:t>
            </w:r>
          </w:p>
        </w:tc>
        <w:tc>
          <w:tcPr>
            <w:tcW w:w="8239" w:type="dxa"/>
            <w:tcBorders>
              <w:top w:val="single" w:color="000000" w:sz="4" w:space="0"/>
              <w:left w:val="single" w:color="000000" w:sz="4" w:space="0"/>
              <w:bottom w:val="single" w:color="000000" w:sz="4" w:space="0"/>
              <w:right w:val="single" w:color="000000" w:sz="4" w:space="0"/>
            </w:tcBorders>
            <w:vAlign w:val="center"/>
          </w:tcPr>
          <w:p w14:paraId="11CB482A">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评分标准</w:t>
            </w:r>
          </w:p>
        </w:tc>
        <w:tc>
          <w:tcPr>
            <w:tcW w:w="606" w:type="dxa"/>
            <w:tcBorders>
              <w:top w:val="single" w:color="000000" w:sz="4" w:space="0"/>
              <w:left w:val="single" w:color="000000" w:sz="4" w:space="0"/>
              <w:bottom w:val="single" w:color="000000" w:sz="4" w:space="0"/>
              <w:right w:val="single" w:color="000000" w:sz="4" w:space="0"/>
            </w:tcBorders>
            <w:vAlign w:val="center"/>
          </w:tcPr>
          <w:p w14:paraId="7B637B24">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分值</w:t>
            </w:r>
          </w:p>
        </w:tc>
      </w:tr>
      <w:tr w14:paraId="7FA20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205AF31D">
            <w:pPr>
              <w:jc w:val="center"/>
              <w:rPr>
                <w:rFonts w:hint="eastAsia" w:ascii="宋体" w:hAnsi="宋体" w:cs="宋体"/>
                <w:color w:val="auto"/>
                <w:sz w:val="24"/>
                <w:szCs w:val="24"/>
                <w:highlight w:val="none"/>
                <w:lang w:val="zh-CN"/>
              </w:rPr>
            </w:pPr>
          </w:p>
          <w:p w14:paraId="1C7F849E">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w:t>
            </w:r>
          </w:p>
        </w:tc>
        <w:tc>
          <w:tcPr>
            <w:tcW w:w="1440" w:type="dxa"/>
            <w:tcBorders>
              <w:top w:val="single" w:color="000000" w:sz="4" w:space="0"/>
              <w:left w:val="single" w:color="000000" w:sz="4" w:space="0"/>
              <w:bottom w:val="single" w:color="000000" w:sz="4" w:space="0"/>
              <w:right w:val="single" w:color="000000" w:sz="4" w:space="0"/>
            </w:tcBorders>
            <w:vAlign w:val="center"/>
          </w:tcPr>
          <w:p w14:paraId="4D5C6111">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报价</w:t>
            </w:r>
          </w:p>
          <w:p w14:paraId="623DA698">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10</w:t>
            </w:r>
            <w:r>
              <w:rPr>
                <w:rFonts w:hint="eastAsia" w:ascii="宋体" w:hAnsi="宋体" w:cs="宋体"/>
                <w:color w:val="auto"/>
                <w:sz w:val="24"/>
                <w:szCs w:val="24"/>
                <w:highlight w:val="none"/>
                <w:lang w:val="zh-CN"/>
              </w:rPr>
              <w:t>分）</w:t>
            </w:r>
          </w:p>
        </w:tc>
        <w:tc>
          <w:tcPr>
            <w:tcW w:w="8239" w:type="dxa"/>
            <w:tcBorders>
              <w:top w:val="single" w:color="000000" w:sz="4" w:space="0"/>
              <w:left w:val="single" w:color="000000" w:sz="4" w:space="0"/>
              <w:bottom w:val="single" w:color="000000" w:sz="4" w:space="0"/>
              <w:right w:val="single" w:color="000000" w:sz="4" w:space="0"/>
            </w:tcBorders>
            <w:vAlign w:val="center"/>
          </w:tcPr>
          <w:p w14:paraId="536447F1">
            <w:pP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1.1满足竞争性磋商文件要求</w:t>
            </w:r>
            <w:r>
              <w:rPr>
                <w:rFonts w:hint="eastAsia" w:ascii="宋体" w:hAnsi="宋体" w:cs="宋体"/>
                <w:color w:val="auto"/>
                <w:sz w:val="24"/>
                <w:szCs w:val="24"/>
                <w:highlight w:val="none"/>
              </w:rPr>
              <w:t>报价</w:t>
            </w:r>
            <w:r>
              <w:rPr>
                <w:rFonts w:hint="eastAsia" w:ascii="宋体" w:hAnsi="宋体" w:cs="宋体"/>
                <w:color w:val="auto"/>
                <w:sz w:val="24"/>
                <w:szCs w:val="24"/>
                <w:highlight w:val="none"/>
                <w:lang w:val="zh-CN"/>
              </w:rPr>
              <w:t>最低价为评标基准值，评标基准值为满分。各家供应商的价格分值按照下列公式计算：报价得分=(评标基准值/最后报价)×</w:t>
            </w:r>
            <w:r>
              <w:rPr>
                <w:rFonts w:hint="eastAsia" w:ascii="宋体" w:hAnsi="宋体" w:cs="宋体"/>
                <w:color w:val="auto"/>
                <w:sz w:val="24"/>
                <w:szCs w:val="24"/>
                <w:highlight w:val="none"/>
              </w:rPr>
              <w:t>10</w:t>
            </w:r>
            <w:r>
              <w:rPr>
                <w:rFonts w:hint="eastAsia" w:ascii="宋体" w:hAnsi="宋体" w:cs="宋体"/>
                <w:color w:val="auto"/>
                <w:sz w:val="24"/>
                <w:szCs w:val="24"/>
                <w:highlight w:val="none"/>
                <w:lang w:val="zh-CN"/>
              </w:rPr>
              <w:t xml:space="preserve">。（小数点后保留两位，第三位四舍五入） </w:t>
            </w:r>
          </w:p>
        </w:tc>
        <w:tc>
          <w:tcPr>
            <w:tcW w:w="606" w:type="dxa"/>
            <w:tcBorders>
              <w:top w:val="single" w:color="000000" w:sz="4" w:space="0"/>
              <w:left w:val="single" w:color="000000" w:sz="4" w:space="0"/>
              <w:bottom w:val="single" w:color="000000" w:sz="4" w:space="0"/>
              <w:right w:val="single" w:color="000000" w:sz="4" w:space="0"/>
            </w:tcBorders>
            <w:vAlign w:val="center"/>
          </w:tcPr>
          <w:p w14:paraId="5F73662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r>
      <w:tr w14:paraId="6A956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562" w:type="dxa"/>
            <w:tcBorders>
              <w:top w:val="single" w:color="000000" w:sz="4" w:space="0"/>
              <w:left w:val="single" w:color="000000" w:sz="4" w:space="0"/>
              <w:bottom w:val="single" w:color="auto" w:sz="4" w:space="0"/>
              <w:right w:val="single" w:color="000000" w:sz="4" w:space="0"/>
            </w:tcBorders>
            <w:vAlign w:val="center"/>
          </w:tcPr>
          <w:p w14:paraId="590DBF1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440" w:type="dxa"/>
            <w:tcBorders>
              <w:top w:val="single" w:color="000000" w:sz="4" w:space="0"/>
              <w:left w:val="single" w:color="000000" w:sz="4" w:space="0"/>
              <w:bottom w:val="single" w:color="auto" w:sz="4" w:space="0"/>
              <w:right w:val="single" w:color="000000" w:sz="4" w:space="0"/>
            </w:tcBorders>
            <w:vAlign w:val="center"/>
          </w:tcPr>
          <w:p w14:paraId="1A61599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业绩</w:t>
            </w:r>
          </w:p>
          <w:p w14:paraId="43B4D7EC">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分）</w:t>
            </w:r>
          </w:p>
        </w:tc>
        <w:tc>
          <w:tcPr>
            <w:tcW w:w="8239" w:type="dxa"/>
            <w:tcBorders>
              <w:top w:val="single" w:color="000000" w:sz="4" w:space="0"/>
              <w:left w:val="single" w:color="000000" w:sz="4" w:space="0"/>
              <w:bottom w:val="single" w:color="auto" w:sz="4" w:space="0"/>
              <w:right w:val="single" w:color="000000" w:sz="4" w:space="0"/>
            </w:tcBorders>
            <w:vAlign w:val="center"/>
          </w:tcPr>
          <w:p w14:paraId="7C1E5569">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2.1供应商自2023年1月以来承担过类似维修业绩，每提供一个业绩合同得3分，最高得9分。</w:t>
            </w:r>
          </w:p>
          <w:p w14:paraId="11C878C6">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注：提供中标通知书、合同、结算发票（至少一张）复印件加盖公章，内容需体现相关的服务内容，以合同签订时间为准。</w:t>
            </w:r>
          </w:p>
        </w:tc>
        <w:tc>
          <w:tcPr>
            <w:tcW w:w="606" w:type="dxa"/>
            <w:tcBorders>
              <w:top w:val="single" w:color="000000" w:sz="4" w:space="0"/>
              <w:left w:val="single" w:color="000000" w:sz="4" w:space="0"/>
              <w:bottom w:val="single" w:color="000000" w:sz="4" w:space="0"/>
              <w:right w:val="single" w:color="000000" w:sz="4" w:space="0"/>
            </w:tcBorders>
            <w:vAlign w:val="center"/>
          </w:tcPr>
          <w:p w14:paraId="732820C0">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r>
      <w:tr w14:paraId="60DE2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562" w:type="dxa"/>
            <w:vMerge w:val="restart"/>
            <w:tcBorders>
              <w:top w:val="single" w:color="auto" w:sz="4" w:space="0"/>
              <w:left w:val="single" w:color="000000" w:sz="4" w:space="0"/>
              <w:right w:val="single" w:color="000000" w:sz="4" w:space="0"/>
            </w:tcBorders>
            <w:vAlign w:val="center"/>
          </w:tcPr>
          <w:p w14:paraId="20D866DC">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440" w:type="dxa"/>
            <w:vMerge w:val="restart"/>
            <w:tcBorders>
              <w:top w:val="single" w:color="auto" w:sz="4" w:space="0"/>
              <w:left w:val="single" w:color="000000" w:sz="4" w:space="0"/>
              <w:right w:val="single" w:color="000000" w:sz="4" w:space="0"/>
            </w:tcBorders>
            <w:vAlign w:val="center"/>
          </w:tcPr>
          <w:p w14:paraId="7958587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履约能力</w:t>
            </w:r>
          </w:p>
          <w:p w14:paraId="1272284B">
            <w:pPr>
              <w:pStyle w:val="6"/>
              <w:jc w:val="center"/>
              <w:rPr>
                <w:color w:val="auto"/>
                <w:highlight w:val="none"/>
              </w:rPr>
            </w:pPr>
            <w:r>
              <w:rPr>
                <w:rFonts w:hint="eastAsia" w:ascii="宋体" w:hAnsi="宋体" w:cs="宋体"/>
                <w:color w:val="auto"/>
                <w:highlight w:val="none"/>
              </w:rPr>
              <w:t>（16分）</w:t>
            </w:r>
          </w:p>
        </w:tc>
        <w:tc>
          <w:tcPr>
            <w:tcW w:w="8239" w:type="dxa"/>
            <w:tcBorders>
              <w:top w:val="single" w:color="auto" w:sz="4" w:space="0"/>
              <w:left w:val="single" w:color="000000" w:sz="4" w:space="0"/>
              <w:bottom w:val="single" w:color="000000" w:sz="4" w:space="0"/>
              <w:right w:val="single" w:color="000000" w:sz="4" w:space="0"/>
            </w:tcBorders>
            <w:vAlign w:val="center"/>
          </w:tcPr>
          <w:p w14:paraId="5A726D6F">
            <w:pPr>
              <w:snapToGrid w:val="0"/>
              <w:rPr>
                <w:rFonts w:hint="eastAsia" w:ascii="宋体" w:hAnsi="宋体" w:cs="宋体"/>
                <w:bCs/>
                <w:color w:val="auto"/>
                <w:sz w:val="24"/>
                <w:szCs w:val="24"/>
                <w:highlight w:val="none"/>
              </w:rPr>
            </w:pPr>
            <w:r>
              <w:rPr>
                <w:rFonts w:hint="eastAsia" w:ascii="宋体" w:hAnsi="宋体" w:cs="宋体"/>
                <w:bCs/>
                <w:color w:val="auto"/>
                <w:sz w:val="24"/>
                <w:szCs w:val="24"/>
                <w:highlight w:val="none"/>
              </w:rPr>
              <w:t>3.1项目团队</w:t>
            </w:r>
          </w:p>
          <w:p w14:paraId="28F2ED13">
            <w:pPr>
              <w:snapToGrid w:val="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①项目负责人：具有工程师及以上职称的得3分；</w:t>
            </w:r>
          </w:p>
          <w:p w14:paraId="35B37C73">
            <w:pPr>
              <w:snapToGrid w:val="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②团队成员（不含项目负责人）：具有安全管理证书的每提供一个得3分，最高得3分；具有电工（低压）证职业资格证书的3分/人，最高得3分；具有垃圾分类相关的培训证书或上岗证书的3分/人，最高得3分；本项满分9分。</w:t>
            </w:r>
          </w:p>
          <w:p w14:paraId="3410D38E">
            <w:pPr>
              <w:snapToGrid w:val="0"/>
              <w:rPr>
                <w:rFonts w:hint="eastAsia" w:ascii="宋体" w:hAnsi="宋体" w:cs="宋体"/>
                <w:color w:val="auto"/>
                <w:sz w:val="24"/>
                <w:szCs w:val="24"/>
                <w:highlight w:val="none"/>
              </w:rPr>
            </w:pPr>
            <w:r>
              <w:rPr>
                <w:rFonts w:hint="eastAsia" w:ascii="宋体" w:hAnsi="宋体" w:cs="宋体"/>
                <w:bCs/>
                <w:color w:val="auto"/>
                <w:sz w:val="24"/>
                <w:szCs w:val="24"/>
                <w:highlight w:val="none"/>
              </w:rPr>
              <w:t>注：以上所有人员均需提供相关证书复印件加盖公章及</w:t>
            </w:r>
            <w:r>
              <w:rPr>
                <w:rFonts w:hint="eastAsia" w:ascii="宋体" w:hAnsi="宋体" w:cs="宋体"/>
                <w:bCs/>
                <w:color w:val="auto"/>
                <w:sz w:val="24"/>
                <w:highlight w:val="none"/>
              </w:rPr>
              <w:t>磋商前近半年内(至少一个月)供应商为其连续缴纳的由劳动和社会保障部门出具的养老保险缴纳凭证（须明确缴费月份、个人姓名、缴费单位且加盖社保中</w:t>
            </w:r>
            <w:r>
              <w:rPr>
                <w:rFonts w:hint="eastAsia" w:ascii="宋体" w:hAnsi="宋体" w:cs="宋体"/>
                <w:bCs/>
                <w:color w:val="auto"/>
                <w:sz w:val="24"/>
                <w:highlight w:val="none"/>
                <w:lang w:eastAsia="zh-CN"/>
              </w:rPr>
              <w:t>心公</w:t>
            </w:r>
            <w:r>
              <w:rPr>
                <w:rFonts w:hint="eastAsia" w:ascii="宋体" w:hAnsi="宋体" w:cs="宋体"/>
                <w:bCs/>
                <w:color w:val="auto"/>
                <w:sz w:val="24"/>
                <w:highlight w:val="none"/>
              </w:rPr>
              <w:t>章或社保中心参保缴费证明电子专用章。未提供或提供资料不全的不得分。</w:t>
            </w:r>
          </w:p>
        </w:tc>
        <w:tc>
          <w:tcPr>
            <w:tcW w:w="606" w:type="dxa"/>
            <w:tcBorders>
              <w:top w:val="single" w:color="000000" w:sz="4" w:space="0"/>
              <w:left w:val="single" w:color="000000" w:sz="4" w:space="0"/>
              <w:bottom w:val="single" w:color="000000" w:sz="4" w:space="0"/>
              <w:right w:val="single" w:color="000000" w:sz="4" w:space="0"/>
            </w:tcBorders>
            <w:vAlign w:val="center"/>
          </w:tcPr>
          <w:p w14:paraId="6D81E56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r>
      <w:tr w14:paraId="3CF09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562" w:type="dxa"/>
            <w:vMerge w:val="continue"/>
            <w:tcBorders>
              <w:left w:val="single" w:color="000000" w:sz="4" w:space="0"/>
              <w:right w:val="single" w:color="000000" w:sz="4" w:space="0"/>
            </w:tcBorders>
            <w:vAlign w:val="center"/>
          </w:tcPr>
          <w:p w14:paraId="441D647A">
            <w:pPr>
              <w:jc w:val="center"/>
              <w:rPr>
                <w:rFonts w:hint="eastAsia" w:ascii="宋体" w:hAnsi="宋体" w:cs="宋体"/>
                <w:color w:val="auto"/>
                <w:sz w:val="24"/>
                <w:szCs w:val="24"/>
                <w:highlight w:val="none"/>
              </w:rPr>
            </w:pPr>
          </w:p>
        </w:tc>
        <w:tc>
          <w:tcPr>
            <w:tcW w:w="1440" w:type="dxa"/>
            <w:vMerge w:val="continue"/>
            <w:tcBorders>
              <w:left w:val="single" w:color="000000" w:sz="4" w:space="0"/>
              <w:right w:val="single" w:color="000000" w:sz="4" w:space="0"/>
            </w:tcBorders>
            <w:vAlign w:val="center"/>
          </w:tcPr>
          <w:p w14:paraId="47628808">
            <w:pPr>
              <w:pStyle w:val="6"/>
              <w:jc w:val="center"/>
              <w:rPr>
                <w:rFonts w:hint="eastAsia" w:ascii="宋体" w:hAnsi="宋体" w:cs="宋体"/>
                <w:color w:val="auto"/>
                <w:highlight w:val="none"/>
              </w:rPr>
            </w:pPr>
          </w:p>
        </w:tc>
        <w:tc>
          <w:tcPr>
            <w:tcW w:w="8239" w:type="dxa"/>
            <w:tcBorders>
              <w:top w:val="single" w:color="auto" w:sz="4" w:space="0"/>
              <w:left w:val="single" w:color="000000" w:sz="4" w:space="0"/>
              <w:bottom w:val="single" w:color="000000" w:sz="4" w:space="0"/>
              <w:right w:val="single" w:color="000000" w:sz="4" w:space="0"/>
            </w:tcBorders>
            <w:vAlign w:val="center"/>
          </w:tcPr>
          <w:p w14:paraId="71BC4C12">
            <w:pPr>
              <w:snapToGrid w:val="0"/>
              <w:rPr>
                <w:rFonts w:hint="eastAsia" w:ascii="宋体" w:hAnsi="宋体" w:cs="宋体"/>
                <w:bCs/>
                <w:color w:val="auto"/>
                <w:sz w:val="24"/>
                <w:szCs w:val="24"/>
                <w:highlight w:val="none"/>
              </w:rPr>
            </w:pPr>
            <w:r>
              <w:rPr>
                <w:rFonts w:hint="eastAsia" w:ascii="宋体" w:hAnsi="宋体" w:cs="宋体"/>
                <w:bCs/>
                <w:color w:val="auto"/>
                <w:sz w:val="24"/>
                <w:szCs w:val="24"/>
                <w:highlight w:val="none"/>
              </w:rPr>
              <w:t>3.2供应商具有有效期内的设备维修保养服务认证证书、售后服务完善程度认证证书，每提供一个的得2分，最高得4分。提供证书复印件加盖公章。</w:t>
            </w:r>
          </w:p>
        </w:tc>
        <w:tc>
          <w:tcPr>
            <w:tcW w:w="606" w:type="dxa"/>
            <w:tcBorders>
              <w:top w:val="single" w:color="000000" w:sz="4" w:space="0"/>
              <w:left w:val="single" w:color="000000" w:sz="4" w:space="0"/>
              <w:bottom w:val="single" w:color="000000" w:sz="4" w:space="0"/>
              <w:right w:val="single" w:color="000000" w:sz="4" w:space="0"/>
            </w:tcBorders>
            <w:vAlign w:val="center"/>
          </w:tcPr>
          <w:p w14:paraId="1D7AC7C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r>
      <w:tr w14:paraId="0D4ED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jc w:val="center"/>
        </w:trPr>
        <w:tc>
          <w:tcPr>
            <w:tcW w:w="562" w:type="dxa"/>
            <w:tcBorders>
              <w:top w:val="single" w:color="000000" w:sz="4" w:space="0"/>
              <w:left w:val="single" w:color="000000" w:sz="4" w:space="0"/>
              <w:right w:val="single" w:color="000000" w:sz="4" w:space="0"/>
            </w:tcBorders>
            <w:vAlign w:val="center"/>
          </w:tcPr>
          <w:p w14:paraId="57DB928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1440" w:type="dxa"/>
            <w:tcBorders>
              <w:top w:val="single" w:color="000000" w:sz="4" w:space="0"/>
              <w:left w:val="single" w:color="000000" w:sz="4" w:space="0"/>
              <w:right w:val="single" w:color="000000" w:sz="4" w:space="0"/>
            </w:tcBorders>
            <w:vAlign w:val="center"/>
          </w:tcPr>
          <w:p w14:paraId="0E090FA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改造方案</w:t>
            </w:r>
          </w:p>
          <w:p w14:paraId="48DDCFB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15</w:t>
            </w:r>
            <w:r>
              <w:rPr>
                <w:rFonts w:hint="eastAsia" w:ascii="宋体" w:hAnsi="宋体" w:cs="宋体"/>
                <w:color w:val="auto"/>
                <w:sz w:val="24"/>
                <w:szCs w:val="24"/>
                <w:highlight w:val="none"/>
                <w:lang w:val="zh-CN"/>
              </w:rPr>
              <w:t>分）</w:t>
            </w:r>
          </w:p>
        </w:tc>
        <w:tc>
          <w:tcPr>
            <w:tcW w:w="8239" w:type="dxa"/>
            <w:tcBorders>
              <w:top w:val="single" w:color="000000" w:sz="4" w:space="0"/>
              <w:left w:val="single" w:color="000000" w:sz="4" w:space="0"/>
              <w:right w:val="single" w:color="000000" w:sz="4" w:space="0"/>
            </w:tcBorders>
            <w:vAlign w:val="center"/>
          </w:tcPr>
          <w:p w14:paraId="36DD2927">
            <w:pPr>
              <w:pStyle w:val="18"/>
              <w:snapToGrid w:val="0"/>
              <w:spacing w:after="0"/>
              <w:jc w:val="left"/>
              <w:rPr>
                <w:color w:val="auto"/>
                <w:highlight w:val="none"/>
              </w:rPr>
            </w:pPr>
            <w:r>
              <w:rPr>
                <w:rFonts w:hint="eastAsia" w:ascii="宋体" w:hAnsi="宋体" w:cs="宋体"/>
                <w:color w:val="auto"/>
                <w:sz w:val="24"/>
                <w:highlight w:val="none"/>
              </w:rPr>
              <w:t>4.1根据供应商提供的项目改造实施方案（包含但不限于对项目的投口改造计划、人员投入、质量措施、技术控制措施、项目施工、验收等内容）进行综合评审：各项内容充分体现且能最大限度保障项目有效实施，对项目的分析了解非常全面、计划安排非常合理、管理措施非常实用、过程控制非常有序、质量保证非常可靠的得15分；实施方案内容基本完整，阐述较为详细，具有工作计划、管理、过程控制、质量保证等主要环节的服务内容的得12分； 改造实施方案编制简单，具有一定可实施性的得9分；未提供不得分。</w:t>
            </w:r>
          </w:p>
        </w:tc>
        <w:tc>
          <w:tcPr>
            <w:tcW w:w="606" w:type="dxa"/>
            <w:tcBorders>
              <w:top w:val="single" w:color="000000" w:sz="4" w:space="0"/>
              <w:left w:val="single" w:color="000000" w:sz="4" w:space="0"/>
              <w:bottom w:val="single" w:color="000000" w:sz="4" w:space="0"/>
              <w:right w:val="single" w:color="000000" w:sz="4" w:space="0"/>
            </w:tcBorders>
            <w:vAlign w:val="center"/>
          </w:tcPr>
          <w:p w14:paraId="6C29A4B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r>
      <w:tr w14:paraId="30388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2" w:type="dxa"/>
            <w:tcBorders>
              <w:top w:val="single" w:color="000000" w:sz="4" w:space="0"/>
              <w:left w:val="single" w:color="000000" w:sz="4" w:space="0"/>
              <w:right w:val="single" w:color="000000" w:sz="4" w:space="0"/>
            </w:tcBorders>
            <w:vAlign w:val="center"/>
          </w:tcPr>
          <w:p w14:paraId="6DB9E41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1440" w:type="dxa"/>
            <w:tcBorders>
              <w:top w:val="single" w:color="000000" w:sz="4" w:space="0"/>
              <w:left w:val="single" w:color="000000" w:sz="4" w:space="0"/>
              <w:right w:val="single" w:color="000000" w:sz="4" w:space="0"/>
            </w:tcBorders>
            <w:vAlign w:val="center"/>
          </w:tcPr>
          <w:p w14:paraId="3B56A9E8">
            <w:pPr>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应急抢修服务方案</w:t>
            </w:r>
          </w:p>
          <w:p w14:paraId="606ECCA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15</w:t>
            </w:r>
            <w:r>
              <w:rPr>
                <w:rFonts w:hint="eastAsia" w:ascii="宋体" w:hAnsi="宋体" w:cs="宋体"/>
                <w:color w:val="auto"/>
                <w:sz w:val="24"/>
                <w:szCs w:val="24"/>
                <w:highlight w:val="none"/>
                <w:lang w:val="zh-CN"/>
              </w:rPr>
              <w:t>分）</w:t>
            </w:r>
          </w:p>
        </w:tc>
        <w:tc>
          <w:tcPr>
            <w:tcW w:w="8239" w:type="dxa"/>
            <w:tcBorders>
              <w:top w:val="single" w:color="000000" w:sz="4" w:space="0"/>
              <w:left w:val="single" w:color="000000" w:sz="4" w:space="0"/>
              <w:right w:val="single" w:color="000000" w:sz="4" w:space="0"/>
            </w:tcBorders>
            <w:vAlign w:val="center"/>
          </w:tcPr>
          <w:p w14:paraId="11DE1E91">
            <w:pPr>
              <w:ind w:left="105"/>
              <w:rPr>
                <w:rFonts w:hint="eastAsia" w:ascii="宋体" w:hAnsi="宋体" w:cs="宋体"/>
                <w:color w:val="auto"/>
                <w:sz w:val="24"/>
                <w:szCs w:val="24"/>
                <w:highlight w:val="none"/>
              </w:rPr>
            </w:pPr>
            <w:r>
              <w:rPr>
                <w:rFonts w:hint="eastAsia" w:ascii="宋体" w:hAnsi="宋体" w:cs="宋体"/>
                <w:color w:val="auto"/>
                <w:sz w:val="24"/>
                <w:szCs w:val="24"/>
                <w:highlight w:val="none"/>
              </w:rPr>
              <w:t>5.1</w:t>
            </w:r>
            <w:r>
              <w:rPr>
                <w:rFonts w:hint="eastAsia" w:ascii="宋体" w:hAnsi="宋体"/>
                <w:color w:val="auto"/>
                <w:sz w:val="24"/>
                <w:szCs w:val="24"/>
                <w:highlight w:val="none"/>
                <w:lang w:val="zh-CN"/>
              </w:rPr>
              <w:t>应急抢修服务方案：评委根据供应商针对本项目提供的垃圾收集点应急抢修服务方案，</w:t>
            </w:r>
            <w:r>
              <w:rPr>
                <w:rFonts w:hint="eastAsia" w:ascii="宋体" w:hAnsi="宋体"/>
                <w:color w:val="auto"/>
                <w:sz w:val="24"/>
                <w:szCs w:val="24"/>
                <w:highlight w:val="none"/>
              </w:rPr>
              <w:t>包括应急响应、应急维修、配件更换等</w:t>
            </w:r>
            <w:r>
              <w:rPr>
                <w:rFonts w:hint="eastAsia" w:ascii="宋体" w:hAnsi="宋体"/>
                <w:color w:val="auto"/>
                <w:sz w:val="24"/>
                <w:szCs w:val="24"/>
                <w:highlight w:val="none"/>
                <w:lang w:val="zh-CN"/>
              </w:rPr>
              <w:t>：方案全面合理、可操作性强、</w:t>
            </w:r>
            <w:r>
              <w:rPr>
                <w:rFonts w:hint="eastAsia" w:ascii="宋体" w:hAnsi="宋体"/>
                <w:color w:val="auto"/>
                <w:sz w:val="24"/>
                <w:szCs w:val="24"/>
                <w:highlight w:val="none"/>
              </w:rPr>
              <w:t>实施性强，针对性强</w:t>
            </w:r>
            <w:r>
              <w:rPr>
                <w:rFonts w:hint="eastAsia" w:ascii="宋体" w:hAnsi="宋体"/>
                <w:color w:val="auto"/>
                <w:sz w:val="24"/>
                <w:szCs w:val="24"/>
                <w:highlight w:val="none"/>
                <w:lang w:val="zh-CN"/>
              </w:rPr>
              <w:t>的得</w:t>
            </w:r>
            <w:r>
              <w:rPr>
                <w:rFonts w:hint="eastAsia" w:ascii="宋体" w:hAnsi="宋体"/>
                <w:color w:val="auto"/>
                <w:sz w:val="24"/>
                <w:szCs w:val="24"/>
                <w:highlight w:val="none"/>
              </w:rPr>
              <w:t>15</w:t>
            </w:r>
            <w:r>
              <w:rPr>
                <w:rFonts w:hint="eastAsia" w:ascii="宋体" w:hAnsi="宋体"/>
                <w:color w:val="auto"/>
                <w:sz w:val="24"/>
                <w:szCs w:val="24"/>
                <w:highlight w:val="none"/>
                <w:lang w:val="zh-CN"/>
              </w:rPr>
              <w:t>分；方案较全面合理、可操作性较强、</w:t>
            </w:r>
            <w:r>
              <w:rPr>
                <w:rFonts w:hint="eastAsia" w:ascii="宋体" w:hAnsi="宋体"/>
                <w:color w:val="auto"/>
                <w:sz w:val="24"/>
                <w:szCs w:val="24"/>
                <w:highlight w:val="none"/>
              </w:rPr>
              <w:t>较有针对性</w:t>
            </w:r>
            <w:r>
              <w:rPr>
                <w:rFonts w:hint="eastAsia" w:ascii="宋体" w:hAnsi="宋体"/>
                <w:color w:val="auto"/>
                <w:sz w:val="24"/>
                <w:szCs w:val="24"/>
                <w:highlight w:val="none"/>
                <w:lang w:val="zh-CN"/>
              </w:rPr>
              <w:t>的得</w:t>
            </w:r>
            <w:r>
              <w:rPr>
                <w:rFonts w:hint="eastAsia" w:ascii="宋体" w:hAnsi="宋体"/>
                <w:color w:val="auto"/>
                <w:sz w:val="24"/>
                <w:szCs w:val="24"/>
                <w:highlight w:val="none"/>
              </w:rPr>
              <w:t>12</w:t>
            </w:r>
            <w:r>
              <w:rPr>
                <w:rFonts w:hint="eastAsia" w:ascii="宋体" w:hAnsi="宋体"/>
                <w:color w:val="auto"/>
                <w:sz w:val="24"/>
                <w:szCs w:val="24"/>
                <w:highlight w:val="none"/>
                <w:lang w:val="zh-CN"/>
              </w:rPr>
              <w:t>分；方案基本全面合理、具有一定操作性的得</w:t>
            </w:r>
            <w:r>
              <w:rPr>
                <w:rFonts w:hint="eastAsia" w:ascii="宋体" w:hAnsi="宋体"/>
                <w:color w:val="auto"/>
                <w:sz w:val="24"/>
                <w:szCs w:val="24"/>
                <w:highlight w:val="none"/>
              </w:rPr>
              <w:t>9</w:t>
            </w:r>
            <w:r>
              <w:rPr>
                <w:rFonts w:hint="eastAsia" w:ascii="宋体" w:hAnsi="宋体"/>
                <w:color w:val="auto"/>
                <w:sz w:val="24"/>
                <w:szCs w:val="24"/>
                <w:highlight w:val="none"/>
                <w:lang w:val="zh-CN"/>
              </w:rPr>
              <w:t>分；未提供不得分。</w:t>
            </w:r>
          </w:p>
        </w:tc>
        <w:tc>
          <w:tcPr>
            <w:tcW w:w="606" w:type="dxa"/>
            <w:tcBorders>
              <w:top w:val="single" w:color="000000" w:sz="4" w:space="0"/>
              <w:left w:val="single" w:color="000000" w:sz="4" w:space="0"/>
              <w:bottom w:val="single" w:color="000000" w:sz="4" w:space="0"/>
              <w:right w:val="single" w:color="000000" w:sz="4" w:space="0"/>
            </w:tcBorders>
            <w:vAlign w:val="center"/>
          </w:tcPr>
          <w:p w14:paraId="124FDB2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r>
      <w:tr w14:paraId="02CD2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562" w:type="dxa"/>
            <w:tcBorders>
              <w:top w:val="single" w:color="000000" w:sz="4" w:space="0"/>
              <w:left w:val="single" w:color="000000" w:sz="4" w:space="0"/>
              <w:right w:val="single" w:color="000000" w:sz="4" w:space="0"/>
            </w:tcBorders>
            <w:vAlign w:val="center"/>
          </w:tcPr>
          <w:p w14:paraId="78B4333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1440" w:type="dxa"/>
            <w:tcBorders>
              <w:left w:val="single" w:color="000000" w:sz="4" w:space="0"/>
              <w:right w:val="single" w:color="000000" w:sz="4" w:space="0"/>
            </w:tcBorders>
            <w:vAlign w:val="center"/>
          </w:tcPr>
          <w:p w14:paraId="101EC09B">
            <w:pPr>
              <w:jc w:val="center"/>
              <w:rPr>
                <w:rFonts w:hint="eastAsia" w:ascii="宋体" w:hAnsi="宋体"/>
                <w:color w:val="auto"/>
                <w:sz w:val="24"/>
                <w:szCs w:val="24"/>
                <w:highlight w:val="none"/>
              </w:rPr>
            </w:pPr>
            <w:r>
              <w:rPr>
                <w:rFonts w:hint="eastAsia" w:ascii="宋体" w:hAnsi="宋体"/>
                <w:color w:val="auto"/>
                <w:sz w:val="24"/>
                <w:szCs w:val="24"/>
                <w:highlight w:val="none"/>
              </w:rPr>
              <w:t>日常巡检服务方案</w:t>
            </w:r>
          </w:p>
          <w:p w14:paraId="09B820EC">
            <w:pPr>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（15分）</w:t>
            </w:r>
          </w:p>
        </w:tc>
        <w:tc>
          <w:tcPr>
            <w:tcW w:w="8239" w:type="dxa"/>
            <w:tcBorders>
              <w:top w:val="single" w:color="000000" w:sz="4" w:space="0"/>
              <w:left w:val="single" w:color="000000" w:sz="4" w:space="0"/>
              <w:bottom w:val="single" w:color="000000" w:sz="4" w:space="0"/>
              <w:right w:val="single" w:color="000000" w:sz="4" w:space="0"/>
            </w:tcBorders>
            <w:vAlign w:val="center"/>
          </w:tcPr>
          <w:p w14:paraId="4CF8AA46">
            <w:pPr>
              <w:rPr>
                <w:rFonts w:hint="eastAsia" w:ascii="宋体" w:hAnsi="宋体" w:cs="宋体"/>
                <w:color w:val="auto"/>
                <w:sz w:val="24"/>
                <w:szCs w:val="24"/>
                <w:highlight w:val="none"/>
              </w:rPr>
            </w:pPr>
            <w:r>
              <w:rPr>
                <w:rFonts w:hint="eastAsia" w:ascii="宋体" w:hAnsi="宋体" w:cs="宋体"/>
                <w:color w:val="auto"/>
                <w:sz w:val="24"/>
                <w:szCs w:val="24"/>
                <w:highlight w:val="none"/>
              </w:rPr>
              <w:t>6.1</w:t>
            </w:r>
            <w:r>
              <w:rPr>
                <w:rFonts w:hint="eastAsia" w:ascii="宋体" w:hAnsi="宋体"/>
                <w:color w:val="auto"/>
                <w:sz w:val="24"/>
                <w:szCs w:val="24"/>
                <w:highlight w:val="none"/>
              </w:rPr>
              <w:t>日常巡检服务方案：评委根据日常维修服务方案，包括日常巡检、保养措施、报修、更换等方面：方案全面合理、可操作性强的得15分；方案较全面合理、可操作性较强的得12分；方案基本全面合理、具有一定操作性的得9分； 未提供不得分。</w:t>
            </w:r>
          </w:p>
        </w:tc>
        <w:tc>
          <w:tcPr>
            <w:tcW w:w="606" w:type="dxa"/>
            <w:tcBorders>
              <w:top w:val="single" w:color="000000" w:sz="4" w:space="0"/>
              <w:left w:val="single" w:color="000000" w:sz="4" w:space="0"/>
              <w:bottom w:val="single" w:color="000000" w:sz="4" w:space="0"/>
              <w:right w:val="single" w:color="000000" w:sz="4" w:space="0"/>
            </w:tcBorders>
            <w:vAlign w:val="center"/>
          </w:tcPr>
          <w:p w14:paraId="6418FEE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r>
      <w:tr w14:paraId="37030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2" w:type="dxa"/>
            <w:tcBorders>
              <w:top w:val="single" w:color="000000" w:sz="4" w:space="0"/>
              <w:left w:val="single" w:color="000000" w:sz="4" w:space="0"/>
              <w:right w:val="single" w:color="000000" w:sz="4" w:space="0"/>
            </w:tcBorders>
            <w:vAlign w:val="center"/>
          </w:tcPr>
          <w:p w14:paraId="2BE3631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1440" w:type="dxa"/>
            <w:tcBorders>
              <w:left w:val="single" w:color="000000" w:sz="4" w:space="0"/>
              <w:right w:val="single" w:color="000000" w:sz="4" w:space="0"/>
            </w:tcBorders>
            <w:vAlign w:val="center"/>
          </w:tcPr>
          <w:p w14:paraId="60185A6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工作流程及项目组成员职能划分</w:t>
            </w:r>
          </w:p>
          <w:p w14:paraId="44FFCB15">
            <w:pPr>
              <w:jc w:val="center"/>
              <w:rPr>
                <w:rFonts w:hint="eastAsia" w:ascii="宋体" w:hAnsi="宋体" w:cs="宋体"/>
                <w:color w:val="auto"/>
                <w:sz w:val="24"/>
                <w:szCs w:val="24"/>
                <w:highlight w:val="none"/>
                <w:lang w:val="zh-CN"/>
              </w:rPr>
            </w:pPr>
            <w:r>
              <w:rPr>
                <w:rFonts w:hint="eastAsia" w:ascii="宋体" w:hAnsi="宋体" w:cs="宋体"/>
                <w:bCs/>
                <w:color w:val="auto"/>
                <w:sz w:val="24"/>
                <w:szCs w:val="24"/>
                <w:highlight w:val="none"/>
              </w:rPr>
              <w:t>（10分）</w:t>
            </w:r>
          </w:p>
        </w:tc>
        <w:tc>
          <w:tcPr>
            <w:tcW w:w="8239" w:type="dxa"/>
            <w:tcBorders>
              <w:top w:val="single" w:color="000000" w:sz="4" w:space="0"/>
              <w:left w:val="single" w:color="000000" w:sz="4" w:space="0"/>
              <w:bottom w:val="single" w:color="000000" w:sz="4" w:space="0"/>
              <w:right w:val="single" w:color="000000" w:sz="4" w:space="0"/>
            </w:tcBorders>
            <w:vAlign w:val="center"/>
          </w:tcPr>
          <w:p w14:paraId="04D1302D">
            <w:pPr>
              <w:rPr>
                <w:rFonts w:hint="eastAsia" w:ascii="宋体" w:hAnsi="宋体" w:cs="宋体"/>
                <w:color w:val="auto"/>
                <w:sz w:val="24"/>
                <w:szCs w:val="24"/>
                <w:highlight w:val="none"/>
              </w:rPr>
            </w:pPr>
            <w:r>
              <w:rPr>
                <w:rFonts w:hint="eastAsia" w:ascii="宋体" w:hAnsi="宋体" w:cs="宋体"/>
                <w:color w:val="auto"/>
                <w:sz w:val="24"/>
                <w:szCs w:val="24"/>
                <w:highlight w:val="none"/>
              </w:rPr>
              <w:t>7.1工作流程及项目组成员职能划分方案：评委根据工作流程及项目组成员职能划分方案，包括工作流程、人员配备、岗位管理、人员培训等：方案非常合理、针对性强、项目操作性强得10分；方案较合理、操作性较全面得8分；方案一般、内容基本满足项目要求得6分；未提供不得分。</w:t>
            </w:r>
          </w:p>
        </w:tc>
        <w:tc>
          <w:tcPr>
            <w:tcW w:w="606" w:type="dxa"/>
            <w:tcBorders>
              <w:top w:val="single" w:color="000000" w:sz="4" w:space="0"/>
              <w:left w:val="single" w:color="000000" w:sz="4" w:space="0"/>
              <w:bottom w:val="single" w:color="000000" w:sz="4" w:space="0"/>
              <w:right w:val="single" w:color="000000" w:sz="4" w:space="0"/>
            </w:tcBorders>
            <w:vAlign w:val="center"/>
          </w:tcPr>
          <w:p w14:paraId="494F737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r>
      <w:tr w14:paraId="74306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562" w:type="dxa"/>
            <w:tcBorders>
              <w:left w:val="single" w:color="000000" w:sz="4" w:space="0"/>
              <w:right w:val="single" w:color="000000" w:sz="4" w:space="0"/>
            </w:tcBorders>
            <w:vAlign w:val="center"/>
          </w:tcPr>
          <w:p w14:paraId="5809D87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1440" w:type="dxa"/>
            <w:tcBorders>
              <w:left w:val="single" w:color="000000" w:sz="4" w:space="0"/>
              <w:right w:val="single" w:color="000000" w:sz="4" w:space="0"/>
            </w:tcBorders>
            <w:vAlign w:val="center"/>
          </w:tcPr>
          <w:p w14:paraId="6631D9AD">
            <w:pP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台账资料</w:t>
            </w:r>
          </w:p>
          <w:p w14:paraId="39AE5859">
            <w:pP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10分</w:t>
            </w:r>
            <w:r>
              <w:rPr>
                <w:rFonts w:hint="eastAsia" w:ascii="宋体" w:hAnsi="宋体" w:cs="宋体"/>
                <w:color w:val="auto"/>
                <w:sz w:val="24"/>
                <w:szCs w:val="24"/>
                <w:highlight w:val="none"/>
                <w:lang w:val="zh-CN"/>
              </w:rPr>
              <w:t>）</w:t>
            </w:r>
          </w:p>
        </w:tc>
        <w:tc>
          <w:tcPr>
            <w:tcW w:w="8239" w:type="dxa"/>
            <w:tcBorders>
              <w:top w:val="single" w:color="auto" w:sz="4" w:space="0"/>
              <w:left w:val="single" w:color="auto" w:sz="4" w:space="0"/>
              <w:bottom w:val="single" w:color="auto" w:sz="4" w:space="0"/>
              <w:right w:val="single" w:color="auto" w:sz="4" w:space="0"/>
            </w:tcBorders>
            <w:vAlign w:val="center"/>
          </w:tcPr>
          <w:p w14:paraId="3711337A">
            <w:pP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台账资料方案：评委根据台账资料的全面性、完整性、合理性等评分：方案全面完整性强的得</w:t>
            </w:r>
            <w:r>
              <w:rPr>
                <w:rFonts w:hint="eastAsia" w:ascii="宋体" w:hAnsi="宋体" w:cs="宋体"/>
                <w:color w:val="auto"/>
                <w:sz w:val="24"/>
                <w:szCs w:val="24"/>
                <w:highlight w:val="none"/>
              </w:rPr>
              <w:t>10</w:t>
            </w:r>
            <w:r>
              <w:rPr>
                <w:rFonts w:hint="eastAsia" w:ascii="宋体" w:hAnsi="宋体" w:cs="宋体"/>
                <w:color w:val="auto"/>
                <w:sz w:val="24"/>
                <w:szCs w:val="24"/>
                <w:highlight w:val="none"/>
                <w:lang w:val="zh-CN"/>
              </w:rPr>
              <w:t>分；方案较全面完整的得</w:t>
            </w:r>
            <w:r>
              <w:rPr>
                <w:rFonts w:hint="eastAsia" w:ascii="宋体" w:hAnsi="宋体" w:cs="宋体"/>
                <w:color w:val="auto"/>
                <w:sz w:val="24"/>
                <w:szCs w:val="24"/>
                <w:highlight w:val="none"/>
              </w:rPr>
              <w:t>8</w:t>
            </w:r>
            <w:r>
              <w:rPr>
                <w:rFonts w:hint="eastAsia" w:ascii="宋体" w:hAnsi="宋体" w:cs="宋体"/>
                <w:color w:val="auto"/>
                <w:sz w:val="24"/>
                <w:szCs w:val="24"/>
                <w:highlight w:val="none"/>
                <w:lang w:val="zh-CN"/>
              </w:rPr>
              <w:t>分；方案基本满足需求的得</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分；未提供不得分。</w:t>
            </w:r>
          </w:p>
        </w:tc>
        <w:tc>
          <w:tcPr>
            <w:tcW w:w="606" w:type="dxa"/>
            <w:tcBorders>
              <w:top w:val="single" w:color="auto" w:sz="4" w:space="0"/>
              <w:left w:val="nil"/>
              <w:bottom w:val="single" w:color="auto" w:sz="4" w:space="0"/>
              <w:right w:val="single" w:color="auto" w:sz="4" w:space="0"/>
            </w:tcBorders>
            <w:vAlign w:val="center"/>
          </w:tcPr>
          <w:p w14:paraId="661D14D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r>
      <w:tr w14:paraId="184CD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562" w:type="dxa"/>
            <w:tcBorders>
              <w:top w:val="single" w:color="000000" w:sz="4" w:space="0"/>
              <w:left w:val="single" w:color="000000" w:sz="4" w:space="0"/>
              <w:right w:val="single" w:color="000000" w:sz="4" w:space="0"/>
            </w:tcBorders>
            <w:vAlign w:val="center"/>
          </w:tcPr>
          <w:p w14:paraId="63164DA3">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合计</w:t>
            </w:r>
          </w:p>
        </w:tc>
        <w:tc>
          <w:tcPr>
            <w:tcW w:w="10285" w:type="dxa"/>
            <w:gridSpan w:val="3"/>
            <w:tcBorders>
              <w:top w:val="nil"/>
              <w:left w:val="single" w:color="000000" w:sz="4" w:space="0"/>
              <w:right w:val="single" w:color="000000" w:sz="4" w:space="0"/>
            </w:tcBorders>
            <w:vAlign w:val="center"/>
          </w:tcPr>
          <w:p w14:paraId="55F3D5E0">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100分</w:t>
            </w:r>
          </w:p>
        </w:tc>
      </w:tr>
    </w:tbl>
    <w:p w14:paraId="7706EEAD">
      <w:pPr>
        <w:rPr>
          <w:rFonts w:hint="eastAsia" w:ascii="宋体" w:hAnsi="宋体"/>
          <w:bCs/>
          <w:color w:val="auto"/>
          <w:sz w:val="24"/>
          <w:szCs w:val="24"/>
          <w:highlight w:val="none"/>
        </w:rPr>
      </w:pPr>
      <w:r>
        <w:rPr>
          <w:rFonts w:hint="eastAsia" w:ascii="宋体" w:hAnsi="宋体" w:cs="宋体"/>
          <w:bCs/>
          <w:color w:val="auto"/>
          <w:sz w:val="24"/>
          <w:szCs w:val="24"/>
          <w:highlight w:val="none"/>
        </w:rPr>
        <w:t>说明：</w:t>
      </w:r>
    </w:p>
    <w:p w14:paraId="7093379B">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1、所有认证、检测报告、证明和业绩均以有效的证明文件的复印件（扫描件）加盖公章。</w:t>
      </w:r>
    </w:p>
    <w:p w14:paraId="45F88970">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2、所有认证、检测报告、证明和业绩的单位名称须与供应商或制造商名称一致（以公章为准），否则不得分。</w:t>
      </w:r>
    </w:p>
    <w:p w14:paraId="661F3670">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3、若供应商提供虚假资料，一经查实作无效投标处理。</w:t>
      </w:r>
    </w:p>
    <w:p w14:paraId="661C8609">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4、对国家认定的节能产品和环保产品分别给予投标价的5%、5%价格扣除，用扣除后的价格参与评审（特别说明：节能、环保产品必须纳入“中国政府采购网http://www.ccgp.gov.cn”等官方网站“节能、环保产品查询系统”，且以提供的证书复印件为准）。</w:t>
      </w:r>
    </w:p>
    <w:p w14:paraId="6A65118E">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5、小微企业的价格扣除</w:t>
      </w:r>
    </w:p>
    <w:p w14:paraId="20D0376B">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（1）对小微企业生产的产品给予投标价的10%价格扣除，用扣除后的价格参与评审。</w:t>
      </w:r>
    </w:p>
    <w:p w14:paraId="7947E45E">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2）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享受10%价格扣除，用扣除后的价格参与评审。</w:t>
      </w:r>
    </w:p>
    <w:p w14:paraId="55171A84">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（3）小企业（含小型、微型企业）应当同时符合以下条件：</w:t>
      </w:r>
    </w:p>
    <w:p w14:paraId="0BC24BA9">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①供应商为小企业，且符合中小企业划分标准；</w:t>
      </w:r>
    </w:p>
    <w:p w14:paraId="39103AE3">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②提供本企业制造的货物、承担的工程或者服务，或者提供其他小企业制造的货物。如果提供的货物为大中型企业注册商标的货物，视同大中型企业。</w:t>
      </w:r>
    </w:p>
    <w:p w14:paraId="59AC7673">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6、如果提供的货物为大中型企业注册商标的货物，视同大中型企业。</w:t>
      </w:r>
    </w:p>
    <w:p w14:paraId="710CF6DF">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7、若供应商提供的认证证书、荣誉证书、专利是所投产品制造商的，请供应商与制造商在证书上加盖公章。</w:t>
      </w:r>
    </w:p>
    <w:p w14:paraId="4A61708F">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8、残疾人福利单位价格扣除</w:t>
      </w:r>
    </w:p>
    <w:p w14:paraId="59BCC74C">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（1）本项目对残疾人福利性单位视同小型、微型企业，给予10%的价格扣除，用扣除后的价格参与评审。</w:t>
      </w:r>
    </w:p>
    <w:p w14:paraId="30132D73">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（2）残疾人福利单位需按照竞争性磋商文件的要求提供《残疾人福利性单位声明函》。</w:t>
      </w:r>
    </w:p>
    <w:p w14:paraId="3D64B439">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（3）残疾人福利单位标准请参照《关于促进残疾人就业政府采购政策的通知》（财库〔2017〕141号）。</w:t>
      </w:r>
    </w:p>
    <w:p w14:paraId="6510791B">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9、监狱和戒毒企业价格扣除</w:t>
      </w:r>
    </w:p>
    <w:p w14:paraId="110D8ACB">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（1）本项目对监狱和戒毒企业（简称监狱企业）视同小型、微型企业，给予10%的价格扣除，用扣除后的价格参与评审。</w:t>
      </w:r>
    </w:p>
    <w:p w14:paraId="4F527B48">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68D0FCD6">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（3）监狱企业标准请参照《关于政府采购支持监狱企业发展有关问题的通知》（财库[2014]80号）。</w:t>
      </w:r>
    </w:p>
    <w:p w14:paraId="469D7DB3">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10、残疾人福利单位、监狱企业属于小型、微型企业的，不重复享受政策。</w:t>
      </w:r>
    </w:p>
    <w:p w14:paraId="0DCB98EE">
      <w:pPr>
        <w:jc w:val="center"/>
        <w:rPr>
          <w:rFonts w:hint="eastAsia" w:ascii="宋体" w:hAnsi="宋体" w:cs="宋体"/>
          <w:b/>
          <w:bCs/>
          <w:color w:val="auto"/>
          <w:sz w:val="36"/>
          <w:szCs w:val="36"/>
          <w:highlight w:val="none"/>
          <w:lang w:val="zh-CN"/>
        </w:rPr>
      </w:pPr>
    </w:p>
    <w:p w14:paraId="492EFF3F">
      <w:pPr>
        <w:jc w:val="center"/>
        <w:rPr>
          <w:rFonts w:hint="eastAsia" w:ascii="宋体" w:hAnsi="宋体" w:cs="宋体"/>
          <w:b/>
          <w:bCs/>
          <w:color w:val="auto"/>
          <w:sz w:val="36"/>
          <w:szCs w:val="36"/>
          <w:highlight w:val="none"/>
          <w:lang w:val="zh-CN"/>
        </w:rPr>
      </w:pPr>
    </w:p>
    <w:p w14:paraId="21A70AEF">
      <w:pP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p>
    <w:p w14:paraId="2A4DD6E3">
      <w:pPr>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第四章 采购需求及要求</w:t>
      </w:r>
    </w:p>
    <w:p w14:paraId="43B271C1">
      <w:pPr>
        <w:pStyle w:val="4"/>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cs="宋体"/>
          <w:color w:val="auto"/>
          <w:sz w:val="24"/>
          <w:szCs w:val="24"/>
          <w:highlight w:val="none"/>
        </w:rPr>
      </w:pPr>
      <w:bookmarkStart w:id="3" w:name="_Toc524643244"/>
      <w:bookmarkStart w:id="4" w:name="_Toc459319303"/>
      <w:bookmarkStart w:id="5" w:name="_Toc528059733"/>
      <w:r>
        <w:rPr>
          <w:rFonts w:hint="eastAsia" w:ascii="宋体" w:hAnsi="宋体" w:cs="宋体"/>
          <w:color w:val="auto"/>
          <w:sz w:val="24"/>
          <w:szCs w:val="24"/>
          <w:highlight w:val="none"/>
        </w:rPr>
        <w:t>一、项目概况</w:t>
      </w:r>
    </w:p>
    <w:bookmarkEnd w:id="3"/>
    <w:bookmarkEnd w:id="4"/>
    <w:bookmarkEnd w:id="5"/>
    <w:p w14:paraId="6D22617B">
      <w:pPr>
        <w:keepNext w:val="0"/>
        <w:keepLines w:val="0"/>
        <w:pageBreakBefore w:val="0"/>
        <w:widowControl w:val="0"/>
        <w:kinsoku/>
        <w:wordWrap/>
        <w:overflowPunct/>
        <w:topLinePunct w:val="0"/>
        <w:autoSpaceDE/>
        <w:autoSpaceDN/>
        <w:bidi w:val="0"/>
        <w:snapToGrid w:val="0"/>
        <w:spacing w:line="360" w:lineRule="auto"/>
        <w:ind w:left="18"/>
        <w:textAlignment w:val="auto"/>
        <w:rPr>
          <w:rFonts w:hint="eastAsia" w:ascii="宋体" w:hAnsi="宋体" w:cs="宋体"/>
          <w:color w:val="auto"/>
          <w:sz w:val="24"/>
          <w:szCs w:val="24"/>
          <w:highlight w:val="none"/>
        </w:rPr>
      </w:pPr>
      <w:r>
        <w:rPr>
          <w:rFonts w:ascii="宋体" w:hAnsi="宋体" w:cs="宋体"/>
          <w:color w:val="auto"/>
          <w:spacing w:val="-1"/>
          <w:sz w:val="24"/>
          <w:szCs w:val="24"/>
          <w:highlight w:val="none"/>
        </w:rPr>
        <w:t>1、项目名称：迈皋桥街道垃圾分类智能设</w:t>
      </w:r>
      <w:r>
        <w:rPr>
          <w:rFonts w:ascii="宋体" w:hAnsi="宋体" w:cs="宋体"/>
          <w:color w:val="auto"/>
          <w:spacing w:val="-2"/>
          <w:sz w:val="24"/>
          <w:szCs w:val="24"/>
          <w:highlight w:val="none"/>
        </w:rPr>
        <w:t>备</w:t>
      </w:r>
      <w:r>
        <w:rPr>
          <w:rFonts w:hint="eastAsia" w:ascii="宋体" w:hAnsi="宋体" w:cs="宋体"/>
          <w:color w:val="auto"/>
          <w:spacing w:val="-2"/>
          <w:sz w:val="24"/>
          <w:szCs w:val="24"/>
          <w:highlight w:val="none"/>
        </w:rPr>
        <w:t>投口改造及维保</w:t>
      </w:r>
      <w:r>
        <w:rPr>
          <w:rFonts w:ascii="宋体" w:hAnsi="宋体" w:cs="宋体"/>
          <w:color w:val="auto"/>
          <w:spacing w:val="-2"/>
          <w:sz w:val="24"/>
          <w:szCs w:val="24"/>
          <w:highlight w:val="none"/>
        </w:rPr>
        <w:t>服务</w:t>
      </w:r>
    </w:p>
    <w:p w14:paraId="6627707D">
      <w:pPr>
        <w:keepNext w:val="0"/>
        <w:keepLines w:val="0"/>
        <w:pageBreakBefore w:val="0"/>
        <w:widowControl w:val="0"/>
        <w:kinsoku/>
        <w:wordWrap/>
        <w:overflowPunct/>
        <w:topLinePunct w:val="0"/>
        <w:autoSpaceDE/>
        <w:autoSpaceDN/>
        <w:bidi w:val="0"/>
        <w:snapToGrid w:val="0"/>
        <w:spacing w:line="360" w:lineRule="auto"/>
        <w:ind w:left="3"/>
        <w:textAlignment w:val="auto"/>
        <w:rPr>
          <w:rFonts w:hint="eastAsia" w:ascii="宋体" w:hAnsi="宋体" w:cs="宋体"/>
          <w:color w:val="auto"/>
          <w:spacing w:val="-2"/>
          <w:sz w:val="24"/>
          <w:szCs w:val="24"/>
          <w:highlight w:val="none"/>
        </w:rPr>
      </w:pPr>
      <w:r>
        <w:rPr>
          <w:rFonts w:ascii="宋体" w:hAnsi="宋体" w:cs="宋体"/>
          <w:color w:val="auto"/>
          <w:spacing w:val="-2"/>
          <w:sz w:val="24"/>
          <w:szCs w:val="24"/>
          <w:highlight w:val="none"/>
        </w:rPr>
        <w:t>2、项目限价：</w:t>
      </w:r>
      <w:r>
        <w:rPr>
          <w:rFonts w:hint="eastAsia" w:ascii="宋体" w:hAnsi="宋体" w:cs="宋体"/>
          <w:color w:val="auto"/>
          <w:spacing w:val="-2"/>
          <w:sz w:val="24"/>
          <w:szCs w:val="24"/>
          <w:highlight w:val="none"/>
        </w:rPr>
        <w:t>59万元（其中：智能设备投口改造11.12万元，维保服务47.88万元）</w:t>
      </w:r>
    </w:p>
    <w:p w14:paraId="1B32ADFE">
      <w:pPr>
        <w:keepNext w:val="0"/>
        <w:keepLines w:val="0"/>
        <w:pageBreakBefore w:val="0"/>
        <w:widowControl w:val="0"/>
        <w:kinsoku/>
        <w:wordWrap/>
        <w:overflowPunct/>
        <w:topLinePunct w:val="0"/>
        <w:autoSpaceDE/>
        <w:autoSpaceDN/>
        <w:bidi w:val="0"/>
        <w:snapToGrid w:val="0"/>
        <w:spacing w:line="360" w:lineRule="auto"/>
        <w:ind w:left="18"/>
        <w:textAlignment w:val="auto"/>
        <w:rPr>
          <w:rFonts w:hint="eastAsia" w:ascii="宋体" w:hAnsi="宋体" w:cs="宋体"/>
          <w:color w:val="auto"/>
          <w:spacing w:val="-1"/>
          <w:sz w:val="24"/>
          <w:szCs w:val="24"/>
          <w:highlight w:val="none"/>
        </w:rPr>
      </w:pPr>
      <w:r>
        <w:rPr>
          <w:rFonts w:ascii="宋体" w:hAnsi="宋体" w:cs="宋体"/>
          <w:color w:val="auto"/>
          <w:spacing w:val="-1"/>
          <w:sz w:val="24"/>
          <w:szCs w:val="24"/>
          <w:highlight w:val="none"/>
        </w:rPr>
        <w:t>3、项目服务地点：采购人指定地点</w:t>
      </w:r>
    </w:p>
    <w:p w14:paraId="4A1253CD">
      <w:pPr>
        <w:keepNext w:val="0"/>
        <w:keepLines w:val="0"/>
        <w:pageBreakBefore w:val="0"/>
        <w:widowControl w:val="0"/>
        <w:kinsoku/>
        <w:wordWrap/>
        <w:overflowPunct/>
        <w:topLinePunct w:val="0"/>
        <w:autoSpaceDE/>
        <w:autoSpaceDN/>
        <w:bidi w:val="0"/>
        <w:snapToGrid w:val="0"/>
        <w:spacing w:line="360" w:lineRule="auto"/>
        <w:ind w:left="18"/>
        <w:textAlignment w:val="auto"/>
        <w:rPr>
          <w:rFonts w:hint="eastAsia" w:ascii="宋体" w:hAnsi="宋体" w:cs="宋体"/>
          <w:color w:val="auto"/>
          <w:spacing w:val="-1"/>
          <w:sz w:val="24"/>
          <w:szCs w:val="24"/>
          <w:highlight w:val="none"/>
        </w:rPr>
      </w:pPr>
      <w:r>
        <w:rPr>
          <w:rFonts w:ascii="宋体" w:hAnsi="宋体" w:cs="宋体"/>
          <w:color w:val="auto"/>
          <w:spacing w:val="-1"/>
          <w:sz w:val="24"/>
          <w:szCs w:val="24"/>
          <w:highlight w:val="none"/>
        </w:rPr>
        <w:t>4、服务期：一年。</w:t>
      </w:r>
    </w:p>
    <w:p w14:paraId="51F1543C">
      <w:pPr>
        <w:keepNext w:val="0"/>
        <w:keepLines w:val="0"/>
        <w:pageBreakBefore w:val="0"/>
        <w:widowControl w:val="0"/>
        <w:kinsoku/>
        <w:wordWrap/>
        <w:overflowPunct/>
        <w:topLinePunct w:val="0"/>
        <w:autoSpaceDE/>
        <w:autoSpaceDN/>
        <w:bidi w:val="0"/>
        <w:adjustRightInd/>
        <w:snapToGrid w:val="0"/>
        <w:spacing w:line="360" w:lineRule="auto"/>
        <w:ind w:left="18"/>
        <w:textAlignment w:val="auto"/>
        <w:rPr>
          <w:rFonts w:hint="eastAsia" w:ascii="宋体" w:hAnsi="宋体" w:cs="宋体"/>
          <w:color w:val="auto"/>
          <w:spacing w:val="-1"/>
          <w:sz w:val="24"/>
          <w:szCs w:val="24"/>
          <w:highlight w:val="none"/>
        </w:rPr>
      </w:pPr>
      <w:r>
        <w:rPr>
          <w:rFonts w:ascii="宋体" w:hAnsi="宋体" w:cs="宋体"/>
          <w:color w:val="auto"/>
          <w:spacing w:val="-1"/>
          <w:sz w:val="24"/>
          <w:szCs w:val="24"/>
          <w:highlight w:val="none"/>
        </w:rPr>
        <w:t>5、</w:t>
      </w:r>
      <w:r>
        <w:rPr>
          <w:rFonts w:hint="eastAsia" w:ascii="宋体" w:hAnsi="宋体" w:cs="宋体"/>
          <w:color w:val="auto"/>
          <w:spacing w:val="-1"/>
          <w:sz w:val="24"/>
          <w:szCs w:val="24"/>
          <w:highlight w:val="none"/>
        </w:rPr>
        <w:t>配件</w:t>
      </w:r>
      <w:r>
        <w:rPr>
          <w:rFonts w:ascii="宋体" w:hAnsi="宋体" w:cs="宋体"/>
          <w:color w:val="auto"/>
          <w:spacing w:val="-1"/>
          <w:sz w:val="24"/>
          <w:szCs w:val="24"/>
          <w:highlight w:val="none"/>
        </w:rPr>
        <w:t>质保期：</w:t>
      </w:r>
      <w:bookmarkStart w:id="6" w:name="OLE_LINK2"/>
      <w:r>
        <w:rPr>
          <w:rFonts w:ascii="宋体" w:hAnsi="宋体" w:cs="宋体"/>
          <w:color w:val="auto"/>
          <w:spacing w:val="-1"/>
          <w:sz w:val="24"/>
          <w:szCs w:val="24"/>
          <w:highlight w:val="none"/>
        </w:rPr>
        <w:t>更换后的配件，质保期自更换完成之日起计算，</w:t>
      </w:r>
      <w:r>
        <w:rPr>
          <w:rFonts w:hint="eastAsia" w:ascii="宋体" w:hAnsi="宋体" w:cs="宋体"/>
          <w:b/>
          <w:bCs/>
          <w:color w:val="auto"/>
          <w:spacing w:val="-1"/>
          <w:sz w:val="24"/>
          <w:szCs w:val="24"/>
          <w:highlight w:val="none"/>
        </w:rPr>
        <w:t>供应商按</w:t>
      </w:r>
      <w:r>
        <w:rPr>
          <w:rFonts w:ascii="宋体" w:hAnsi="宋体" w:cs="宋体"/>
          <w:b/>
          <w:bCs/>
          <w:color w:val="auto"/>
          <w:spacing w:val="-1"/>
          <w:sz w:val="24"/>
          <w:szCs w:val="24"/>
          <w:highlight w:val="none"/>
        </w:rPr>
        <w:t>不同配件</w:t>
      </w:r>
      <w:r>
        <w:rPr>
          <w:rFonts w:hint="eastAsia" w:ascii="宋体" w:hAnsi="宋体" w:cs="宋体"/>
          <w:b/>
          <w:bCs/>
          <w:color w:val="auto"/>
          <w:spacing w:val="-1"/>
          <w:sz w:val="24"/>
          <w:szCs w:val="24"/>
          <w:highlight w:val="none"/>
        </w:rPr>
        <w:t>提供</w:t>
      </w:r>
      <w:r>
        <w:rPr>
          <w:rFonts w:ascii="宋体" w:hAnsi="宋体" w:cs="宋体"/>
          <w:b/>
          <w:bCs/>
          <w:color w:val="auto"/>
          <w:spacing w:val="-1"/>
          <w:sz w:val="24"/>
          <w:szCs w:val="24"/>
          <w:highlight w:val="none"/>
        </w:rPr>
        <w:t>质保期</w:t>
      </w:r>
      <w:r>
        <w:rPr>
          <w:rFonts w:hint="eastAsia" w:ascii="宋体" w:hAnsi="宋体" w:cs="宋体"/>
          <w:b/>
          <w:bCs/>
          <w:color w:val="auto"/>
          <w:spacing w:val="-1"/>
          <w:sz w:val="24"/>
          <w:szCs w:val="24"/>
          <w:highlight w:val="none"/>
        </w:rPr>
        <w:t>承诺原件，格式自拟</w:t>
      </w:r>
      <w:r>
        <w:rPr>
          <w:rFonts w:ascii="宋体" w:hAnsi="宋体" w:cs="宋体"/>
          <w:color w:val="auto"/>
          <w:spacing w:val="-1"/>
          <w:sz w:val="24"/>
          <w:szCs w:val="24"/>
          <w:highlight w:val="none"/>
        </w:rPr>
        <w:t>。</w:t>
      </w:r>
    </w:p>
    <w:bookmarkEnd w:id="6"/>
    <w:p w14:paraId="3EC92705">
      <w:pPr>
        <w:keepNext w:val="0"/>
        <w:keepLines w:val="0"/>
        <w:pageBreakBefore w:val="0"/>
        <w:widowControl w:val="0"/>
        <w:kinsoku/>
        <w:wordWrap/>
        <w:overflowPunct/>
        <w:topLinePunct w:val="0"/>
        <w:autoSpaceDE/>
        <w:autoSpaceDN/>
        <w:bidi w:val="0"/>
        <w:adjustRightInd/>
        <w:snapToGrid w:val="0"/>
        <w:spacing w:line="360" w:lineRule="auto"/>
        <w:ind w:left="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二、服务需求</w:t>
      </w:r>
    </w:p>
    <w:p w14:paraId="52370451">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spacing w:val="-1"/>
          <w:sz w:val="24"/>
          <w:szCs w:val="24"/>
          <w:highlight w:val="none"/>
        </w:rPr>
      </w:pPr>
      <w:r>
        <w:rPr>
          <w:rFonts w:hint="eastAsia" w:ascii="宋体" w:hAnsi="宋体" w:cs="宋体"/>
          <w:color w:val="auto"/>
          <w:sz w:val="24"/>
          <w:szCs w:val="24"/>
          <w:highlight w:val="none"/>
        </w:rPr>
        <w:t>（一）智能投口改造</w:t>
      </w:r>
    </w:p>
    <w:p w14:paraId="07780441">
      <w:pPr>
        <w:pStyle w:val="4"/>
        <w:adjustRightInd w:val="0"/>
        <w:snapToGrid w:val="0"/>
        <w:rPr>
          <w:rFonts w:hint="eastAsia" w:ascii="宋体" w:hAnsi="宋体" w:cs="宋体"/>
          <w:b w:val="0"/>
          <w:bCs w:val="0"/>
          <w:color w:val="auto"/>
          <w:spacing w:val="-1"/>
          <w:sz w:val="24"/>
          <w:szCs w:val="24"/>
          <w:highlight w:val="none"/>
        </w:rPr>
      </w:pPr>
      <w:r>
        <w:rPr>
          <w:rFonts w:hint="eastAsia" w:ascii="宋体" w:hAnsi="宋体" w:cs="宋体"/>
          <w:b w:val="0"/>
          <w:bCs w:val="0"/>
          <w:color w:val="auto"/>
          <w:spacing w:val="-1"/>
          <w:sz w:val="24"/>
          <w:szCs w:val="24"/>
          <w:highlight w:val="none"/>
        </w:rPr>
        <w:t>改造对象：556套智能垃圾桶（原配置依赖4G网络的刷卡系统，箱体材质为镀锌钢板）。改造的同时需保证其他垃圾智能设备正常运行。</w:t>
      </w:r>
    </w:p>
    <w:p w14:paraId="1962D3D6">
      <w:pPr>
        <w:pStyle w:val="4"/>
        <w:adjustRightInd w:val="0"/>
        <w:snapToGrid w:val="0"/>
        <w:rPr>
          <w:rFonts w:hint="eastAsia" w:ascii="宋体" w:hAnsi="宋体" w:cs="宋体"/>
          <w:b w:val="0"/>
          <w:bCs w:val="0"/>
          <w:color w:val="auto"/>
          <w:spacing w:val="-1"/>
          <w:sz w:val="24"/>
          <w:szCs w:val="24"/>
          <w:highlight w:val="none"/>
        </w:rPr>
      </w:pPr>
      <w:r>
        <w:rPr>
          <w:rFonts w:hint="eastAsia" w:ascii="宋体" w:hAnsi="宋体" w:cs="宋体"/>
          <w:b w:val="0"/>
          <w:bCs w:val="0"/>
          <w:color w:val="auto"/>
          <w:spacing w:val="-1"/>
          <w:sz w:val="24"/>
          <w:szCs w:val="24"/>
          <w:highlight w:val="none"/>
        </w:rPr>
        <w:t>改造后功能目标：</w:t>
      </w:r>
    </w:p>
    <w:p w14:paraId="7C84DBE4">
      <w:pPr>
        <w:pStyle w:val="4"/>
        <w:adjustRightInd w:val="0"/>
        <w:snapToGrid w:val="0"/>
        <w:rPr>
          <w:rFonts w:hint="eastAsia" w:ascii="宋体" w:hAnsi="宋体" w:cs="宋体"/>
          <w:b w:val="0"/>
          <w:bCs w:val="0"/>
          <w:color w:val="auto"/>
          <w:spacing w:val="-1"/>
          <w:sz w:val="24"/>
          <w:szCs w:val="24"/>
          <w:highlight w:val="none"/>
        </w:rPr>
      </w:pPr>
      <w:r>
        <w:rPr>
          <w:rFonts w:hint="eastAsia" w:ascii="宋体" w:hAnsi="宋体" w:cs="宋体"/>
          <w:b w:val="0"/>
          <w:bCs w:val="0"/>
          <w:color w:val="auto"/>
          <w:spacing w:val="-1"/>
          <w:sz w:val="24"/>
          <w:szCs w:val="24"/>
          <w:highlight w:val="none"/>
        </w:rPr>
        <w:t>1.在脱离网络环境下，除数据上传功能外，智能垃圾桶其余各项功能应能正常使用。</w:t>
      </w:r>
    </w:p>
    <w:p w14:paraId="7F600947">
      <w:pPr>
        <w:pStyle w:val="4"/>
        <w:adjustRightInd w:val="0"/>
        <w:snapToGrid w:val="0"/>
        <w:rPr>
          <w:rFonts w:hint="eastAsia" w:ascii="宋体" w:hAnsi="宋体" w:cs="宋体"/>
          <w:b w:val="0"/>
          <w:bCs w:val="0"/>
          <w:color w:val="auto"/>
          <w:spacing w:val="-1"/>
          <w:sz w:val="24"/>
          <w:szCs w:val="24"/>
          <w:highlight w:val="none"/>
        </w:rPr>
      </w:pPr>
      <w:r>
        <w:rPr>
          <w:rFonts w:hint="eastAsia" w:ascii="宋体" w:hAnsi="宋体" w:cs="宋体"/>
          <w:b w:val="0"/>
          <w:bCs w:val="0"/>
          <w:color w:val="auto"/>
          <w:spacing w:val="-1"/>
          <w:sz w:val="24"/>
          <w:szCs w:val="24"/>
          <w:highlight w:val="none"/>
        </w:rPr>
        <w:t>2.在脱离网络环境下，垃圾投放开门方式变更为按键开门。</w:t>
      </w:r>
    </w:p>
    <w:p w14:paraId="513426C8">
      <w:pPr>
        <w:pStyle w:val="4"/>
        <w:adjustRightInd w:val="0"/>
        <w:snapToGrid w:val="0"/>
        <w:rPr>
          <w:rFonts w:hint="eastAsia" w:ascii="宋体" w:hAnsi="宋体" w:cs="宋体"/>
          <w:b w:val="0"/>
          <w:bCs w:val="0"/>
          <w:color w:val="auto"/>
          <w:spacing w:val="-1"/>
          <w:sz w:val="24"/>
          <w:szCs w:val="24"/>
          <w:highlight w:val="none"/>
        </w:rPr>
      </w:pPr>
      <w:r>
        <w:rPr>
          <w:rFonts w:hint="eastAsia" w:ascii="宋体" w:hAnsi="宋体" w:cs="宋体"/>
          <w:b w:val="0"/>
          <w:bCs w:val="0"/>
          <w:color w:val="auto"/>
          <w:spacing w:val="-1"/>
          <w:sz w:val="24"/>
          <w:szCs w:val="24"/>
          <w:highlight w:val="none"/>
        </w:rPr>
        <w:t>改造过程中不得对箱体结构强度造成任何破坏；改造后箱体应保持原有承载能力和使用安全性。</w:t>
      </w:r>
    </w:p>
    <w:p w14:paraId="0A252D57">
      <w:pPr>
        <w:adjustRightInd w:val="0"/>
        <w:snapToGrid w:val="0"/>
        <w:spacing w:line="360" w:lineRule="auto"/>
        <w:rPr>
          <w:rFonts w:hint="eastAsia" w:ascii="宋体" w:hAnsi="宋体" w:cs="宋体"/>
          <w:b/>
          <w:bCs/>
          <w:color w:val="auto"/>
          <w:spacing w:val="-1"/>
          <w:sz w:val="24"/>
          <w:szCs w:val="24"/>
          <w:highlight w:val="none"/>
        </w:rPr>
      </w:pPr>
      <w:r>
        <w:rPr>
          <w:rFonts w:hint="eastAsia" w:ascii="宋体" w:hAnsi="宋体" w:cs="宋体"/>
          <w:b/>
          <w:bCs/>
          <w:color w:val="auto"/>
          <w:spacing w:val="-1"/>
          <w:sz w:val="24"/>
          <w:szCs w:val="24"/>
          <w:highlight w:val="none"/>
        </w:rPr>
        <w:t>（二）维保要求</w:t>
      </w:r>
    </w:p>
    <w:p w14:paraId="2A44A30B">
      <w:pPr>
        <w:pStyle w:val="11"/>
        <w:widowControl w:val="0"/>
        <w:adjustRightInd w:val="0"/>
        <w:snapToGrid w:val="0"/>
        <w:spacing w:before="0" w:beforeAutospacing="0" w:after="0" w:afterAutospacing="0" w:line="360" w:lineRule="auto"/>
        <w:ind w:firstLine="241" w:firstLineChars="100"/>
        <w:rPr>
          <w:rFonts w:hint="eastAsia"/>
          <w:b/>
          <w:bCs/>
          <w:color w:val="auto"/>
          <w:highlight w:val="none"/>
          <w:shd w:val="clear" w:color="auto" w:fill="FFFFFF"/>
        </w:rPr>
      </w:pPr>
      <w:r>
        <w:rPr>
          <w:rFonts w:hint="eastAsia"/>
          <w:b/>
          <w:bCs/>
          <w:color w:val="auto"/>
          <w:highlight w:val="none"/>
          <w:shd w:val="clear" w:color="auto" w:fill="FFFFFF"/>
        </w:rPr>
        <w:t>1.服务范围</w:t>
      </w:r>
    </w:p>
    <w:p w14:paraId="761764C9">
      <w:pPr>
        <w:pStyle w:val="11"/>
        <w:widowControl w:val="0"/>
        <w:adjustRightInd w:val="0"/>
        <w:snapToGrid w:val="0"/>
        <w:spacing w:before="0" w:beforeAutospacing="0" w:after="0" w:afterAutospacing="0" w:line="360" w:lineRule="auto"/>
        <w:ind w:firstLine="240" w:firstLineChars="100"/>
        <w:rPr>
          <w:rFonts w:hint="eastAsia"/>
          <w:color w:val="auto"/>
          <w:highlight w:val="none"/>
        </w:rPr>
      </w:pPr>
      <w:r>
        <w:rPr>
          <w:rFonts w:hint="eastAsia"/>
          <w:snapToGrid w:val="0"/>
          <w:color w:val="auto"/>
          <w:highlight w:val="none"/>
          <w:shd w:val="clear" w:color="auto" w:fill="FFFFFF"/>
        </w:rPr>
        <w:t>负责对迈皋桥街道的556套垃圾分类智能设备进行维修及配件更换等服务，保障其正常运行。更换的配件须满足现有系统的正常运行。</w:t>
      </w:r>
    </w:p>
    <w:p w14:paraId="78B67DCB">
      <w:pPr>
        <w:pStyle w:val="11"/>
        <w:adjustRightInd w:val="0"/>
        <w:snapToGrid w:val="0"/>
        <w:spacing w:before="0" w:beforeAutospacing="0" w:after="0" w:afterAutospacing="0" w:line="360" w:lineRule="auto"/>
        <w:ind w:firstLine="482" w:firstLineChars="200"/>
        <w:rPr>
          <w:rFonts w:hint="eastAsia"/>
          <w:b/>
          <w:bCs/>
          <w:color w:val="auto"/>
          <w:highlight w:val="none"/>
          <w:shd w:val="clear" w:color="auto" w:fill="FFFFFF"/>
        </w:rPr>
      </w:pPr>
      <w:r>
        <w:rPr>
          <w:rFonts w:hint="eastAsia"/>
          <w:b/>
          <w:bCs/>
          <w:color w:val="auto"/>
          <w:highlight w:val="none"/>
          <w:shd w:val="clear" w:color="auto" w:fill="FFFFFF"/>
        </w:rPr>
        <w:t>2.日常巡查与保养</w:t>
      </w:r>
    </w:p>
    <w:p w14:paraId="73907F01">
      <w:pPr>
        <w:pStyle w:val="11"/>
        <w:adjustRightInd w:val="0"/>
        <w:snapToGrid w:val="0"/>
        <w:spacing w:before="0" w:beforeAutospacing="0" w:after="0" w:afterAutospacing="0" w:line="360" w:lineRule="auto"/>
        <w:ind w:firstLine="480" w:firstLineChars="200"/>
        <w:rPr>
          <w:rFonts w:hint="eastAsia"/>
          <w:color w:val="auto"/>
          <w:highlight w:val="none"/>
          <w:shd w:val="clear" w:color="auto" w:fill="FFFFFF"/>
        </w:rPr>
      </w:pPr>
      <w:r>
        <w:rPr>
          <w:rFonts w:hint="eastAsia"/>
          <w:color w:val="auto"/>
          <w:highlight w:val="none"/>
          <w:shd w:val="clear" w:color="auto" w:fill="FFFFFF"/>
        </w:rPr>
        <w:t>（1）按照采购人既定的巡检计划，定期对设备进行巡查，及时发现并记录潜在问题。</w:t>
      </w:r>
    </w:p>
    <w:p w14:paraId="61B73AE7">
      <w:pPr>
        <w:pStyle w:val="11"/>
        <w:adjustRightInd w:val="0"/>
        <w:snapToGrid w:val="0"/>
        <w:spacing w:before="0" w:beforeAutospacing="0" w:after="0" w:afterAutospacing="0" w:line="360" w:lineRule="auto"/>
        <w:ind w:firstLine="480" w:firstLineChars="200"/>
        <w:rPr>
          <w:rFonts w:hint="eastAsia"/>
          <w:color w:val="auto"/>
          <w:highlight w:val="none"/>
          <w:shd w:val="clear" w:color="auto" w:fill="FFFFFF"/>
        </w:rPr>
      </w:pPr>
      <w:r>
        <w:rPr>
          <w:rFonts w:hint="eastAsia"/>
          <w:color w:val="auto"/>
          <w:highlight w:val="none"/>
          <w:shd w:val="clear" w:color="auto" w:fill="FFFFFF"/>
        </w:rPr>
        <w:t>（2）巡检中发现的问题须以纸质材料报采购人审核，经同意后进行维修更换。所有巡检均须形成台账资料。</w:t>
      </w:r>
    </w:p>
    <w:p w14:paraId="3D9A6A14">
      <w:pPr>
        <w:pStyle w:val="11"/>
        <w:adjustRightInd w:val="0"/>
        <w:snapToGrid w:val="0"/>
        <w:spacing w:before="0" w:beforeAutospacing="0" w:after="0" w:afterAutospacing="0" w:line="360" w:lineRule="auto"/>
        <w:ind w:firstLine="480" w:firstLineChars="200"/>
        <w:rPr>
          <w:rFonts w:hint="eastAsia"/>
          <w:color w:val="auto"/>
          <w:highlight w:val="none"/>
          <w:shd w:val="clear" w:color="auto" w:fill="FFFFFF"/>
        </w:rPr>
      </w:pPr>
      <w:r>
        <w:rPr>
          <w:rFonts w:hint="eastAsia"/>
          <w:color w:val="auto"/>
          <w:highlight w:val="none"/>
          <w:shd w:val="clear" w:color="auto" w:fill="FFFFFF"/>
        </w:rPr>
        <w:t>（3）根据设备技术要求和使用状况，采取适当的保养措施，确保设备始终处于良好运行状态。</w:t>
      </w:r>
    </w:p>
    <w:p w14:paraId="0FC0AF82">
      <w:pPr>
        <w:pStyle w:val="11"/>
        <w:adjustRightInd w:val="0"/>
        <w:snapToGrid w:val="0"/>
        <w:spacing w:before="0" w:beforeAutospacing="0" w:after="0" w:afterAutospacing="0" w:line="360" w:lineRule="auto"/>
        <w:ind w:firstLine="482" w:firstLineChars="200"/>
        <w:rPr>
          <w:rFonts w:hint="eastAsia"/>
          <w:b/>
          <w:bCs/>
          <w:color w:val="auto"/>
          <w:highlight w:val="none"/>
          <w:shd w:val="clear" w:color="auto" w:fill="FFFFFF"/>
        </w:rPr>
      </w:pPr>
      <w:r>
        <w:rPr>
          <w:rFonts w:hint="eastAsia"/>
          <w:b/>
          <w:bCs/>
          <w:color w:val="auto"/>
          <w:highlight w:val="none"/>
          <w:shd w:val="clear" w:color="auto" w:fill="FFFFFF"/>
        </w:rPr>
        <w:t>3.维修与响应时间（提供承诺函加盖公章）</w:t>
      </w:r>
    </w:p>
    <w:p w14:paraId="736C3532">
      <w:pPr>
        <w:pStyle w:val="11"/>
        <w:adjustRightInd w:val="0"/>
        <w:snapToGrid w:val="0"/>
        <w:spacing w:before="0" w:beforeAutospacing="0" w:after="0" w:afterAutospacing="0" w:line="360" w:lineRule="auto"/>
        <w:ind w:firstLine="480" w:firstLineChars="200"/>
        <w:rPr>
          <w:rFonts w:hint="eastAsia"/>
          <w:color w:val="auto"/>
          <w:highlight w:val="none"/>
          <w:shd w:val="clear" w:color="auto" w:fill="FFFFFF"/>
        </w:rPr>
      </w:pPr>
      <w:r>
        <w:rPr>
          <w:rFonts w:hint="eastAsia"/>
          <w:color w:val="auto"/>
          <w:highlight w:val="none"/>
          <w:shd w:val="clear" w:color="auto" w:fill="FFFFFF"/>
        </w:rPr>
        <w:t>（1）供应商须在接到采购人通知后4 小时内响应，24 小时内到达现场进行维修。</w:t>
      </w:r>
    </w:p>
    <w:p w14:paraId="0E00E9D9">
      <w:pPr>
        <w:pStyle w:val="11"/>
        <w:adjustRightInd w:val="0"/>
        <w:snapToGrid w:val="0"/>
        <w:spacing w:before="0" w:beforeAutospacing="0" w:after="0" w:afterAutospacing="0" w:line="360" w:lineRule="auto"/>
        <w:ind w:firstLine="480" w:firstLineChars="200"/>
        <w:rPr>
          <w:rFonts w:hint="eastAsia"/>
          <w:color w:val="auto"/>
          <w:highlight w:val="none"/>
          <w:shd w:val="clear" w:color="auto" w:fill="FFFFFF"/>
        </w:rPr>
      </w:pPr>
      <w:r>
        <w:rPr>
          <w:rFonts w:hint="eastAsia"/>
          <w:color w:val="auto"/>
          <w:highlight w:val="none"/>
          <w:shd w:val="clear" w:color="auto" w:fill="FFFFFF"/>
        </w:rPr>
        <w:t>（2）一般问题（不涉及更换配件）：24 小时内完成故障排除。</w:t>
      </w:r>
    </w:p>
    <w:p w14:paraId="152B6DEC">
      <w:pPr>
        <w:pStyle w:val="11"/>
        <w:widowControl w:val="0"/>
        <w:adjustRightInd w:val="0"/>
        <w:snapToGrid w:val="0"/>
        <w:spacing w:before="0" w:beforeAutospacing="0" w:after="0" w:afterAutospacing="0" w:line="360" w:lineRule="auto"/>
        <w:ind w:firstLine="480" w:firstLineChars="200"/>
        <w:rPr>
          <w:rFonts w:hint="eastAsia"/>
          <w:color w:val="auto"/>
          <w:highlight w:val="none"/>
          <w:shd w:val="clear" w:color="auto" w:fill="FFFFFF"/>
        </w:rPr>
      </w:pPr>
      <w:r>
        <w:rPr>
          <w:rFonts w:hint="eastAsia"/>
          <w:color w:val="auto"/>
          <w:highlight w:val="none"/>
          <w:shd w:val="clear" w:color="auto" w:fill="FFFFFF"/>
        </w:rPr>
        <w:t>（3）需更换配件的问题：3 日内完成更换并解决故障。</w:t>
      </w:r>
    </w:p>
    <w:p w14:paraId="713A1FB4">
      <w:pPr>
        <w:pStyle w:val="11"/>
        <w:widowControl w:val="0"/>
        <w:adjustRightInd w:val="0"/>
        <w:snapToGrid w:val="0"/>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（4）如设备无法修复，供应商须立即采取有效的补救措施，保障采购人管辖的小区亭房正常运行。</w:t>
      </w:r>
    </w:p>
    <w:p w14:paraId="32328BB3">
      <w:pPr>
        <w:pStyle w:val="11"/>
        <w:adjustRightInd w:val="0"/>
        <w:snapToGrid w:val="0"/>
        <w:spacing w:before="0" w:beforeAutospacing="0" w:after="0" w:afterAutospacing="0" w:line="360" w:lineRule="auto"/>
        <w:ind w:firstLine="480" w:firstLineChars="200"/>
        <w:rPr>
          <w:rFonts w:ascii="Segoe UI" w:hAnsi="Segoe UI" w:eastAsia="Segoe UI" w:cs="Segoe UI"/>
          <w:b/>
          <w:bCs/>
          <w:color w:val="auto"/>
          <w:highlight w:val="none"/>
          <w:shd w:val="clear" w:color="auto" w:fill="FFFFFF"/>
        </w:rPr>
      </w:pPr>
      <w:r>
        <w:rPr>
          <w:rFonts w:ascii="Segoe UI" w:hAnsi="Segoe UI" w:eastAsia="Segoe UI" w:cs="Segoe UI"/>
          <w:b/>
          <w:bCs/>
          <w:color w:val="auto"/>
          <w:highlight w:val="none"/>
          <w:shd w:val="clear" w:color="auto" w:fill="FFFFFF"/>
        </w:rPr>
        <w:t>4. 维修确认与资料归档</w:t>
      </w:r>
    </w:p>
    <w:p w14:paraId="38671033">
      <w:pPr>
        <w:pStyle w:val="11"/>
        <w:adjustRightInd w:val="0"/>
        <w:snapToGrid w:val="0"/>
        <w:spacing w:before="0" w:beforeAutospacing="0" w:after="0" w:afterAutospacing="0" w:line="360" w:lineRule="auto"/>
        <w:ind w:firstLine="480" w:firstLineChars="200"/>
        <w:rPr>
          <w:rFonts w:ascii="Segoe UI" w:hAnsi="Segoe UI" w:cs="Segoe UI" w:eastAsiaTheme="minorEastAsia"/>
          <w:color w:val="auto"/>
          <w:highlight w:val="none"/>
          <w:shd w:val="clear" w:color="auto" w:fill="FFFFFF"/>
        </w:rPr>
      </w:pPr>
      <w:r>
        <w:rPr>
          <w:rFonts w:ascii="Segoe UI" w:hAnsi="Segoe UI" w:eastAsia="Segoe UI" w:cs="Segoe UI"/>
          <w:color w:val="auto"/>
          <w:highlight w:val="none"/>
          <w:shd w:val="clear" w:color="auto" w:fill="FFFFFF"/>
        </w:rPr>
        <w:t>（1）</w:t>
      </w:r>
      <w:r>
        <w:rPr>
          <w:rFonts w:hint="eastAsia" w:cs="微软雅黑"/>
          <w:color w:val="auto"/>
          <w:highlight w:val="none"/>
          <w:shd w:val="clear" w:color="auto" w:fill="FFFFFF"/>
        </w:rPr>
        <w:t>供应商</w:t>
      </w:r>
      <w:r>
        <w:rPr>
          <w:rFonts w:cs="Segoe UI"/>
          <w:color w:val="auto"/>
          <w:highlight w:val="none"/>
          <w:shd w:val="clear" w:color="auto" w:fill="FFFFFF"/>
        </w:rPr>
        <w:t>每次维</w:t>
      </w:r>
      <w:r>
        <w:rPr>
          <w:rFonts w:ascii="Segoe UI" w:hAnsi="Segoe UI" w:eastAsia="Segoe UI" w:cs="Segoe UI"/>
          <w:color w:val="auto"/>
          <w:highlight w:val="none"/>
          <w:shd w:val="clear" w:color="auto" w:fill="FFFFFF"/>
        </w:rPr>
        <w:t>修完成后，供应商须按要求制作《小区设备售后维修确认单》四联单，</w:t>
      </w:r>
      <w:r>
        <w:rPr>
          <w:rFonts w:hint="eastAsia"/>
          <w:color w:val="auto"/>
          <w:highlight w:val="none"/>
        </w:rPr>
        <w:t>由供应商维修人、小区物业负责人、社区负责人及垃圾分类办负责人四方签字确认，确认单一式两份，采购人及供应商各执一份。</w:t>
      </w:r>
    </w:p>
    <w:p w14:paraId="22FCC284">
      <w:pPr>
        <w:pStyle w:val="11"/>
        <w:adjustRightInd w:val="0"/>
        <w:snapToGrid w:val="0"/>
        <w:spacing w:before="0" w:beforeAutospacing="0" w:after="0" w:afterAutospacing="0" w:line="360" w:lineRule="auto"/>
        <w:ind w:firstLine="480" w:firstLineChars="200"/>
        <w:rPr>
          <w:rFonts w:ascii="Segoe UI" w:hAnsi="Segoe UI" w:eastAsia="Segoe UI" w:cs="Segoe UI"/>
          <w:color w:val="auto"/>
          <w:highlight w:val="none"/>
          <w:shd w:val="clear" w:color="auto" w:fill="FFFFFF"/>
        </w:rPr>
      </w:pPr>
      <w:r>
        <w:rPr>
          <w:rFonts w:ascii="Segoe UI" w:hAnsi="Segoe UI" w:eastAsia="Segoe UI" w:cs="Segoe UI"/>
          <w:color w:val="auto"/>
          <w:highlight w:val="none"/>
          <w:shd w:val="clear" w:color="auto" w:fill="FFFFFF"/>
        </w:rPr>
        <w:t>（2）</w:t>
      </w:r>
      <w:r>
        <w:rPr>
          <w:rFonts w:hint="eastAsia" w:ascii="Segoe UI" w:hAnsi="Segoe UI" w:cs="Segoe UI"/>
          <w:color w:val="auto"/>
          <w:highlight w:val="none"/>
          <w:shd w:val="clear" w:color="auto" w:fill="FFFFFF"/>
        </w:rPr>
        <w:t>定期</w:t>
      </w:r>
      <w:r>
        <w:rPr>
          <w:rFonts w:ascii="Segoe UI" w:hAnsi="Segoe UI" w:eastAsia="Segoe UI" w:cs="Segoe UI"/>
          <w:color w:val="auto"/>
          <w:highlight w:val="none"/>
          <w:shd w:val="clear" w:color="auto" w:fill="FFFFFF"/>
        </w:rPr>
        <w:t>向采购人提交维修清单，供采购人审核（具体格式及内容按采购人要求执行）。</w:t>
      </w:r>
    </w:p>
    <w:p w14:paraId="5B940DBA">
      <w:pPr>
        <w:pStyle w:val="11"/>
        <w:widowControl w:val="0"/>
        <w:kinsoku w:val="0"/>
        <w:overflowPunct w:val="0"/>
        <w:autoSpaceDE w:val="0"/>
        <w:autoSpaceDN w:val="0"/>
        <w:adjustRightInd w:val="0"/>
        <w:snapToGrid w:val="0"/>
        <w:spacing w:before="0" w:beforeAutospacing="0" w:after="0" w:afterAutospacing="0" w:line="360" w:lineRule="auto"/>
        <w:ind w:left="480" w:leftChars="240"/>
        <w:rPr>
          <w:rFonts w:ascii="Segoe UI" w:hAnsi="Segoe UI" w:eastAsia="Segoe UI" w:cs="Segoe UI"/>
          <w:b/>
          <w:bCs/>
          <w:color w:val="auto"/>
          <w:highlight w:val="none"/>
          <w:shd w:val="clear" w:color="auto" w:fill="FFFFFF"/>
        </w:rPr>
      </w:pPr>
      <w:r>
        <w:rPr>
          <w:rFonts w:ascii="Segoe UI" w:hAnsi="Segoe UI" w:eastAsia="Segoe UI" w:cs="Segoe UI"/>
          <w:b/>
          <w:bCs/>
          <w:color w:val="auto"/>
          <w:highlight w:val="none"/>
          <w:shd w:val="clear" w:color="auto" w:fill="FFFFFF"/>
        </w:rPr>
        <w:t>5. 备品备件</w:t>
      </w:r>
    </w:p>
    <w:p w14:paraId="67DAF4DD">
      <w:pPr>
        <w:pStyle w:val="11"/>
        <w:widowControl w:val="0"/>
        <w:kinsoku w:val="0"/>
        <w:overflowPunct w:val="0"/>
        <w:autoSpaceDE w:val="0"/>
        <w:autoSpaceDN w:val="0"/>
        <w:adjustRightInd w:val="0"/>
        <w:snapToGrid w:val="0"/>
        <w:spacing w:before="0" w:beforeAutospacing="0" w:after="0" w:afterAutospacing="0" w:line="360" w:lineRule="auto"/>
        <w:ind w:firstLine="480" w:firstLineChars="200"/>
        <w:rPr>
          <w:rFonts w:ascii="Segoe UI" w:hAnsi="Segoe UI" w:eastAsia="Segoe UI" w:cs="Segoe UI"/>
          <w:b/>
          <w:bCs/>
          <w:color w:val="auto"/>
          <w:highlight w:val="none"/>
          <w:shd w:val="clear" w:color="auto" w:fill="FFFFFF"/>
        </w:rPr>
      </w:pPr>
      <w:r>
        <w:rPr>
          <w:rFonts w:ascii="Segoe UI" w:hAnsi="Segoe UI" w:eastAsia="Segoe UI" w:cs="Segoe UI"/>
          <w:color w:val="auto"/>
          <w:highlight w:val="none"/>
          <w:shd w:val="clear" w:color="auto" w:fill="FFFFFF"/>
        </w:rPr>
        <w:t>供应商须配备足够数量的备品备件，确保能够及时完成设备维修更换。</w:t>
      </w:r>
      <w:r>
        <w:rPr>
          <w:rFonts w:ascii="Segoe UI" w:hAnsi="Segoe UI" w:eastAsia="Segoe UI" w:cs="Segoe UI"/>
          <w:b/>
          <w:bCs/>
          <w:color w:val="auto"/>
          <w:highlight w:val="none"/>
          <w:shd w:val="clear" w:color="auto" w:fill="FFFFFF"/>
        </w:rPr>
        <w:t>（须提供承诺书加盖公章）。</w:t>
      </w:r>
    </w:p>
    <w:p w14:paraId="6BA63D3A">
      <w:pPr>
        <w:pStyle w:val="11"/>
        <w:adjustRightInd w:val="0"/>
        <w:snapToGrid w:val="0"/>
        <w:spacing w:before="0" w:beforeAutospacing="0" w:after="0" w:afterAutospacing="0" w:line="360" w:lineRule="auto"/>
        <w:ind w:firstLine="480" w:firstLineChars="200"/>
        <w:rPr>
          <w:rFonts w:ascii="Segoe UI" w:hAnsi="Segoe UI" w:eastAsia="Segoe UI" w:cs="Segoe UI"/>
          <w:b/>
          <w:bCs/>
          <w:color w:val="auto"/>
          <w:highlight w:val="none"/>
          <w:shd w:val="clear" w:color="auto" w:fill="FFFFFF"/>
        </w:rPr>
      </w:pPr>
      <w:r>
        <w:rPr>
          <w:rFonts w:ascii="Segoe UI" w:hAnsi="Segoe UI" w:eastAsia="Segoe UI" w:cs="Segoe UI"/>
          <w:b/>
          <w:bCs/>
          <w:color w:val="auto"/>
          <w:highlight w:val="none"/>
          <w:shd w:val="clear" w:color="auto" w:fill="FFFFFF"/>
        </w:rPr>
        <w:t>6. 质保说明</w:t>
      </w:r>
    </w:p>
    <w:p w14:paraId="5DA93F92">
      <w:pPr>
        <w:spacing w:before="179" w:line="360" w:lineRule="auto"/>
        <w:ind w:left="18" w:firstLine="480" w:firstLineChars="200"/>
        <w:rPr>
          <w:rFonts w:hint="eastAsia" w:ascii="宋体" w:hAnsi="宋体" w:cs="宋体"/>
          <w:color w:val="auto"/>
          <w:spacing w:val="-1"/>
          <w:sz w:val="24"/>
          <w:szCs w:val="24"/>
          <w:highlight w:val="none"/>
        </w:rPr>
      </w:pPr>
      <w:bookmarkStart w:id="7" w:name="OLE_LINK1"/>
      <w:r>
        <w:rPr>
          <w:rFonts w:hint="eastAsia" w:ascii="宋体" w:hAnsi="宋体" w:cs="宋体"/>
          <w:color w:val="auto"/>
          <w:sz w:val="24"/>
          <w:szCs w:val="24"/>
          <w:highlight w:val="none"/>
          <w:shd w:val="clear" w:color="auto" w:fill="FFFFFF"/>
        </w:rPr>
        <w:t>更换后的配件，质保期自更换完成之日起计算，</w:t>
      </w:r>
      <w:r>
        <w:rPr>
          <w:rFonts w:hint="eastAsia" w:ascii="宋体" w:hAnsi="宋体" w:cs="宋体"/>
          <w:b/>
          <w:bCs/>
          <w:color w:val="auto"/>
          <w:spacing w:val="-1"/>
          <w:sz w:val="24"/>
          <w:szCs w:val="24"/>
          <w:highlight w:val="none"/>
        </w:rPr>
        <w:t>供应商按</w:t>
      </w:r>
      <w:r>
        <w:rPr>
          <w:rFonts w:ascii="宋体" w:hAnsi="宋体" w:cs="宋体"/>
          <w:b/>
          <w:bCs/>
          <w:color w:val="auto"/>
          <w:spacing w:val="-1"/>
          <w:sz w:val="24"/>
          <w:szCs w:val="24"/>
          <w:highlight w:val="none"/>
        </w:rPr>
        <w:t>不同配件</w:t>
      </w:r>
      <w:r>
        <w:rPr>
          <w:rFonts w:hint="eastAsia" w:ascii="宋体" w:hAnsi="宋体" w:cs="宋体"/>
          <w:b/>
          <w:bCs/>
          <w:color w:val="auto"/>
          <w:spacing w:val="-1"/>
          <w:sz w:val="24"/>
          <w:szCs w:val="24"/>
          <w:highlight w:val="none"/>
        </w:rPr>
        <w:t>提供</w:t>
      </w:r>
      <w:r>
        <w:rPr>
          <w:rFonts w:ascii="宋体" w:hAnsi="宋体" w:cs="宋体"/>
          <w:b/>
          <w:bCs/>
          <w:color w:val="auto"/>
          <w:spacing w:val="-1"/>
          <w:sz w:val="24"/>
          <w:szCs w:val="24"/>
          <w:highlight w:val="none"/>
        </w:rPr>
        <w:t>质保期</w:t>
      </w:r>
      <w:r>
        <w:rPr>
          <w:rFonts w:hint="eastAsia" w:ascii="宋体" w:hAnsi="宋体" w:cs="宋体"/>
          <w:b/>
          <w:bCs/>
          <w:color w:val="auto"/>
          <w:spacing w:val="-1"/>
          <w:sz w:val="24"/>
          <w:szCs w:val="24"/>
          <w:highlight w:val="none"/>
        </w:rPr>
        <w:t>承诺原件，格式自拟</w:t>
      </w:r>
      <w:r>
        <w:rPr>
          <w:rFonts w:ascii="宋体" w:hAnsi="宋体" w:cs="宋体"/>
          <w:color w:val="auto"/>
          <w:spacing w:val="-1"/>
          <w:sz w:val="24"/>
          <w:szCs w:val="24"/>
          <w:highlight w:val="none"/>
        </w:rPr>
        <w:t>。</w:t>
      </w:r>
    </w:p>
    <w:bookmarkEnd w:id="7"/>
    <w:p w14:paraId="70BE3699">
      <w:pPr>
        <w:widowControl w:val="0"/>
        <w:adjustRightInd w:val="0"/>
        <w:snapToGrid w:val="0"/>
        <w:spacing w:line="360" w:lineRule="auto"/>
        <w:ind w:firstLine="490" w:firstLineChars="204"/>
        <w:jc w:val="both"/>
        <w:rPr>
          <w:rFonts w:ascii="Segoe UI" w:hAnsi="Segoe UI" w:eastAsia="Segoe UI" w:cs="Segoe UI"/>
          <w:b/>
          <w:bCs/>
          <w:color w:val="auto"/>
          <w:sz w:val="24"/>
          <w:szCs w:val="24"/>
          <w:highlight w:val="none"/>
          <w:shd w:val="clear" w:color="auto" w:fill="FFFFFF"/>
        </w:rPr>
      </w:pPr>
      <w:r>
        <w:rPr>
          <w:rFonts w:hint="eastAsia" w:ascii="Segoe UI" w:hAnsi="Segoe UI" w:eastAsia="Segoe UI" w:cs="Segoe UI"/>
          <w:b/>
          <w:bCs/>
          <w:color w:val="auto"/>
          <w:sz w:val="24"/>
          <w:szCs w:val="24"/>
          <w:highlight w:val="none"/>
          <w:shd w:val="clear" w:color="auto" w:fill="FFFFFF"/>
        </w:rPr>
        <w:t>7.</w:t>
      </w:r>
      <w:r>
        <w:rPr>
          <w:rFonts w:ascii="Segoe UI" w:hAnsi="Segoe UI" w:eastAsia="Segoe UI" w:cs="Segoe UI"/>
          <w:b/>
          <w:bCs/>
          <w:color w:val="auto"/>
          <w:sz w:val="24"/>
          <w:szCs w:val="24"/>
          <w:highlight w:val="none"/>
          <w:shd w:val="clear" w:color="auto" w:fill="FFFFFF"/>
        </w:rPr>
        <w:t>更换配件清单（包括但不限于）：</w:t>
      </w:r>
    </w:p>
    <w:tbl>
      <w:tblPr>
        <w:tblStyle w:val="13"/>
        <w:tblW w:w="8532" w:type="dxa"/>
        <w:jc w:val="center"/>
        <w:tblLayout w:type="autofit"/>
        <w:tblCellMar>
          <w:top w:w="0" w:type="dxa"/>
          <w:left w:w="108" w:type="dxa"/>
          <w:bottom w:w="0" w:type="dxa"/>
          <w:right w:w="108" w:type="dxa"/>
        </w:tblCellMar>
      </w:tblPr>
      <w:tblGrid>
        <w:gridCol w:w="777"/>
        <w:gridCol w:w="3525"/>
        <w:gridCol w:w="4230"/>
      </w:tblGrid>
      <w:tr w14:paraId="3FB055E3">
        <w:tblPrEx>
          <w:tblCellMar>
            <w:top w:w="0" w:type="dxa"/>
            <w:left w:w="108" w:type="dxa"/>
            <w:bottom w:w="0" w:type="dxa"/>
            <w:right w:w="108" w:type="dxa"/>
          </w:tblCellMar>
        </w:tblPrEx>
        <w:trPr>
          <w:trHeight w:val="619"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56D8CD36">
            <w:pPr>
              <w:jc w:val="center"/>
              <w:textAlignment w:val="center"/>
              <w:rPr>
                <w:rFonts w:hint="eastAsia" w:ascii="宋体" w:hAnsi="宋体" w:cs="宋体"/>
                <w:b/>
                <w:bCs/>
                <w:color w:val="auto"/>
                <w:sz w:val="24"/>
                <w:szCs w:val="24"/>
                <w:highlight w:val="none"/>
              </w:rPr>
            </w:pPr>
            <w:r>
              <w:rPr>
                <w:rFonts w:hint="eastAsia" w:ascii="宋体" w:hAnsi="宋体" w:cs="宋体"/>
                <w:b/>
                <w:bCs/>
                <w:snapToGrid w:val="0"/>
                <w:color w:val="auto"/>
                <w:sz w:val="24"/>
                <w:szCs w:val="24"/>
                <w:highlight w:val="none"/>
                <w:lang w:bidi="ar"/>
              </w:rPr>
              <w:t>序号</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250E156">
            <w:pPr>
              <w:jc w:val="center"/>
              <w:textAlignment w:val="center"/>
              <w:rPr>
                <w:rFonts w:hint="eastAsia" w:ascii="宋体" w:hAnsi="宋体" w:cs="宋体"/>
                <w:b/>
                <w:bCs/>
                <w:color w:val="auto"/>
                <w:sz w:val="24"/>
                <w:szCs w:val="24"/>
                <w:highlight w:val="none"/>
              </w:rPr>
            </w:pPr>
            <w:r>
              <w:rPr>
                <w:rFonts w:hint="eastAsia" w:ascii="宋体" w:hAnsi="宋体" w:cs="宋体"/>
                <w:b/>
                <w:bCs/>
                <w:snapToGrid w:val="0"/>
                <w:color w:val="auto"/>
                <w:sz w:val="24"/>
                <w:szCs w:val="24"/>
                <w:highlight w:val="none"/>
                <w:lang w:bidi="ar"/>
              </w:rPr>
              <w:t>维保范围</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3CFD6BA4">
            <w:pPr>
              <w:jc w:val="center"/>
              <w:textAlignment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原配件规格</w:t>
            </w:r>
          </w:p>
        </w:tc>
      </w:tr>
      <w:tr w14:paraId="4527DEB5">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0BECFEB7">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ED25C0E">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双目摄像头</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706F4193">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宽动态</w:t>
            </w:r>
          </w:p>
        </w:tc>
      </w:tr>
      <w:tr w14:paraId="34964414">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72489AD1">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46DE70FA">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适配器</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6922A33D">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12V 7A</w:t>
            </w:r>
          </w:p>
        </w:tc>
      </w:tr>
      <w:tr w14:paraId="6DB151C2">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08E092DE">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3</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4F57BFB4">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15寸红外触摸一体机（3288）</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0CD7BC23">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安卓RK3288</w:t>
            </w:r>
          </w:p>
        </w:tc>
      </w:tr>
      <w:tr w14:paraId="51EFCEEE">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4D1CEE0A">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4</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1ACDBD5">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蜗轮蜗杆减速电机</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2FCAF4E4">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12V</w:t>
            </w:r>
          </w:p>
        </w:tc>
      </w:tr>
      <w:tr w14:paraId="1CB89D98">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3D950FE0">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5</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A3EABC3">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232通信板</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3BBE3BAC">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ZFL-1210用</w:t>
            </w:r>
          </w:p>
        </w:tc>
      </w:tr>
      <w:tr w14:paraId="7AC9F612">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16A7DB12">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6</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B65B1D5">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单路开关电源（LRS-350-12）</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324A8609">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（LRS-350-12）</w:t>
            </w:r>
          </w:p>
        </w:tc>
      </w:tr>
      <w:tr w14:paraId="5D9E01B7">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7FF779F9">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7</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005F538">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开关电源（LRS-150-12）</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12CA2D62">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（LRS-150-12）</w:t>
            </w:r>
          </w:p>
        </w:tc>
      </w:tr>
      <w:tr w14:paraId="10434DB4">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7D1F3AAD">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8</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228A7FF">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MP3播放模块</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2B078BF4">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16针语音模块</w:t>
            </w:r>
          </w:p>
        </w:tc>
      </w:tr>
      <w:tr w14:paraId="5A88A5A4">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50646B29">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9</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B53C345">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2.8寸TFT小彩屏</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630A9777">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TFT彩屏， 2.8寸，带触摸，</w:t>
            </w:r>
          </w:p>
        </w:tc>
      </w:tr>
      <w:tr w14:paraId="3E1970B6">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054A2BA9">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10</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77638608">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IO驱动板</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414E141C">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分类压缩 IO 板 V1.0</w:t>
            </w:r>
          </w:p>
        </w:tc>
      </w:tr>
      <w:tr w14:paraId="42C48B04">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3C5CF767">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11</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3301956D">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电机控制板</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0E9B39AD">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APM芯片主板</w:t>
            </w:r>
          </w:p>
        </w:tc>
      </w:tr>
      <w:tr w14:paraId="72AC2377">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6D942599">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12</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1660FC7">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核心控制板</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7CDAA72D">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APM芯片主板</w:t>
            </w:r>
          </w:p>
        </w:tc>
      </w:tr>
      <w:tr w14:paraId="6ACBC12A">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0DE81FA1">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13</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E97448C">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指示灯</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2D3E3FF6">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12V 红色</w:t>
            </w:r>
          </w:p>
        </w:tc>
      </w:tr>
      <w:tr w14:paraId="1AF0213B">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2353DAD8">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14</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8B91CCC">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转舌锁</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5810C819">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27mm转舌锁梅花90度片（含钥匙）</w:t>
            </w:r>
          </w:p>
        </w:tc>
      </w:tr>
      <w:tr w14:paraId="6CCCFF96">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2B826722">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15</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70593DC1">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低温涡轮蜗杆减速电机</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2D58E855">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12V 12转 30W</w:t>
            </w:r>
          </w:p>
        </w:tc>
      </w:tr>
      <w:tr w14:paraId="02FFDFA1">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232167B3">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16</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4E0E1574">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8寸触摸屏</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091B0629">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串口</w:t>
            </w:r>
          </w:p>
        </w:tc>
      </w:tr>
      <w:tr w14:paraId="729BA012">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1C71C311">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17</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03FAF76">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分类4.0主板</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790B1BFD">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V1.1 APM芯片主板</w:t>
            </w:r>
          </w:p>
        </w:tc>
      </w:tr>
      <w:tr w14:paraId="4C804D5D">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520E8F26">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18</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F4DAE02">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明纬电源（LRS-100-12）</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4BD91FC0">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（LRS-100-12）</w:t>
            </w:r>
          </w:p>
        </w:tc>
      </w:tr>
      <w:tr w14:paraId="5B67E761">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031FB3CE">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19</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62FDA96">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开关电源（LRS-200-12）</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51D9921E">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（LRS-200-12）</w:t>
            </w:r>
          </w:p>
        </w:tc>
      </w:tr>
      <w:tr w14:paraId="6BDB7A02">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3F43C432">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20</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34AC9D3">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分类4.0副板</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3C6F292E">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V2.0 APM芯片主板</w:t>
            </w:r>
          </w:p>
        </w:tc>
      </w:tr>
      <w:tr w14:paraId="3D3EA7D2">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6C0D7F14">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21</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33077BA">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4.0合成主板</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39D5AF94">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APM芯片主板</w:t>
            </w:r>
          </w:p>
        </w:tc>
      </w:tr>
      <w:tr w14:paraId="25A8E287">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12DCCBAA">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22</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67C7A73">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散热风扇</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7A0CBEDD">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带线束</w:t>
            </w:r>
          </w:p>
        </w:tc>
      </w:tr>
      <w:tr w14:paraId="1BA2F909">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627981BA">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23</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3FDAF3C">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电磁锁（银色）</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7D91743B">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12V</w:t>
            </w:r>
          </w:p>
        </w:tc>
      </w:tr>
      <w:tr w14:paraId="5B819C82">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60F6C679">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24</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3202D06">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串口屏喇叭</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0CFCAD23">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100mm</w:t>
            </w:r>
          </w:p>
        </w:tc>
      </w:tr>
      <w:tr w14:paraId="2C629D68">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49A64536">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25</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4D389495">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线束类</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2993B778">
            <w:pPr>
              <w:jc w:val="center"/>
              <w:textAlignment w:val="center"/>
              <w:rPr>
                <w:rFonts w:hint="eastAsia" w:ascii="宋体" w:hAnsi="宋体" w:cs="宋体"/>
                <w:color w:val="auto"/>
                <w:sz w:val="24"/>
                <w:szCs w:val="24"/>
                <w:highlight w:val="none"/>
              </w:rPr>
            </w:pPr>
            <w:r>
              <w:rPr>
                <w:rFonts w:ascii="Segoe UI" w:hAnsi="Segoe UI" w:eastAsia="Segoe UI" w:cs="Segoe UI"/>
                <w:color w:val="auto"/>
                <w:sz w:val="24"/>
                <w:szCs w:val="24"/>
                <w:highlight w:val="none"/>
                <w:shd w:val="clear" w:color="auto" w:fill="FFFFFF"/>
              </w:rPr>
              <w:t>以现场实际所需为准</w:t>
            </w:r>
          </w:p>
        </w:tc>
      </w:tr>
      <w:tr w14:paraId="3AEACDE8">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4487CCE3">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26</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42DACB53">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螺丝类</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03C2FF24">
            <w:pPr>
              <w:jc w:val="center"/>
              <w:textAlignment w:val="center"/>
              <w:rPr>
                <w:rFonts w:hint="eastAsia" w:ascii="宋体" w:hAnsi="宋体" w:cs="宋体"/>
                <w:color w:val="auto"/>
                <w:sz w:val="24"/>
                <w:szCs w:val="24"/>
                <w:highlight w:val="none"/>
              </w:rPr>
            </w:pPr>
            <w:r>
              <w:rPr>
                <w:rFonts w:ascii="Segoe UI" w:hAnsi="Segoe UI" w:eastAsia="Segoe UI" w:cs="Segoe UI"/>
                <w:color w:val="auto"/>
                <w:sz w:val="24"/>
                <w:szCs w:val="24"/>
                <w:highlight w:val="none"/>
                <w:shd w:val="clear" w:color="auto" w:fill="FFFFFF"/>
              </w:rPr>
              <w:t>以现场实际所需为准</w:t>
            </w:r>
          </w:p>
        </w:tc>
      </w:tr>
      <w:tr w14:paraId="3076A999">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3B89320B">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27</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C7BAC5D">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塑件类</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38A71EF4">
            <w:pPr>
              <w:jc w:val="center"/>
              <w:textAlignment w:val="center"/>
              <w:rPr>
                <w:rFonts w:hint="eastAsia" w:ascii="宋体" w:hAnsi="宋体" w:cs="宋体"/>
                <w:color w:val="auto"/>
                <w:sz w:val="24"/>
                <w:szCs w:val="24"/>
                <w:highlight w:val="none"/>
              </w:rPr>
            </w:pPr>
            <w:r>
              <w:rPr>
                <w:rFonts w:ascii="Segoe UI" w:hAnsi="Segoe UI" w:eastAsia="Segoe UI" w:cs="Segoe UI"/>
                <w:color w:val="auto"/>
                <w:sz w:val="24"/>
                <w:szCs w:val="24"/>
                <w:highlight w:val="none"/>
                <w:shd w:val="clear" w:color="auto" w:fill="FFFFFF"/>
              </w:rPr>
              <w:t>以现场实际所需为准</w:t>
            </w:r>
          </w:p>
        </w:tc>
      </w:tr>
      <w:tr w14:paraId="00F8FAFB">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75A79476">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28</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3639FE5">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按钮</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122C6E05">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带指示灯12V</w:t>
            </w:r>
          </w:p>
        </w:tc>
      </w:tr>
      <w:tr w14:paraId="417DC94B">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1AD83715">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29</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088FBA4">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漏电保护器</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760FFF89">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16A</w:t>
            </w:r>
          </w:p>
        </w:tc>
      </w:tr>
      <w:tr w14:paraId="78DCD79A">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17D06C4B">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30</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7C5490D">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钢丝绳</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2E21A69F">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孔距160mm</w:t>
            </w:r>
          </w:p>
        </w:tc>
      </w:tr>
      <w:tr w14:paraId="5CCAE7DD">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3E9122FD">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31</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1645E06">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投口灯罩</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28C60563">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PC全新料+黄色色粉</w:t>
            </w:r>
          </w:p>
        </w:tc>
      </w:tr>
      <w:tr w14:paraId="696E5964">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0CE7D7DC">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32</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69E7D9B">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投口灯</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5724E2E1">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12V  6W  LED</w:t>
            </w:r>
          </w:p>
        </w:tc>
      </w:tr>
      <w:tr w14:paraId="1234BC13">
        <w:tblPrEx>
          <w:tblCellMar>
            <w:top w:w="0" w:type="dxa"/>
            <w:left w:w="108" w:type="dxa"/>
            <w:bottom w:w="0" w:type="dxa"/>
            <w:right w:w="108" w:type="dxa"/>
          </w:tblCellMar>
        </w:tblPrEx>
        <w:trPr>
          <w:trHeight w:val="280" w:hRule="atLeast"/>
          <w:jc w:val="center"/>
        </w:trPr>
        <w:tc>
          <w:tcPr>
            <w:tcW w:w="777" w:type="dxa"/>
            <w:tcBorders>
              <w:top w:val="single" w:color="000000" w:sz="4" w:space="0"/>
              <w:left w:val="single" w:color="000000" w:sz="4" w:space="0"/>
              <w:bottom w:val="single" w:color="000000" w:sz="4" w:space="0"/>
              <w:right w:val="single" w:color="000000" w:sz="4" w:space="0"/>
            </w:tcBorders>
            <w:noWrap/>
            <w:vAlign w:val="center"/>
          </w:tcPr>
          <w:p w14:paraId="5ACC3E40">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33</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44E21BA5">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投口限位</w:t>
            </w:r>
          </w:p>
        </w:tc>
        <w:tc>
          <w:tcPr>
            <w:tcW w:w="4230" w:type="dxa"/>
            <w:tcBorders>
              <w:top w:val="single" w:color="000000" w:sz="4" w:space="0"/>
              <w:left w:val="single" w:color="000000" w:sz="4" w:space="0"/>
              <w:bottom w:val="single" w:color="000000" w:sz="4" w:space="0"/>
              <w:right w:val="single" w:color="000000" w:sz="4" w:space="0"/>
            </w:tcBorders>
            <w:noWrap/>
            <w:vAlign w:val="center"/>
          </w:tcPr>
          <w:p w14:paraId="42B85A52">
            <w:pPr>
              <w:jc w:val="center"/>
              <w:textAlignment w:val="center"/>
              <w:rPr>
                <w:rFonts w:hint="eastAsia" w:ascii="宋体" w:hAnsi="宋体" w:cs="宋体"/>
                <w:color w:val="auto"/>
                <w:sz w:val="24"/>
                <w:szCs w:val="24"/>
                <w:highlight w:val="none"/>
              </w:rPr>
            </w:pPr>
            <w:r>
              <w:rPr>
                <w:rFonts w:hint="eastAsia" w:ascii="宋体" w:hAnsi="宋体" w:cs="宋体"/>
                <w:snapToGrid w:val="0"/>
                <w:color w:val="auto"/>
                <w:sz w:val="24"/>
                <w:szCs w:val="24"/>
                <w:highlight w:val="none"/>
                <w:lang w:bidi="ar"/>
              </w:rPr>
              <w:t>KL-05N-金属检测</w:t>
            </w:r>
          </w:p>
        </w:tc>
      </w:tr>
    </w:tbl>
    <w:p w14:paraId="0FC9358C">
      <w:pPr>
        <w:pStyle w:val="11"/>
        <w:widowControl w:val="0"/>
        <w:adjustRightInd w:val="0"/>
        <w:snapToGrid w:val="0"/>
        <w:spacing w:before="0" w:beforeAutospacing="0" w:after="0" w:afterAutospacing="0" w:line="360" w:lineRule="auto"/>
        <w:ind w:firstLine="480" w:firstLineChars="200"/>
        <w:rPr>
          <w:rFonts w:ascii="Segoe UI" w:hAnsi="Segoe UI" w:eastAsia="Segoe UI" w:cs="Segoe UI"/>
          <w:color w:val="auto"/>
          <w:highlight w:val="none"/>
        </w:rPr>
      </w:pPr>
      <w:r>
        <w:rPr>
          <w:rFonts w:hint="eastAsia" w:ascii="Segoe UI" w:hAnsi="Segoe UI" w:eastAsia="Segoe UI" w:cs="Segoe UI"/>
          <w:b/>
          <w:bCs/>
          <w:color w:val="auto"/>
          <w:highlight w:val="none"/>
          <w:shd w:val="clear" w:color="auto" w:fill="FFFFFF"/>
        </w:rPr>
        <w:t>8.</w:t>
      </w:r>
      <w:r>
        <w:rPr>
          <w:rFonts w:ascii="Segoe UI" w:hAnsi="Segoe UI" w:eastAsia="Segoe UI" w:cs="Segoe UI"/>
          <w:b/>
          <w:bCs/>
          <w:color w:val="auto"/>
          <w:highlight w:val="none"/>
          <w:shd w:val="clear" w:color="auto" w:fill="FFFFFF"/>
        </w:rPr>
        <w:t>非维保责任范围的设备修复/更换</w:t>
      </w:r>
    </w:p>
    <w:p w14:paraId="75AAC94D">
      <w:pPr>
        <w:pStyle w:val="11"/>
        <w:widowControl w:val="0"/>
        <w:adjustRightInd w:val="0"/>
        <w:snapToGrid w:val="0"/>
        <w:spacing w:before="0" w:beforeAutospacing="0" w:after="0" w:afterAutospacing="0" w:line="360" w:lineRule="auto"/>
        <w:ind w:firstLine="480" w:firstLineChars="200"/>
        <w:rPr>
          <w:rFonts w:ascii="Segoe UI" w:hAnsi="Segoe UI" w:eastAsia="Segoe UI" w:cs="Segoe UI"/>
          <w:color w:val="auto"/>
          <w:highlight w:val="none"/>
        </w:rPr>
      </w:pPr>
      <w:r>
        <w:rPr>
          <w:rFonts w:ascii="Segoe UI" w:hAnsi="Segoe UI" w:eastAsia="Segoe UI" w:cs="Segoe UI"/>
          <w:color w:val="auto"/>
          <w:highlight w:val="none"/>
          <w:shd w:val="clear" w:color="auto" w:fill="FFFFFF"/>
        </w:rPr>
        <w:t>以下情形不属于维保责任范围，如需修复或更换设备，应另行签订补充协议结算：</w:t>
      </w:r>
    </w:p>
    <w:p w14:paraId="2EA5ADFB">
      <w:pPr>
        <w:pStyle w:val="11"/>
        <w:widowControl w:val="0"/>
        <w:adjustRightInd w:val="0"/>
        <w:snapToGrid w:val="0"/>
        <w:spacing w:before="0" w:beforeAutospacing="0" w:after="0" w:afterAutospacing="0" w:line="360" w:lineRule="auto"/>
        <w:ind w:firstLine="480" w:firstLineChars="200"/>
        <w:rPr>
          <w:rFonts w:ascii="Segoe UI" w:hAnsi="Segoe UI" w:eastAsia="Segoe UI" w:cs="Segoe UI"/>
          <w:color w:val="auto"/>
          <w:highlight w:val="none"/>
        </w:rPr>
      </w:pPr>
      <w:r>
        <w:rPr>
          <w:rFonts w:ascii="Segoe UI" w:hAnsi="Segoe UI" w:eastAsia="Segoe UI" w:cs="Segoe UI"/>
          <w:color w:val="auto"/>
          <w:highlight w:val="none"/>
          <w:shd w:val="clear" w:color="auto" w:fill="FFFFFF"/>
        </w:rPr>
        <w:t>（1）经共同确认的人为故意破坏（如恶意撞击、焚烧、切割、盗窃部件等）造成的损坏。</w:t>
      </w:r>
    </w:p>
    <w:p w14:paraId="3F13071D">
      <w:pPr>
        <w:pStyle w:val="11"/>
        <w:widowControl w:val="0"/>
        <w:adjustRightInd w:val="0"/>
        <w:snapToGrid w:val="0"/>
        <w:spacing w:before="0" w:beforeAutospacing="0" w:after="0" w:afterAutospacing="0" w:line="360" w:lineRule="auto"/>
        <w:ind w:firstLine="480" w:firstLineChars="200"/>
        <w:rPr>
          <w:rFonts w:ascii="Segoe UI" w:hAnsi="Segoe UI" w:eastAsia="Segoe UI" w:cs="Segoe UI"/>
          <w:color w:val="auto"/>
          <w:highlight w:val="none"/>
        </w:rPr>
      </w:pPr>
      <w:r>
        <w:rPr>
          <w:rFonts w:ascii="Segoe UI" w:hAnsi="Segoe UI" w:eastAsia="Segoe UI" w:cs="Segoe UI"/>
          <w:color w:val="auto"/>
          <w:highlight w:val="none"/>
          <w:shd w:val="clear" w:color="auto" w:fill="FFFFFF"/>
        </w:rPr>
        <w:t>（2）自然灾害等不可抗力（如台风、洪水、雷击、地震）造成的设备损毁或灭失。</w:t>
      </w:r>
    </w:p>
    <w:p w14:paraId="74F8C307">
      <w:pPr>
        <w:pStyle w:val="11"/>
        <w:widowControl w:val="0"/>
        <w:adjustRightInd w:val="0"/>
        <w:snapToGrid w:val="0"/>
        <w:spacing w:before="0" w:beforeAutospacing="0" w:after="0" w:afterAutospacing="0" w:line="360" w:lineRule="auto"/>
        <w:ind w:firstLine="480" w:firstLineChars="200"/>
        <w:rPr>
          <w:rFonts w:ascii="Segoe UI" w:hAnsi="Segoe UI" w:eastAsia="Segoe UI" w:cs="Segoe UI"/>
          <w:color w:val="auto"/>
          <w:highlight w:val="none"/>
        </w:rPr>
      </w:pPr>
      <w:r>
        <w:rPr>
          <w:rFonts w:ascii="Segoe UI" w:hAnsi="Segoe UI" w:eastAsia="Segoe UI" w:cs="Segoe UI"/>
          <w:color w:val="auto"/>
          <w:highlight w:val="none"/>
          <w:shd w:val="clear" w:color="auto" w:fill="FFFFFF"/>
        </w:rPr>
        <w:t>（3）设备被盗。</w:t>
      </w:r>
    </w:p>
    <w:p w14:paraId="7C2DCDD4">
      <w:pPr>
        <w:pStyle w:val="11"/>
        <w:widowControl w:val="0"/>
        <w:adjustRightInd w:val="0"/>
        <w:snapToGrid w:val="0"/>
        <w:spacing w:before="0" w:beforeAutospacing="0" w:after="0" w:afterAutospacing="0" w:line="360" w:lineRule="auto"/>
        <w:ind w:firstLine="480" w:firstLineChars="200"/>
        <w:rPr>
          <w:rFonts w:ascii="Segoe UI" w:hAnsi="Segoe UI" w:eastAsia="Segoe UI" w:cs="Segoe UI"/>
          <w:color w:val="auto"/>
          <w:highlight w:val="none"/>
        </w:rPr>
      </w:pPr>
      <w:r>
        <w:rPr>
          <w:rFonts w:ascii="Segoe UI" w:hAnsi="Segoe UI" w:eastAsia="Segoe UI" w:cs="Segoe UI"/>
          <w:color w:val="auto"/>
          <w:highlight w:val="none"/>
          <w:shd w:val="clear" w:color="auto" w:fill="FFFFFF"/>
        </w:rPr>
        <w:t>（4）设备整体更新换代或超出维保范围的升级改造。</w:t>
      </w:r>
    </w:p>
    <w:p w14:paraId="616AF258">
      <w:pPr>
        <w:pStyle w:val="11"/>
        <w:widowControl w:val="0"/>
        <w:adjustRightInd w:val="0"/>
        <w:snapToGrid w:val="0"/>
        <w:spacing w:before="0" w:beforeAutospacing="0" w:after="0" w:afterAutospacing="0" w:line="360" w:lineRule="auto"/>
        <w:ind w:firstLine="480" w:firstLineChars="200"/>
        <w:rPr>
          <w:rFonts w:ascii="Segoe UI" w:hAnsi="Segoe UI" w:eastAsia="Segoe UI" w:cs="Segoe UI"/>
          <w:color w:val="auto"/>
          <w:highlight w:val="none"/>
        </w:rPr>
      </w:pPr>
      <w:r>
        <w:rPr>
          <w:rFonts w:ascii="Segoe UI" w:hAnsi="Segoe UI" w:eastAsia="Segoe UI" w:cs="Segoe UI"/>
          <w:color w:val="auto"/>
          <w:highlight w:val="none"/>
          <w:shd w:val="clear" w:color="auto" w:fill="FFFFFF"/>
        </w:rPr>
        <w:t>对于上述情形，按以下程序处理：</w:t>
      </w:r>
    </w:p>
    <w:p w14:paraId="6F124337">
      <w:pPr>
        <w:pStyle w:val="11"/>
        <w:widowControl w:val="0"/>
        <w:adjustRightInd w:val="0"/>
        <w:snapToGrid w:val="0"/>
        <w:spacing w:before="0" w:beforeAutospacing="0" w:after="0" w:afterAutospacing="0" w:line="360" w:lineRule="auto"/>
        <w:ind w:firstLine="480" w:firstLineChars="200"/>
        <w:rPr>
          <w:rFonts w:ascii="Segoe UI" w:hAnsi="Segoe UI" w:eastAsia="Segoe UI" w:cs="Segoe UI"/>
          <w:color w:val="auto"/>
          <w:highlight w:val="none"/>
        </w:rPr>
      </w:pPr>
      <w:r>
        <w:rPr>
          <w:rFonts w:ascii="Segoe UI" w:hAnsi="Segoe UI" w:eastAsia="Segoe UI" w:cs="Segoe UI"/>
          <w:color w:val="auto"/>
          <w:highlight w:val="none"/>
          <w:shd w:val="clear" w:color="auto" w:fill="FFFFFF"/>
        </w:rPr>
        <w:t>① 供应商在接到采购人通知并现场勘查确认原因后，应在</w:t>
      </w:r>
      <w:r>
        <w:rPr>
          <w:rFonts w:hint="eastAsia"/>
          <w:color w:val="auto"/>
          <w:highlight w:val="none"/>
        </w:rPr>
        <w:t>10个工作日</w:t>
      </w:r>
      <w:r>
        <w:rPr>
          <w:rFonts w:ascii="Segoe UI" w:hAnsi="Segoe UI" w:eastAsia="Segoe UI" w:cs="Segoe UI"/>
          <w:color w:val="auto"/>
          <w:highlight w:val="none"/>
          <w:shd w:val="clear" w:color="auto" w:fill="FFFFFF"/>
        </w:rPr>
        <w:t>内提交维修或更换方案及基于成本分析的报价。</w:t>
      </w:r>
    </w:p>
    <w:p w14:paraId="2920D271">
      <w:pPr>
        <w:pStyle w:val="11"/>
        <w:widowControl w:val="0"/>
        <w:adjustRightInd w:val="0"/>
        <w:snapToGrid w:val="0"/>
        <w:spacing w:before="0" w:beforeAutospacing="0" w:after="0" w:afterAutospacing="0" w:line="360" w:lineRule="auto"/>
        <w:ind w:firstLine="480" w:firstLineChars="200"/>
        <w:rPr>
          <w:rFonts w:ascii="Segoe UI" w:hAnsi="Segoe UI" w:eastAsia="Segoe UI" w:cs="Segoe UI"/>
          <w:color w:val="auto"/>
          <w:highlight w:val="none"/>
        </w:rPr>
      </w:pPr>
      <w:r>
        <w:rPr>
          <w:rFonts w:ascii="Segoe UI" w:hAnsi="Segoe UI" w:eastAsia="Segoe UI" w:cs="Segoe UI"/>
          <w:color w:val="auto"/>
          <w:highlight w:val="none"/>
          <w:shd w:val="clear" w:color="auto" w:fill="FFFFFF"/>
        </w:rPr>
        <w:t>② 经双方协商一致并签订书面补充协议后执行，结算以补充协议为准。</w:t>
      </w:r>
    </w:p>
    <w:p w14:paraId="3BD60C2B">
      <w:pPr>
        <w:pStyle w:val="11"/>
        <w:widowControl w:val="0"/>
        <w:adjustRightInd w:val="0"/>
        <w:snapToGrid w:val="0"/>
        <w:spacing w:before="0" w:beforeAutospacing="0" w:after="0" w:afterAutospacing="0" w:line="360" w:lineRule="auto"/>
        <w:ind w:firstLine="480" w:firstLineChars="200"/>
        <w:rPr>
          <w:rFonts w:hint="eastAsia"/>
          <w:color w:val="auto"/>
          <w:spacing w:val="-1"/>
          <w:highlight w:val="none"/>
        </w:rPr>
      </w:pPr>
      <w:r>
        <w:rPr>
          <w:rFonts w:ascii="Segoe UI" w:hAnsi="Segoe UI" w:eastAsia="Segoe UI" w:cs="Segoe UI"/>
          <w:color w:val="auto"/>
          <w:highlight w:val="none"/>
          <w:shd w:val="clear" w:color="auto" w:fill="FFFFFF"/>
        </w:rPr>
        <w:t>③ 责任归属由采购人、供应商及可能涉及的第三方共同确认。无法明确责任归属时，原则上由采购人承担费用。</w:t>
      </w:r>
    </w:p>
    <w:p w14:paraId="40B6C22D">
      <w:pPr>
        <w:pStyle w:val="4"/>
        <w:snapToGrid w:val="0"/>
        <w:spacing w:line="33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三、付款方式</w:t>
      </w:r>
    </w:p>
    <w:p w14:paraId="2C396EF0">
      <w:pPr>
        <w:widowControl w:val="0"/>
        <w:snapToGrid w:val="0"/>
        <w:spacing w:line="336" w:lineRule="auto"/>
        <w:ind w:firstLine="480" w:firstLineChars="20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详见合同付款方式。</w:t>
      </w:r>
    </w:p>
    <w:p w14:paraId="4D28E911">
      <w:pPr>
        <w:adjustRightInd w:val="0"/>
        <w:snapToGrid w:val="0"/>
        <w:spacing w:line="336"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四、报价要求</w:t>
      </w:r>
    </w:p>
    <w:p w14:paraId="42AE465C">
      <w:pPr>
        <w:widowControl w:val="0"/>
        <w:adjustRightInd w:val="0"/>
        <w:snapToGrid w:val="0"/>
        <w:spacing w:line="288"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1.本项目价格包括但不限于人工费用、设备、机具（车辆）费用、管理费用、保险、税费等其它必要的费用。人工费用含法定的人员工资、节假日加班费、社会统筹、员工福利、服装等。机具费用指车辆运行成本等。各供应商综合考虑投标报价，采购人不另行支付。</w:t>
      </w:r>
    </w:p>
    <w:p w14:paraId="25BC8556">
      <w:pPr>
        <w:widowControl w:val="0"/>
        <w:adjustRightInd w:val="0"/>
        <w:snapToGrid w:val="0"/>
        <w:spacing w:line="288"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2.供应商须结合服务场地实际情况，充分考虑现场不利因素所造成的材料二次搬运、机械进退场，转移等可能增加的费用等风险。</w:t>
      </w:r>
    </w:p>
    <w:p w14:paraId="3C85F2CA">
      <w:pPr>
        <w:widowControl w:val="0"/>
        <w:adjustRightInd w:val="0"/>
        <w:snapToGrid w:val="0"/>
        <w:spacing w:line="288"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3.供应商在报价时应充分考虑政策性调整、市场风险等因素，中标后发生的政策变化或市场风险所引起的费用变化一律不再调整。</w:t>
      </w:r>
    </w:p>
    <w:p w14:paraId="7494B4D3">
      <w:pPr>
        <w:widowControl w:val="0"/>
        <w:spacing w:line="288" w:lineRule="auto"/>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五、考核</w:t>
      </w:r>
    </w:p>
    <w:p w14:paraId="6CDE6671">
      <w:pPr>
        <w:widowControl w:val="0"/>
        <w:spacing w:line="288" w:lineRule="auto"/>
        <w:ind w:firstLine="480"/>
        <w:jc w:val="both"/>
        <w:rPr>
          <w:rFonts w:hint="eastAsia" w:ascii="宋体" w:hAnsi="宋体" w:cs="宋体"/>
          <w:color w:val="auto"/>
          <w:sz w:val="24"/>
          <w:szCs w:val="24"/>
          <w:highlight w:val="none"/>
        </w:rPr>
      </w:pPr>
      <w:r>
        <w:rPr>
          <w:rFonts w:ascii="宋体" w:hAnsi="宋体" w:cs="宋体"/>
          <w:color w:val="auto"/>
          <w:sz w:val="24"/>
          <w:szCs w:val="24"/>
          <w:highlight w:val="none"/>
        </w:rPr>
        <w:t>依据</w:t>
      </w:r>
      <w:r>
        <w:rPr>
          <w:rFonts w:hint="eastAsia" w:ascii="宋体" w:hAnsi="宋体" w:cs="宋体"/>
          <w:color w:val="auto"/>
          <w:sz w:val="24"/>
          <w:szCs w:val="24"/>
          <w:highlight w:val="none"/>
        </w:rPr>
        <w:t>月考核结</w:t>
      </w:r>
      <w:r>
        <w:rPr>
          <w:rFonts w:ascii="宋体" w:hAnsi="宋体" w:cs="宋体"/>
          <w:color w:val="auto"/>
          <w:sz w:val="24"/>
          <w:szCs w:val="24"/>
          <w:highlight w:val="none"/>
        </w:rPr>
        <w:t>果，采用季度付款方式。月</w:t>
      </w:r>
      <w:r>
        <w:rPr>
          <w:rFonts w:hint="eastAsia" w:ascii="宋体" w:hAnsi="宋体" w:cs="宋体"/>
          <w:color w:val="auto"/>
          <w:sz w:val="24"/>
          <w:szCs w:val="24"/>
          <w:highlight w:val="none"/>
        </w:rPr>
        <w:t>度</w:t>
      </w:r>
      <w:r>
        <w:rPr>
          <w:rFonts w:ascii="宋体" w:hAnsi="宋体" w:cs="宋体"/>
          <w:color w:val="auto"/>
          <w:sz w:val="24"/>
          <w:szCs w:val="24"/>
          <w:highlight w:val="none"/>
        </w:rPr>
        <w:t>考核得分在90分（含）以上，</w:t>
      </w:r>
      <w:r>
        <w:rPr>
          <w:rFonts w:hint="eastAsia" w:ascii="宋体" w:hAnsi="宋体" w:cs="宋体"/>
          <w:color w:val="auto"/>
          <w:sz w:val="24"/>
          <w:szCs w:val="24"/>
          <w:highlight w:val="none"/>
        </w:rPr>
        <w:t>不扣减当月服务费。考核</w:t>
      </w:r>
      <w:r>
        <w:rPr>
          <w:rFonts w:ascii="宋体" w:hAnsi="宋体" w:cs="宋体"/>
          <w:color w:val="auto"/>
          <w:sz w:val="24"/>
          <w:szCs w:val="24"/>
          <w:highlight w:val="none"/>
        </w:rPr>
        <w:t>得分在90分</w:t>
      </w:r>
      <w:r>
        <w:rPr>
          <w:rFonts w:hint="eastAsia" w:ascii="宋体" w:hAnsi="宋体" w:cs="宋体"/>
          <w:color w:val="auto"/>
          <w:sz w:val="24"/>
          <w:szCs w:val="24"/>
          <w:highlight w:val="none"/>
        </w:rPr>
        <w:t>以下</w:t>
      </w:r>
      <w:r>
        <w:rPr>
          <w:rFonts w:ascii="宋体" w:hAnsi="宋体" w:cs="宋体"/>
          <w:color w:val="auto"/>
          <w:sz w:val="24"/>
          <w:szCs w:val="24"/>
          <w:highlight w:val="none"/>
        </w:rPr>
        <w:t>，每低1分扣减</w:t>
      </w:r>
      <w:r>
        <w:rPr>
          <w:rFonts w:hint="eastAsia" w:ascii="宋体" w:hAnsi="宋体" w:cs="宋体"/>
          <w:color w:val="auto"/>
          <w:sz w:val="24"/>
          <w:szCs w:val="24"/>
          <w:highlight w:val="none"/>
        </w:rPr>
        <w:t>5</w:t>
      </w:r>
      <w:r>
        <w:rPr>
          <w:rFonts w:ascii="宋体" w:hAnsi="宋体" w:cs="宋体"/>
          <w:color w:val="auto"/>
          <w:sz w:val="24"/>
          <w:szCs w:val="24"/>
          <w:highlight w:val="none"/>
        </w:rPr>
        <w:t>00</w:t>
      </w:r>
      <w:r>
        <w:rPr>
          <w:rFonts w:hint="eastAsia" w:ascii="宋体" w:hAnsi="宋体" w:cs="宋体"/>
          <w:color w:val="auto"/>
          <w:sz w:val="24"/>
          <w:szCs w:val="24"/>
          <w:highlight w:val="none"/>
        </w:rPr>
        <w:t>元</w:t>
      </w:r>
      <w:r>
        <w:rPr>
          <w:rFonts w:ascii="宋体" w:hAnsi="宋体" w:cs="宋体"/>
          <w:color w:val="auto"/>
          <w:sz w:val="24"/>
          <w:szCs w:val="24"/>
          <w:highlight w:val="none"/>
        </w:rPr>
        <w:t>。</w:t>
      </w:r>
      <w:r>
        <w:rPr>
          <w:rFonts w:hint="eastAsia" w:ascii="宋体" w:hAnsi="宋体" w:cs="宋体"/>
          <w:color w:val="auto"/>
          <w:sz w:val="24"/>
          <w:szCs w:val="24"/>
          <w:highlight w:val="none"/>
          <w:lang w:val="zh-CN"/>
        </w:rPr>
        <w:t>若每一季度考核平均分低于</w:t>
      </w:r>
      <w:r>
        <w:rPr>
          <w:rFonts w:ascii="宋体" w:hAnsi="宋体" w:cs="宋体"/>
          <w:color w:val="auto"/>
          <w:sz w:val="24"/>
          <w:szCs w:val="24"/>
          <w:highlight w:val="none"/>
          <w:lang w:val="zh-CN"/>
        </w:rPr>
        <w:t>80</w:t>
      </w:r>
      <w:r>
        <w:rPr>
          <w:rFonts w:hint="eastAsia" w:ascii="宋体" w:hAnsi="宋体" w:cs="宋体"/>
          <w:color w:val="auto"/>
          <w:sz w:val="24"/>
          <w:szCs w:val="24"/>
          <w:highlight w:val="none"/>
          <w:lang w:val="zh-CN"/>
        </w:rPr>
        <w:t>分，采购人有权终止合同。若合同终止，乙方应按甲方要求继续维持服务，直至下一服务方进场。</w:t>
      </w:r>
    </w:p>
    <w:p w14:paraId="7F354B95">
      <w:pPr>
        <w:widowControl w:val="0"/>
        <w:spacing w:after="120" w:line="312" w:lineRule="auto"/>
        <w:ind w:left="400"/>
        <w:jc w:val="both"/>
        <w:rPr>
          <w:rFonts w:hint="eastAsia" w:ascii="宋体" w:hAnsi="宋体" w:cs="宋体"/>
          <w:color w:val="auto"/>
          <w:sz w:val="21"/>
          <w:szCs w:val="21"/>
          <w:highlight w:val="none"/>
          <w:lang w:bidi="ar"/>
        </w:rPr>
      </w:pPr>
      <w:r>
        <w:rPr>
          <w:rFonts w:hint="eastAsia" w:ascii="宋体" w:hAnsi="宋体" w:cs="宋体"/>
          <w:color w:val="auto"/>
          <w:sz w:val="24"/>
          <w:szCs w:val="24"/>
          <w:highlight w:val="none"/>
        </w:rPr>
        <w:t>考核评分细则：</w:t>
      </w:r>
    </w:p>
    <w:tbl>
      <w:tblPr>
        <w:tblStyle w:val="13"/>
        <w:tblW w:w="5290" w:type="pct"/>
        <w:jc w:val="center"/>
        <w:tblLayout w:type="fixed"/>
        <w:tblCellMar>
          <w:top w:w="0" w:type="dxa"/>
          <w:left w:w="108" w:type="dxa"/>
          <w:bottom w:w="0" w:type="dxa"/>
          <w:right w:w="108" w:type="dxa"/>
        </w:tblCellMar>
      </w:tblPr>
      <w:tblGrid>
        <w:gridCol w:w="1036"/>
        <w:gridCol w:w="1229"/>
        <w:gridCol w:w="6548"/>
        <w:gridCol w:w="852"/>
        <w:gridCol w:w="766"/>
      </w:tblGrid>
      <w:tr w14:paraId="79F762A1">
        <w:tblPrEx>
          <w:tblCellMar>
            <w:top w:w="0" w:type="dxa"/>
            <w:left w:w="108" w:type="dxa"/>
            <w:bottom w:w="0" w:type="dxa"/>
            <w:right w:w="108" w:type="dxa"/>
          </w:tblCellMar>
        </w:tblPrEx>
        <w:trPr>
          <w:trHeight w:val="556" w:hRule="atLeast"/>
          <w:jc w:val="center"/>
        </w:trPr>
        <w:tc>
          <w:tcPr>
            <w:tcW w:w="496" w:type="pct"/>
            <w:tcBorders>
              <w:top w:val="single" w:color="000000" w:sz="4" w:space="0"/>
              <w:left w:val="single" w:color="000000" w:sz="4" w:space="0"/>
              <w:bottom w:val="single" w:color="000000" w:sz="4" w:space="0"/>
              <w:right w:val="single" w:color="000000" w:sz="4" w:space="0"/>
            </w:tcBorders>
            <w:noWrap/>
            <w:vAlign w:val="center"/>
          </w:tcPr>
          <w:p w14:paraId="7A53C40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考核项目</w:t>
            </w:r>
          </w:p>
        </w:tc>
        <w:tc>
          <w:tcPr>
            <w:tcW w:w="589" w:type="pct"/>
            <w:tcBorders>
              <w:top w:val="single" w:color="000000" w:sz="4" w:space="0"/>
              <w:left w:val="single" w:color="000000" w:sz="4" w:space="0"/>
              <w:bottom w:val="single" w:color="000000" w:sz="4" w:space="0"/>
              <w:right w:val="single" w:color="000000" w:sz="4" w:space="0"/>
            </w:tcBorders>
            <w:vAlign w:val="center"/>
          </w:tcPr>
          <w:p w14:paraId="61ED037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考核内容</w:t>
            </w:r>
          </w:p>
        </w:tc>
        <w:tc>
          <w:tcPr>
            <w:tcW w:w="3138" w:type="pct"/>
            <w:tcBorders>
              <w:top w:val="single" w:color="000000" w:sz="4" w:space="0"/>
              <w:left w:val="single" w:color="000000" w:sz="4" w:space="0"/>
              <w:bottom w:val="single" w:color="000000" w:sz="4" w:space="0"/>
              <w:right w:val="single" w:color="000000" w:sz="4" w:space="0"/>
            </w:tcBorders>
            <w:vAlign w:val="center"/>
          </w:tcPr>
          <w:p w14:paraId="66034AB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考    核    标    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631093C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扣分</w:t>
            </w:r>
          </w:p>
        </w:tc>
        <w:tc>
          <w:tcPr>
            <w:tcW w:w="367" w:type="pct"/>
            <w:tcBorders>
              <w:top w:val="single" w:color="000000" w:sz="4" w:space="0"/>
              <w:left w:val="single" w:color="000000" w:sz="4" w:space="0"/>
              <w:bottom w:val="single" w:color="000000" w:sz="4" w:space="0"/>
              <w:right w:val="single" w:color="000000" w:sz="4" w:space="0"/>
            </w:tcBorders>
            <w:vAlign w:val="center"/>
          </w:tcPr>
          <w:p w14:paraId="4496922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扣分说明</w:t>
            </w:r>
          </w:p>
        </w:tc>
      </w:tr>
      <w:tr w14:paraId="265B970C">
        <w:tblPrEx>
          <w:tblCellMar>
            <w:top w:w="0" w:type="dxa"/>
            <w:left w:w="108" w:type="dxa"/>
            <w:bottom w:w="0" w:type="dxa"/>
            <w:right w:w="108" w:type="dxa"/>
          </w:tblCellMar>
        </w:tblPrEx>
        <w:trPr>
          <w:trHeight w:val="600" w:hRule="atLeast"/>
          <w:jc w:val="center"/>
        </w:trPr>
        <w:tc>
          <w:tcPr>
            <w:tcW w:w="496" w:type="pct"/>
            <w:vMerge w:val="restart"/>
            <w:tcBorders>
              <w:top w:val="single" w:color="000000" w:sz="4" w:space="0"/>
              <w:left w:val="single" w:color="000000" w:sz="4" w:space="0"/>
              <w:right w:val="single" w:color="000000" w:sz="4" w:space="0"/>
            </w:tcBorders>
            <w:vAlign w:val="center"/>
          </w:tcPr>
          <w:p w14:paraId="306D715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迈皋桥街道垃圾分类智能设备维修</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(100分)</w:t>
            </w:r>
          </w:p>
        </w:tc>
        <w:tc>
          <w:tcPr>
            <w:tcW w:w="589" w:type="pct"/>
            <w:vMerge w:val="restart"/>
            <w:tcBorders>
              <w:top w:val="single" w:color="000000" w:sz="4" w:space="0"/>
              <w:left w:val="single" w:color="000000" w:sz="4" w:space="0"/>
              <w:right w:val="single" w:color="000000" w:sz="4" w:space="0"/>
            </w:tcBorders>
            <w:vAlign w:val="center"/>
          </w:tcPr>
          <w:p w14:paraId="097DD3B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作业质量</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(60分)</w:t>
            </w:r>
          </w:p>
        </w:tc>
        <w:tc>
          <w:tcPr>
            <w:tcW w:w="3138" w:type="pct"/>
            <w:tcBorders>
              <w:top w:val="single" w:color="000000" w:sz="4" w:space="0"/>
              <w:left w:val="single" w:color="000000" w:sz="4" w:space="0"/>
              <w:bottom w:val="single" w:color="000000" w:sz="4" w:space="0"/>
              <w:right w:val="single" w:color="000000" w:sz="4" w:space="0"/>
            </w:tcBorders>
            <w:vAlign w:val="center"/>
          </w:tcPr>
          <w:p w14:paraId="2BE185F0">
            <w:pPr>
              <w:jc w:val="both"/>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1.超过</w:t>
            </w:r>
            <w:r>
              <w:rPr>
                <w:rFonts w:ascii="宋体" w:hAnsi="宋体" w:cs="宋体"/>
                <w:color w:val="auto"/>
                <w:sz w:val="24"/>
                <w:szCs w:val="24"/>
                <w:highlight w:val="none"/>
                <w:lang w:bidi="ar"/>
              </w:rPr>
              <w:t>4</w:t>
            </w:r>
            <w:r>
              <w:rPr>
                <w:rFonts w:hint="eastAsia" w:ascii="宋体" w:hAnsi="宋体" w:cs="宋体"/>
                <w:color w:val="auto"/>
                <w:sz w:val="24"/>
                <w:szCs w:val="24"/>
                <w:highlight w:val="none"/>
                <w:lang w:bidi="ar"/>
              </w:rPr>
              <w:t>小时未进行响应，每次扣除0.5分，超过</w:t>
            </w:r>
            <w:r>
              <w:rPr>
                <w:rFonts w:ascii="宋体" w:hAnsi="宋体" w:cs="宋体"/>
                <w:color w:val="auto"/>
                <w:sz w:val="24"/>
                <w:szCs w:val="24"/>
                <w:highlight w:val="none"/>
                <w:lang w:bidi="ar"/>
              </w:rPr>
              <w:t>6</w:t>
            </w:r>
            <w:r>
              <w:rPr>
                <w:rFonts w:hint="eastAsia" w:ascii="宋体" w:hAnsi="宋体" w:cs="宋体"/>
                <w:color w:val="auto"/>
                <w:sz w:val="24"/>
                <w:szCs w:val="24"/>
                <w:highlight w:val="none"/>
                <w:lang w:bidi="ar"/>
              </w:rPr>
              <w:t>小时未进行响应，扣除1分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13392477">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2353E29D">
            <w:pPr>
              <w:widowControl w:val="0"/>
              <w:spacing w:line="360" w:lineRule="auto"/>
              <w:jc w:val="center"/>
              <w:rPr>
                <w:rFonts w:hint="eastAsia" w:ascii="宋体" w:hAnsi="宋体" w:cs="宋体"/>
                <w:color w:val="auto"/>
                <w:sz w:val="24"/>
                <w:szCs w:val="24"/>
                <w:highlight w:val="none"/>
              </w:rPr>
            </w:pPr>
          </w:p>
        </w:tc>
      </w:tr>
      <w:tr w14:paraId="3643E110">
        <w:tblPrEx>
          <w:tblCellMar>
            <w:top w:w="0" w:type="dxa"/>
            <w:left w:w="108" w:type="dxa"/>
            <w:bottom w:w="0" w:type="dxa"/>
            <w:right w:w="108" w:type="dxa"/>
          </w:tblCellMar>
        </w:tblPrEx>
        <w:trPr>
          <w:trHeight w:val="584" w:hRule="atLeast"/>
          <w:jc w:val="center"/>
        </w:trPr>
        <w:tc>
          <w:tcPr>
            <w:tcW w:w="496" w:type="pct"/>
            <w:vMerge w:val="continue"/>
            <w:tcBorders>
              <w:left w:val="single" w:color="000000" w:sz="4" w:space="0"/>
              <w:right w:val="single" w:color="000000" w:sz="4" w:space="0"/>
            </w:tcBorders>
            <w:vAlign w:val="center"/>
          </w:tcPr>
          <w:p w14:paraId="1D87A274">
            <w:pPr>
              <w:spacing w:line="360" w:lineRule="auto"/>
              <w:jc w:val="center"/>
              <w:rPr>
                <w:rFonts w:hint="eastAsia" w:ascii="宋体" w:hAnsi="宋体" w:cs="宋体"/>
                <w:color w:val="auto"/>
                <w:sz w:val="24"/>
                <w:szCs w:val="24"/>
                <w:highlight w:val="none"/>
              </w:rPr>
            </w:pPr>
          </w:p>
        </w:tc>
        <w:tc>
          <w:tcPr>
            <w:tcW w:w="589" w:type="pct"/>
            <w:vMerge w:val="continue"/>
            <w:tcBorders>
              <w:left w:val="single" w:color="000000" w:sz="4" w:space="0"/>
              <w:right w:val="single" w:color="000000" w:sz="4" w:space="0"/>
            </w:tcBorders>
            <w:vAlign w:val="center"/>
          </w:tcPr>
          <w:p w14:paraId="7ECAA61C">
            <w:pPr>
              <w:spacing w:line="360" w:lineRule="auto"/>
              <w:jc w:val="center"/>
              <w:rPr>
                <w:rFonts w:hint="eastAsia" w:ascii="宋体" w:hAnsi="宋体" w:cs="宋体"/>
                <w:color w:val="auto"/>
                <w:sz w:val="24"/>
                <w:szCs w:val="24"/>
                <w:highlight w:val="none"/>
              </w:rPr>
            </w:pPr>
          </w:p>
        </w:tc>
        <w:tc>
          <w:tcPr>
            <w:tcW w:w="3138" w:type="pct"/>
            <w:tcBorders>
              <w:top w:val="single" w:color="000000" w:sz="4" w:space="0"/>
              <w:left w:val="single" w:color="000000" w:sz="4" w:space="0"/>
              <w:bottom w:val="single" w:color="000000" w:sz="4" w:space="0"/>
              <w:right w:val="single" w:color="000000" w:sz="4" w:space="0"/>
            </w:tcBorders>
            <w:vAlign w:val="center"/>
          </w:tcPr>
          <w:p w14:paraId="75850CA8">
            <w:pPr>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2.超过</w:t>
            </w:r>
            <w:r>
              <w:rPr>
                <w:rFonts w:ascii="宋体" w:hAnsi="宋体" w:cs="宋体"/>
                <w:color w:val="auto"/>
                <w:sz w:val="24"/>
                <w:szCs w:val="24"/>
                <w:highlight w:val="none"/>
                <w:lang w:bidi="ar"/>
              </w:rPr>
              <w:t>24</w:t>
            </w:r>
            <w:r>
              <w:rPr>
                <w:rFonts w:hint="eastAsia" w:ascii="宋体" w:hAnsi="宋体" w:cs="宋体"/>
                <w:color w:val="auto"/>
                <w:sz w:val="24"/>
                <w:szCs w:val="24"/>
                <w:highlight w:val="none"/>
                <w:lang w:bidi="ar"/>
              </w:rPr>
              <w:t>小时未到达报修垃圾房、亭现场，每次扣除0.5分，超过</w:t>
            </w:r>
            <w:r>
              <w:rPr>
                <w:rFonts w:ascii="宋体" w:hAnsi="宋体" w:cs="宋体"/>
                <w:color w:val="auto"/>
                <w:sz w:val="24"/>
                <w:szCs w:val="24"/>
                <w:highlight w:val="none"/>
                <w:lang w:bidi="ar"/>
              </w:rPr>
              <w:t>48</w:t>
            </w:r>
            <w:r>
              <w:rPr>
                <w:rFonts w:hint="eastAsia" w:ascii="宋体" w:hAnsi="宋体" w:cs="宋体"/>
                <w:color w:val="auto"/>
                <w:sz w:val="24"/>
                <w:szCs w:val="24"/>
                <w:highlight w:val="none"/>
                <w:lang w:bidi="ar"/>
              </w:rPr>
              <w:t>小时未到达报修垃圾房、亭现场，每次扣除1分。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2D800C67">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289EDAAD">
            <w:pPr>
              <w:widowControl w:val="0"/>
              <w:spacing w:line="360" w:lineRule="auto"/>
              <w:jc w:val="center"/>
              <w:rPr>
                <w:rFonts w:hint="eastAsia" w:ascii="宋体" w:hAnsi="宋体" w:cs="宋体"/>
                <w:color w:val="auto"/>
                <w:sz w:val="24"/>
                <w:szCs w:val="24"/>
                <w:highlight w:val="none"/>
              </w:rPr>
            </w:pPr>
          </w:p>
        </w:tc>
      </w:tr>
      <w:tr w14:paraId="510E0F51">
        <w:tblPrEx>
          <w:tblCellMar>
            <w:top w:w="0" w:type="dxa"/>
            <w:left w:w="108" w:type="dxa"/>
            <w:bottom w:w="0" w:type="dxa"/>
            <w:right w:w="108" w:type="dxa"/>
          </w:tblCellMar>
        </w:tblPrEx>
        <w:trPr>
          <w:trHeight w:val="572" w:hRule="atLeast"/>
          <w:jc w:val="center"/>
        </w:trPr>
        <w:tc>
          <w:tcPr>
            <w:tcW w:w="496" w:type="pct"/>
            <w:vMerge w:val="continue"/>
            <w:tcBorders>
              <w:left w:val="single" w:color="000000" w:sz="4" w:space="0"/>
              <w:right w:val="single" w:color="000000" w:sz="4" w:space="0"/>
            </w:tcBorders>
            <w:vAlign w:val="center"/>
          </w:tcPr>
          <w:p w14:paraId="5FA7171D">
            <w:pPr>
              <w:widowControl w:val="0"/>
              <w:spacing w:line="360" w:lineRule="auto"/>
              <w:jc w:val="center"/>
              <w:rPr>
                <w:rFonts w:hint="eastAsia" w:ascii="宋体" w:hAnsi="宋体" w:cs="宋体"/>
                <w:color w:val="auto"/>
                <w:sz w:val="24"/>
                <w:szCs w:val="24"/>
                <w:highlight w:val="none"/>
              </w:rPr>
            </w:pPr>
          </w:p>
        </w:tc>
        <w:tc>
          <w:tcPr>
            <w:tcW w:w="589" w:type="pct"/>
            <w:vMerge w:val="continue"/>
            <w:tcBorders>
              <w:left w:val="single" w:color="000000" w:sz="4" w:space="0"/>
              <w:right w:val="single" w:color="000000" w:sz="4" w:space="0"/>
            </w:tcBorders>
            <w:vAlign w:val="center"/>
          </w:tcPr>
          <w:p w14:paraId="1FDE3902">
            <w:pPr>
              <w:widowControl w:val="0"/>
              <w:spacing w:line="360" w:lineRule="auto"/>
              <w:jc w:val="center"/>
              <w:rPr>
                <w:rFonts w:hint="eastAsia" w:ascii="宋体" w:hAnsi="宋体" w:cs="宋体"/>
                <w:color w:val="auto"/>
                <w:sz w:val="24"/>
                <w:szCs w:val="24"/>
                <w:highlight w:val="none"/>
              </w:rPr>
            </w:pPr>
          </w:p>
        </w:tc>
        <w:tc>
          <w:tcPr>
            <w:tcW w:w="3138" w:type="pct"/>
            <w:tcBorders>
              <w:top w:val="single" w:color="000000" w:sz="4" w:space="0"/>
              <w:left w:val="single" w:color="000000" w:sz="4" w:space="0"/>
              <w:bottom w:val="single" w:color="000000" w:sz="4" w:space="0"/>
              <w:right w:val="single" w:color="000000" w:sz="4" w:space="0"/>
            </w:tcBorders>
            <w:vAlign w:val="center"/>
          </w:tcPr>
          <w:p w14:paraId="78F8C739">
            <w:pPr>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2.无特殊情况超过24小时未完成垃圾分类房、亭维修，每次扣除0.5分，超过</w:t>
            </w:r>
            <w:r>
              <w:rPr>
                <w:rFonts w:ascii="宋体" w:hAnsi="宋体" w:cs="宋体"/>
                <w:color w:val="auto"/>
                <w:sz w:val="24"/>
                <w:szCs w:val="24"/>
                <w:highlight w:val="none"/>
                <w:lang w:bidi="ar"/>
              </w:rPr>
              <w:t>3</w:t>
            </w:r>
            <w:r>
              <w:rPr>
                <w:rFonts w:hint="eastAsia" w:ascii="宋体" w:hAnsi="宋体" w:cs="宋体"/>
                <w:color w:val="auto"/>
                <w:sz w:val="24"/>
                <w:szCs w:val="24"/>
                <w:highlight w:val="none"/>
                <w:lang w:bidi="ar"/>
              </w:rPr>
              <w:t>天未完成垃圾分类房、亭维修，每次扣除2分。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35FC879C">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7BD37D76">
            <w:pPr>
              <w:widowControl w:val="0"/>
              <w:spacing w:line="360" w:lineRule="auto"/>
              <w:jc w:val="center"/>
              <w:rPr>
                <w:rFonts w:hint="eastAsia" w:ascii="宋体" w:hAnsi="宋体" w:cs="宋体"/>
                <w:color w:val="auto"/>
                <w:sz w:val="24"/>
                <w:szCs w:val="24"/>
                <w:highlight w:val="none"/>
              </w:rPr>
            </w:pPr>
          </w:p>
        </w:tc>
      </w:tr>
      <w:tr w14:paraId="5670486F">
        <w:tblPrEx>
          <w:tblCellMar>
            <w:top w:w="0" w:type="dxa"/>
            <w:left w:w="108" w:type="dxa"/>
            <w:bottom w:w="0" w:type="dxa"/>
            <w:right w:w="108" w:type="dxa"/>
          </w:tblCellMar>
        </w:tblPrEx>
        <w:trPr>
          <w:trHeight w:val="462" w:hRule="atLeast"/>
          <w:jc w:val="center"/>
        </w:trPr>
        <w:tc>
          <w:tcPr>
            <w:tcW w:w="496" w:type="pct"/>
            <w:vMerge w:val="continue"/>
            <w:tcBorders>
              <w:left w:val="single" w:color="000000" w:sz="4" w:space="0"/>
              <w:right w:val="single" w:color="000000" w:sz="4" w:space="0"/>
            </w:tcBorders>
            <w:vAlign w:val="center"/>
          </w:tcPr>
          <w:p w14:paraId="1B646DA1">
            <w:pPr>
              <w:widowControl w:val="0"/>
              <w:spacing w:line="360" w:lineRule="auto"/>
              <w:jc w:val="center"/>
              <w:rPr>
                <w:rFonts w:hint="eastAsia" w:ascii="宋体" w:hAnsi="宋体" w:cs="宋体"/>
                <w:color w:val="auto"/>
                <w:sz w:val="24"/>
                <w:szCs w:val="24"/>
                <w:highlight w:val="none"/>
              </w:rPr>
            </w:pPr>
          </w:p>
        </w:tc>
        <w:tc>
          <w:tcPr>
            <w:tcW w:w="589" w:type="pct"/>
            <w:vMerge w:val="continue"/>
            <w:tcBorders>
              <w:left w:val="single" w:color="000000" w:sz="4" w:space="0"/>
              <w:right w:val="single" w:color="000000" w:sz="4" w:space="0"/>
            </w:tcBorders>
            <w:vAlign w:val="center"/>
          </w:tcPr>
          <w:p w14:paraId="5A47E4DD">
            <w:pPr>
              <w:widowControl w:val="0"/>
              <w:spacing w:line="360" w:lineRule="auto"/>
              <w:jc w:val="center"/>
              <w:rPr>
                <w:rFonts w:hint="eastAsia" w:ascii="宋体" w:hAnsi="宋体" w:cs="宋体"/>
                <w:color w:val="auto"/>
                <w:sz w:val="24"/>
                <w:szCs w:val="24"/>
                <w:highlight w:val="none"/>
              </w:rPr>
            </w:pPr>
          </w:p>
        </w:tc>
        <w:tc>
          <w:tcPr>
            <w:tcW w:w="3138" w:type="pct"/>
            <w:tcBorders>
              <w:top w:val="single" w:color="000000" w:sz="4" w:space="0"/>
              <w:left w:val="single" w:color="000000" w:sz="4" w:space="0"/>
              <w:bottom w:val="single" w:color="000000" w:sz="4" w:space="0"/>
              <w:right w:val="single" w:color="000000" w:sz="4" w:space="0"/>
            </w:tcBorders>
            <w:vAlign w:val="center"/>
          </w:tcPr>
          <w:p w14:paraId="45AABB26">
            <w:pPr>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3.因维修不及时导致的当月考核工单投诉、居民投诉、电话投诉，各类投诉每次扣</w:t>
            </w:r>
            <w:r>
              <w:rPr>
                <w:rFonts w:ascii="宋体" w:hAnsi="宋体" w:cs="宋体"/>
                <w:color w:val="auto"/>
                <w:sz w:val="24"/>
                <w:szCs w:val="24"/>
                <w:highlight w:val="none"/>
                <w:lang w:bidi="ar"/>
              </w:rPr>
              <w:t>1</w:t>
            </w:r>
            <w:r>
              <w:rPr>
                <w:rFonts w:hint="eastAsia" w:ascii="宋体" w:hAnsi="宋体" w:cs="宋体"/>
                <w:color w:val="auto"/>
                <w:sz w:val="24"/>
                <w:szCs w:val="24"/>
                <w:highlight w:val="none"/>
                <w:lang w:bidi="ar"/>
              </w:rPr>
              <w:t>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6D419308">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71172AF0">
            <w:pPr>
              <w:widowControl w:val="0"/>
              <w:spacing w:line="360" w:lineRule="auto"/>
              <w:jc w:val="center"/>
              <w:rPr>
                <w:rFonts w:hint="eastAsia" w:ascii="宋体" w:hAnsi="宋体" w:cs="宋体"/>
                <w:color w:val="auto"/>
                <w:sz w:val="24"/>
                <w:szCs w:val="24"/>
                <w:highlight w:val="none"/>
              </w:rPr>
            </w:pPr>
          </w:p>
        </w:tc>
      </w:tr>
      <w:tr w14:paraId="25BE2119">
        <w:tblPrEx>
          <w:tblCellMar>
            <w:top w:w="0" w:type="dxa"/>
            <w:left w:w="108" w:type="dxa"/>
            <w:bottom w:w="0" w:type="dxa"/>
            <w:right w:w="108" w:type="dxa"/>
          </w:tblCellMar>
        </w:tblPrEx>
        <w:trPr>
          <w:trHeight w:val="403" w:hRule="atLeast"/>
          <w:jc w:val="center"/>
        </w:trPr>
        <w:tc>
          <w:tcPr>
            <w:tcW w:w="496" w:type="pct"/>
            <w:vMerge w:val="continue"/>
            <w:tcBorders>
              <w:left w:val="single" w:color="000000" w:sz="4" w:space="0"/>
              <w:right w:val="single" w:color="000000" w:sz="4" w:space="0"/>
            </w:tcBorders>
            <w:vAlign w:val="center"/>
          </w:tcPr>
          <w:p w14:paraId="3B0037E6">
            <w:pPr>
              <w:widowControl w:val="0"/>
              <w:spacing w:line="360" w:lineRule="auto"/>
              <w:jc w:val="center"/>
              <w:rPr>
                <w:rFonts w:hint="eastAsia" w:ascii="宋体" w:hAnsi="宋体" w:cs="宋体"/>
                <w:color w:val="auto"/>
                <w:sz w:val="24"/>
                <w:szCs w:val="24"/>
                <w:highlight w:val="none"/>
              </w:rPr>
            </w:pPr>
          </w:p>
        </w:tc>
        <w:tc>
          <w:tcPr>
            <w:tcW w:w="589" w:type="pct"/>
            <w:vMerge w:val="continue"/>
            <w:tcBorders>
              <w:left w:val="single" w:color="000000" w:sz="4" w:space="0"/>
              <w:right w:val="single" w:color="000000" w:sz="4" w:space="0"/>
            </w:tcBorders>
            <w:vAlign w:val="center"/>
          </w:tcPr>
          <w:p w14:paraId="014FAD70">
            <w:pPr>
              <w:widowControl w:val="0"/>
              <w:spacing w:line="360" w:lineRule="auto"/>
              <w:jc w:val="center"/>
              <w:rPr>
                <w:rFonts w:hint="eastAsia" w:ascii="宋体" w:hAnsi="宋体" w:cs="宋体"/>
                <w:color w:val="auto"/>
                <w:sz w:val="24"/>
                <w:szCs w:val="24"/>
                <w:highlight w:val="none"/>
              </w:rPr>
            </w:pPr>
          </w:p>
        </w:tc>
        <w:tc>
          <w:tcPr>
            <w:tcW w:w="3138" w:type="pct"/>
            <w:tcBorders>
              <w:top w:val="single" w:color="000000" w:sz="4" w:space="0"/>
              <w:left w:val="single" w:color="000000" w:sz="4" w:space="0"/>
              <w:bottom w:val="single" w:color="000000" w:sz="4" w:space="0"/>
              <w:right w:val="single" w:color="000000" w:sz="4" w:space="0"/>
            </w:tcBorders>
            <w:vAlign w:val="center"/>
          </w:tcPr>
          <w:p w14:paraId="055B63C3">
            <w:pPr>
              <w:jc w:val="both"/>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4.因维修不及时导致的被</w:t>
            </w:r>
            <w:r>
              <w:rPr>
                <w:rFonts w:hint="eastAsia" w:ascii="宋体" w:hAnsi="宋体" w:cs="宋体"/>
                <w:color w:val="auto"/>
                <w:sz w:val="24"/>
                <w:szCs w:val="24"/>
                <w:highlight w:val="none"/>
              </w:rPr>
              <w:t>市级考核</w:t>
            </w:r>
            <w:r>
              <w:rPr>
                <w:rFonts w:hint="eastAsia" w:ascii="宋体" w:hAnsi="宋体" w:cs="宋体"/>
                <w:color w:val="auto"/>
                <w:sz w:val="24"/>
                <w:szCs w:val="24"/>
                <w:highlight w:val="none"/>
                <w:lang w:bidi="ar"/>
              </w:rPr>
              <w:t>扣分每次扣4分。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4D0151E5">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54A695DF">
            <w:pPr>
              <w:widowControl w:val="0"/>
              <w:spacing w:line="360" w:lineRule="auto"/>
              <w:jc w:val="center"/>
              <w:rPr>
                <w:rFonts w:hint="eastAsia" w:ascii="宋体" w:hAnsi="宋体" w:cs="宋体"/>
                <w:color w:val="auto"/>
                <w:sz w:val="24"/>
                <w:szCs w:val="24"/>
                <w:highlight w:val="none"/>
              </w:rPr>
            </w:pPr>
          </w:p>
        </w:tc>
      </w:tr>
      <w:tr w14:paraId="688DB60A">
        <w:tblPrEx>
          <w:tblCellMar>
            <w:top w:w="0" w:type="dxa"/>
            <w:left w:w="108" w:type="dxa"/>
            <w:bottom w:w="0" w:type="dxa"/>
            <w:right w:w="108" w:type="dxa"/>
          </w:tblCellMar>
        </w:tblPrEx>
        <w:trPr>
          <w:trHeight w:val="423" w:hRule="atLeast"/>
          <w:jc w:val="center"/>
        </w:trPr>
        <w:tc>
          <w:tcPr>
            <w:tcW w:w="496" w:type="pct"/>
            <w:vMerge w:val="continue"/>
            <w:tcBorders>
              <w:left w:val="single" w:color="000000" w:sz="4" w:space="0"/>
              <w:right w:val="single" w:color="000000" w:sz="4" w:space="0"/>
            </w:tcBorders>
            <w:vAlign w:val="center"/>
          </w:tcPr>
          <w:p w14:paraId="0AF59DC2">
            <w:pPr>
              <w:widowControl w:val="0"/>
              <w:spacing w:line="360" w:lineRule="auto"/>
              <w:jc w:val="center"/>
              <w:rPr>
                <w:rFonts w:hint="eastAsia" w:ascii="宋体" w:hAnsi="宋体" w:cs="宋体"/>
                <w:color w:val="auto"/>
                <w:sz w:val="24"/>
                <w:szCs w:val="24"/>
                <w:highlight w:val="none"/>
              </w:rPr>
            </w:pPr>
          </w:p>
        </w:tc>
        <w:tc>
          <w:tcPr>
            <w:tcW w:w="589" w:type="pct"/>
            <w:vMerge w:val="continue"/>
            <w:tcBorders>
              <w:left w:val="single" w:color="000000" w:sz="4" w:space="0"/>
              <w:right w:val="single" w:color="000000" w:sz="4" w:space="0"/>
            </w:tcBorders>
            <w:vAlign w:val="center"/>
          </w:tcPr>
          <w:p w14:paraId="6563F725">
            <w:pPr>
              <w:widowControl w:val="0"/>
              <w:spacing w:line="360" w:lineRule="auto"/>
              <w:jc w:val="center"/>
              <w:rPr>
                <w:rFonts w:hint="eastAsia" w:ascii="宋体" w:hAnsi="宋体" w:cs="宋体"/>
                <w:color w:val="auto"/>
                <w:sz w:val="24"/>
                <w:szCs w:val="24"/>
                <w:highlight w:val="none"/>
              </w:rPr>
            </w:pPr>
          </w:p>
        </w:tc>
        <w:tc>
          <w:tcPr>
            <w:tcW w:w="3138" w:type="pct"/>
            <w:tcBorders>
              <w:top w:val="single" w:color="000000" w:sz="4" w:space="0"/>
              <w:left w:val="single" w:color="000000" w:sz="4" w:space="0"/>
              <w:bottom w:val="single" w:color="000000" w:sz="4" w:space="0"/>
              <w:right w:val="single" w:color="000000" w:sz="4" w:space="0"/>
            </w:tcBorders>
            <w:vAlign w:val="center"/>
          </w:tcPr>
          <w:p w14:paraId="6A2A54D5">
            <w:pPr>
              <w:jc w:val="both"/>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5.因维修不及时导致的被区级考核扣分每次扣2分。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5A7BAAD5">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38CBF8B6">
            <w:pPr>
              <w:widowControl w:val="0"/>
              <w:spacing w:line="360" w:lineRule="auto"/>
              <w:jc w:val="center"/>
              <w:rPr>
                <w:rFonts w:hint="eastAsia" w:ascii="宋体" w:hAnsi="宋体" w:cs="宋体"/>
                <w:color w:val="auto"/>
                <w:sz w:val="24"/>
                <w:szCs w:val="24"/>
                <w:highlight w:val="none"/>
              </w:rPr>
            </w:pPr>
          </w:p>
        </w:tc>
      </w:tr>
      <w:tr w14:paraId="18DF02E8">
        <w:tblPrEx>
          <w:tblCellMar>
            <w:top w:w="0" w:type="dxa"/>
            <w:left w:w="108" w:type="dxa"/>
            <w:bottom w:w="0" w:type="dxa"/>
            <w:right w:w="108" w:type="dxa"/>
          </w:tblCellMar>
        </w:tblPrEx>
        <w:trPr>
          <w:trHeight w:val="993" w:hRule="atLeast"/>
          <w:jc w:val="center"/>
        </w:trPr>
        <w:tc>
          <w:tcPr>
            <w:tcW w:w="496" w:type="pct"/>
            <w:vMerge w:val="continue"/>
            <w:tcBorders>
              <w:left w:val="single" w:color="000000" w:sz="4" w:space="0"/>
              <w:right w:val="single" w:color="000000" w:sz="4" w:space="0"/>
            </w:tcBorders>
            <w:vAlign w:val="center"/>
          </w:tcPr>
          <w:p w14:paraId="4B132EC5">
            <w:pPr>
              <w:widowControl w:val="0"/>
              <w:spacing w:line="360" w:lineRule="auto"/>
              <w:jc w:val="center"/>
              <w:rPr>
                <w:rFonts w:hint="eastAsia" w:ascii="宋体" w:hAnsi="宋体" w:cs="宋体"/>
                <w:color w:val="auto"/>
                <w:sz w:val="24"/>
                <w:szCs w:val="24"/>
                <w:highlight w:val="none"/>
              </w:rPr>
            </w:pPr>
          </w:p>
        </w:tc>
        <w:tc>
          <w:tcPr>
            <w:tcW w:w="589" w:type="pct"/>
            <w:vMerge w:val="continue"/>
            <w:tcBorders>
              <w:left w:val="single" w:color="000000" w:sz="4" w:space="0"/>
              <w:bottom w:val="single" w:color="000000" w:sz="4" w:space="0"/>
              <w:right w:val="single" w:color="000000" w:sz="4" w:space="0"/>
            </w:tcBorders>
            <w:vAlign w:val="center"/>
          </w:tcPr>
          <w:p w14:paraId="0E693B51">
            <w:pPr>
              <w:widowControl w:val="0"/>
              <w:spacing w:line="360" w:lineRule="auto"/>
              <w:jc w:val="center"/>
              <w:rPr>
                <w:rFonts w:hint="eastAsia" w:ascii="宋体" w:hAnsi="宋体" w:cs="宋体"/>
                <w:color w:val="auto"/>
                <w:sz w:val="24"/>
                <w:szCs w:val="24"/>
                <w:highlight w:val="none"/>
              </w:rPr>
            </w:pPr>
          </w:p>
        </w:tc>
        <w:tc>
          <w:tcPr>
            <w:tcW w:w="3138" w:type="pct"/>
            <w:tcBorders>
              <w:top w:val="single" w:color="000000" w:sz="4" w:space="0"/>
              <w:left w:val="single" w:color="000000" w:sz="4" w:space="0"/>
              <w:bottom w:val="single" w:color="000000" w:sz="4" w:space="0"/>
              <w:right w:val="single" w:color="000000" w:sz="4" w:space="0"/>
            </w:tcBorders>
            <w:vAlign w:val="center"/>
          </w:tcPr>
          <w:p w14:paraId="263CF72C">
            <w:pPr>
              <w:jc w:val="both"/>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 xml:space="preserve">6.建立各项较为规范的工作台账资料，有内部管理制度、考核办法等制度，做到年度工作有总结，月度工作有记录，日常工作有落实。（无工作记录及台账资料的扣除 </w:t>
            </w:r>
            <w:r>
              <w:rPr>
                <w:rFonts w:ascii="宋体" w:hAnsi="宋体" w:cs="宋体"/>
                <w:color w:val="auto"/>
                <w:sz w:val="24"/>
                <w:szCs w:val="24"/>
                <w:highlight w:val="none"/>
                <w:lang w:bidi="ar"/>
              </w:rPr>
              <w:t>3</w:t>
            </w:r>
            <w:r>
              <w:rPr>
                <w:rFonts w:hint="eastAsia" w:ascii="宋体" w:hAnsi="宋体" w:cs="宋体"/>
                <w:color w:val="auto"/>
                <w:sz w:val="24"/>
                <w:szCs w:val="24"/>
                <w:highlight w:val="none"/>
                <w:lang w:bidi="ar"/>
              </w:rPr>
              <w:t xml:space="preserve"> 分，内容不完善，记录不明确每次扣除</w:t>
            </w:r>
            <w:r>
              <w:rPr>
                <w:rFonts w:ascii="宋体" w:hAnsi="宋体" w:cs="宋体"/>
                <w:color w:val="auto"/>
                <w:sz w:val="24"/>
                <w:szCs w:val="24"/>
                <w:highlight w:val="none"/>
                <w:lang w:bidi="ar"/>
              </w:rPr>
              <w:t>1</w:t>
            </w:r>
            <w:r>
              <w:rPr>
                <w:rFonts w:hint="eastAsia" w:ascii="宋体" w:hAnsi="宋体" w:cs="宋体"/>
                <w:color w:val="auto"/>
                <w:sz w:val="24"/>
                <w:szCs w:val="24"/>
                <w:highlight w:val="none"/>
                <w:lang w:bidi="ar"/>
              </w:rPr>
              <w:t>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2B690E92">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16501A28">
            <w:pPr>
              <w:widowControl w:val="0"/>
              <w:spacing w:line="360" w:lineRule="auto"/>
              <w:jc w:val="center"/>
              <w:rPr>
                <w:rFonts w:hint="eastAsia" w:ascii="宋体" w:hAnsi="宋体" w:cs="宋体"/>
                <w:color w:val="auto"/>
                <w:sz w:val="24"/>
                <w:szCs w:val="24"/>
                <w:highlight w:val="none"/>
              </w:rPr>
            </w:pPr>
          </w:p>
        </w:tc>
      </w:tr>
      <w:tr w14:paraId="14B683A8">
        <w:tblPrEx>
          <w:tblCellMar>
            <w:top w:w="0" w:type="dxa"/>
            <w:left w:w="108" w:type="dxa"/>
            <w:bottom w:w="0" w:type="dxa"/>
            <w:right w:w="108" w:type="dxa"/>
          </w:tblCellMar>
        </w:tblPrEx>
        <w:trPr>
          <w:trHeight w:val="795" w:hRule="atLeast"/>
          <w:jc w:val="center"/>
        </w:trPr>
        <w:tc>
          <w:tcPr>
            <w:tcW w:w="496" w:type="pct"/>
            <w:vMerge w:val="continue"/>
            <w:tcBorders>
              <w:left w:val="single" w:color="000000" w:sz="4" w:space="0"/>
              <w:right w:val="single" w:color="000000" w:sz="4" w:space="0"/>
            </w:tcBorders>
            <w:vAlign w:val="center"/>
          </w:tcPr>
          <w:p w14:paraId="1ABE0F7E">
            <w:pPr>
              <w:widowControl w:val="0"/>
              <w:spacing w:line="360" w:lineRule="auto"/>
              <w:jc w:val="center"/>
              <w:rPr>
                <w:rFonts w:hint="eastAsia" w:ascii="宋体" w:hAnsi="宋体" w:cs="宋体"/>
                <w:color w:val="auto"/>
                <w:sz w:val="24"/>
                <w:szCs w:val="24"/>
                <w:highlight w:val="none"/>
              </w:rPr>
            </w:pPr>
          </w:p>
        </w:tc>
        <w:tc>
          <w:tcPr>
            <w:tcW w:w="589" w:type="pct"/>
            <w:vMerge w:val="restart"/>
            <w:tcBorders>
              <w:top w:val="single" w:color="000000" w:sz="4" w:space="0"/>
              <w:left w:val="single" w:color="000000" w:sz="4" w:space="0"/>
              <w:bottom w:val="single" w:color="000000" w:sz="4" w:space="0"/>
              <w:right w:val="single" w:color="000000" w:sz="4" w:space="0"/>
            </w:tcBorders>
            <w:vAlign w:val="center"/>
          </w:tcPr>
          <w:p w14:paraId="01A58E0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日常管理</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(20分)</w:t>
            </w:r>
          </w:p>
        </w:tc>
        <w:tc>
          <w:tcPr>
            <w:tcW w:w="3138" w:type="pct"/>
            <w:tcBorders>
              <w:top w:val="single" w:color="000000" w:sz="4" w:space="0"/>
              <w:left w:val="single" w:color="000000" w:sz="4" w:space="0"/>
              <w:bottom w:val="single" w:color="000000" w:sz="4" w:space="0"/>
              <w:right w:val="single" w:color="000000" w:sz="4" w:space="0"/>
            </w:tcBorders>
            <w:vAlign w:val="center"/>
          </w:tcPr>
          <w:p w14:paraId="1F3C79CD">
            <w:pPr>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w:t>
            </w:r>
            <w:r>
              <w:rPr>
                <w:rFonts w:ascii="宋体" w:hAnsi="宋体" w:cs="宋体"/>
                <w:color w:val="auto"/>
                <w:sz w:val="24"/>
                <w:szCs w:val="24"/>
                <w:highlight w:val="none"/>
                <w:lang w:bidi="ar"/>
              </w:rPr>
              <w:t>因维修设备导致发生人员伤亡的、车辆损毁的、地下水电气管路损坏等事故的，每例扣</w:t>
            </w:r>
            <w:r>
              <w:rPr>
                <w:rFonts w:hint="eastAsia" w:ascii="宋体" w:hAnsi="宋体" w:cs="宋体"/>
                <w:color w:val="auto"/>
                <w:sz w:val="24"/>
                <w:szCs w:val="24"/>
                <w:highlight w:val="none"/>
                <w:lang w:bidi="ar"/>
              </w:rPr>
              <w:t>3</w:t>
            </w:r>
            <w:r>
              <w:rPr>
                <w:rFonts w:ascii="宋体" w:hAnsi="宋体" w:cs="宋体"/>
                <w:color w:val="auto"/>
                <w:sz w:val="24"/>
                <w:szCs w:val="24"/>
                <w:highlight w:val="none"/>
                <w:lang w:bidi="ar"/>
              </w:rPr>
              <w:t>分；未妥善解决事情，造成矛盾或影响的，每例扣</w:t>
            </w:r>
            <w:r>
              <w:rPr>
                <w:rFonts w:hint="eastAsia" w:ascii="宋体" w:hAnsi="宋体" w:cs="宋体"/>
                <w:color w:val="auto"/>
                <w:sz w:val="24"/>
                <w:szCs w:val="24"/>
                <w:highlight w:val="none"/>
                <w:lang w:bidi="ar"/>
              </w:rPr>
              <w:t>5</w:t>
            </w:r>
            <w:r>
              <w:rPr>
                <w:rFonts w:ascii="宋体" w:hAnsi="宋体" w:cs="宋体"/>
                <w:color w:val="auto"/>
                <w:sz w:val="24"/>
                <w:szCs w:val="24"/>
                <w:highlight w:val="none"/>
                <w:lang w:bidi="ar"/>
              </w:rPr>
              <w:t>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432EBF6D">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6E4B38EE">
            <w:pPr>
              <w:widowControl w:val="0"/>
              <w:spacing w:line="360" w:lineRule="auto"/>
              <w:jc w:val="center"/>
              <w:rPr>
                <w:rFonts w:hint="eastAsia" w:ascii="宋体" w:hAnsi="宋体" w:cs="宋体"/>
                <w:color w:val="auto"/>
                <w:sz w:val="24"/>
                <w:szCs w:val="24"/>
                <w:highlight w:val="none"/>
              </w:rPr>
            </w:pPr>
          </w:p>
        </w:tc>
      </w:tr>
      <w:tr w14:paraId="77BE76AB">
        <w:tblPrEx>
          <w:tblCellMar>
            <w:top w:w="0" w:type="dxa"/>
            <w:left w:w="108" w:type="dxa"/>
            <w:bottom w:w="0" w:type="dxa"/>
            <w:right w:w="108" w:type="dxa"/>
          </w:tblCellMar>
        </w:tblPrEx>
        <w:trPr>
          <w:trHeight w:val="500" w:hRule="atLeast"/>
          <w:jc w:val="center"/>
        </w:trPr>
        <w:tc>
          <w:tcPr>
            <w:tcW w:w="496" w:type="pct"/>
            <w:vMerge w:val="continue"/>
            <w:tcBorders>
              <w:left w:val="single" w:color="000000" w:sz="4" w:space="0"/>
              <w:right w:val="single" w:color="000000" w:sz="4" w:space="0"/>
            </w:tcBorders>
            <w:vAlign w:val="center"/>
          </w:tcPr>
          <w:p w14:paraId="5911B083">
            <w:pPr>
              <w:widowControl w:val="0"/>
              <w:spacing w:line="360" w:lineRule="auto"/>
              <w:jc w:val="center"/>
              <w:rPr>
                <w:rFonts w:hint="eastAsia" w:ascii="宋体" w:hAnsi="宋体" w:cs="宋体"/>
                <w:color w:val="auto"/>
                <w:sz w:val="24"/>
                <w:szCs w:val="24"/>
                <w:highlight w:val="none"/>
              </w:rPr>
            </w:pPr>
          </w:p>
        </w:tc>
        <w:tc>
          <w:tcPr>
            <w:tcW w:w="589" w:type="pct"/>
            <w:vMerge w:val="continue"/>
            <w:tcBorders>
              <w:top w:val="single" w:color="000000" w:sz="4" w:space="0"/>
              <w:left w:val="single" w:color="000000" w:sz="4" w:space="0"/>
              <w:bottom w:val="single" w:color="000000" w:sz="4" w:space="0"/>
              <w:right w:val="single" w:color="000000" w:sz="4" w:space="0"/>
            </w:tcBorders>
            <w:vAlign w:val="center"/>
          </w:tcPr>
          <w:p w14:paraId="449443A6">
            <w:pPr>
              <w:widowControl w:val="0"/>
              <w:spacing w:line="360" w:lineRule="auto"/>
              <w:jc w:val="center"/>
              <w:rPr>
                <w:rFonts w:hint="eastAsia" w:ascii="宋体" w:hAnsi="宋体" w:cs="宋体"/>
                <w:color w:val="auto"/>
                <w:sz w:val="24"/>
                <w:szCs w:val="24"/>
                <w:highlight w:val="none"/>
              </w:rPr>
            </w:pPr>
          </w:p>
        </w:tc>
        <w:tc>
          <w:tcPr>
            <w:tcW w:w="3138" w:type="pct"/>
            <w:tcBorders>
              <w:top w:val="single" w:color="000000" w:sz="4" w:space="0"/>
              <w:left w:val="single" w:color="000000" w:sz="4" w:space="0"/>
              <w:bottom w:val="single" w:color="000000" w:sz="4" w:space="0"/>
              <w:right w:val="single" w:color="000000" w:sz="4" w:space="0"/>
            </w:tcBorders>
            <w:vAlign w:val="center"/>
          </w:tcPr>
          <w:p w14:paraId="62E60264">
            <w:pPr>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w:t>
            </w:r>
            <w:r>
              <w:rPr>
                <w:rFonts w:ascii="宋体" w:hAnsi="宋体" w:cs="宋体"/>
                <w:color w:val="auto"/>
                <w:sz w:val="24"/>
                <w:szCs w:val="24"/>
                <w:highlight w:val="none"/>
                <w:lang w:bidi="ar"/>
              </w:rPr>
              <w:t>未按要求上报检修情况每例扣</w:t>
            </w:r>
            <w:r>
              <w:rPr>
                <w:rFonts w:hint="eastAsia" w:ascii="宋体" w:hAnsi="宋体" w:cs="宋体"/>
                <w:color w:val="auto"/>
                <w:sz w:val="24"/>
                <w:szCs w:val="24"/>
                <w:highlight w:val="none"/>
                <w:lang w:bidi="ar"/>
              </w:rPr>
              <w:t>1</w:t>
            </w:r>
            <w:r>
              <w:rPr>
                <w:rFonts w:ascii="宋体" w:hAnsi="宋体" w:cs="宋体"/>
                <w:color w:val="auto"/>
                <w:sz w:val="24"/>
                <w:szCs w:val="24"/>
                <w:highlight w:val="none"/>
                <w:lang w:bidi="ar"/>
              </w:rPr>
              <w:t>分；上级要求统计或上报信息不准确、不及时，每例扣</w:t>
            </w:r>
            <w:r>
              <w:rPr>
                <w:rFonts w:hint="eastAsia" w:ascii="宋体" w:hAnsi="宋体" w:cs="宋体"/>
                <w:color w:val="auto"/>
                <w:sz w:val="24"/>
                <w:szCs w:val="24"/>
                <w:highlight w:val="none"/>
                <w:lang w:bidi="ar"/>
              </w:rPr>
              <w:t>1</w:t>
            </w:r>
            <w:r>
              <w:rPr>
                <w:rFonts w:ascii="宋体" w:hAnsi="宋体" w:cs="宋体"/>
                <w:color w:val="auto"/>
                <w:sz w:val="24"/>
                <w:szCs w:val="24"/>
                <w:highlight w:val="none"/>
                <w:lang w:bidi="ar"/>
              </w:rPr>
              <w:t>分；内容严重失实、要求返工的，每例扣</w:t>
            </w:r>
            <w:r>
              <w:rPr>
                <w:rFonts w:hint="eastAsia" w:ascii="宋体" w:hAnsi="宋体" w:cs="宋体"/>
                <w:color w:val="auto"/>
                <w:sz w:val="24"/>
                <w:szCs w:val="24"/>
                <w:highlight w:val="none"/>
                <w:lang w:bidi="ar"/>
              </w:rPr>
              <w:t>2</w:t>
            </w:r>
            <w:r>
              <w:rPr>
                <w:rFonts w:ascii="宋体" w:hAnsi="宋体" w:cs="宋体"/>
                <w:color w:val="auto"/>
                <w:sz w:val="24"/>
                <w:szCs w:val="24"/>
                <w:highlight w:val="none"/>
                <w:lang w:bidi="ar"/>
              </w:rPr>
              <w:t>分；上级组织的各项活动（会议、检查等）与会人员出现迟到、早退等现象每例扣</w:t>
            </w:r>
            <w:r>
              <w:rPr>
                <w:rFonts w:hint="eastAsia" w:ascii="宋体" w:hAnsi="宋体" w:cs="宋体"/>
                <w:color w:val="auto"/>
                <w:sz w:val="24"/>
                <w:szCs w:val="24"/>
                <w:highlight w:val="none"/>
                <w:lang w:bidi="ar"/>
              </w:rPr>
              <w:t>1</w:t>
            </w:r>
            <w:r>
              <w:rPr>
                <w:rFonts w:ascii="宋体" w:hAnsi="宋体" w:cs="宋体"/>
                <w:color w:val="auto"/>
                <w:sz w:val="24"/>
                <w:szCs w:val="24"/>
                <w:highlight w:val="none"/>
                <w:lang w:bidi="ar"/>
              </w:rPr>
              <w:t>分；不请假无故缺席，每例扣</w:t>
            </w:r>
            <w:r>
              <w:rPr>
                <w:rFonts w:hint="eastAsia" w:ascii="宋体" w:hAnsi="宋体" w:cs="宋体"/>
                <w:color w:val="auto"/>
                <w:sz w:val="24"/>
                <w:szCs w:val="24"/>
                <w:highlight w:val="none"/>
                <w:lang w:bidi="ar"/>
              </w:rPr>
              <w:t>1</w:t>
            </w:r>
            <w:r>
              <w:rPr>
                <w:rFonts w:ascii="宋体" w:hAnsi="宋体" w:cs="宋体"/>
                <w:color w:val="auto"/>
                <w:sz w:val="24"/>
                <w:szCs w:val="24"/>
                <w:highlight w:val="none"/>
                <w:lang w:bidi="ar"/>
              </w:rPr>
              <w:t>分；上级组织的培训未按要求组织参加的，每次扣</w:t>
            </w:r>
            <w:r>
              <w:rPr>
                <w:rFonts w:hint="eastAsia" w:ascii="宋体" w:hAnsi="宋体" w:cs="宋体"/>
                <w:color w:val="auto"/>
                <w:sz w:val="24"/>
                <w:szCs w:val="24"/>
                <w:highlight w:val="none"/>
                <w:lang w:bidi="ar"/>
              </w:rPr>
              <w:t>1</w:t>
            </w:r>
            <w:r>
              <w:rPr>
                <w:rFonts w:ascii="宋体" w:hAnsi="宋体" w:cs="宋体"/>
                <w:color w:val="auto"/>
                <w:sz w:val="24"/>
                <w:szCs w:val="24"/>
                <w:highlight w:val="none"/>
                <w:lang w:bidi="ar"/>
              </w:rPr>
              <w:t>分；各级工作会议安排的工作不落实、问题不解决，每例扣</w:t>
            </w:r>
            <w:r>
              <w:rPr>
                <w:rFonts w:hint="eastAsia" w:ascii="宋体" w:hAnsi="宋体" w:cs="宋体"/>
                <w:color w:val="auto"/>
                <w:sz w:val="24"/>
                <w:szCs w:val="24"/>
                <w:highlight w:val="none"/>
                <w:lang w:bidi="ar"/>
              </w:rPr>
              <w:t>1</w:t>
            </w:r>
            <w:r>
              <w:rPr>
                <w:rFonts w:ascii="宋体" w:hAnsi="宋体" w:cs="宋体"/>
                <w:color w:val="auto"/>
                <w:sz w:val="24"/>
                <w:szCs w:val="24"/>
                <w:highlight w:val="none"/>
                <w:lang w:bidi="ar"/>
              </w:rPr>
              <w:t>分，情节严重、影响工作进展的，每例扣</w:t>
            </w:r>
            <w:r>
              <w:rPr>
                <w:rFonts w:hint="eastAsia" w:ascii="宋体" w:hAnsi="宋体" w:cs="宋体"/>
                <w:color w:val="auto"/>
                <w:sz w:val="24"/>
                <w:szCs w:val="24"/>
                <w:highlight w:val="none"/>
                <w:lang w:bidi="ar"/>
              </w:rPr>
              <w:t>2</w:t>
            </w:r>
            <w:r>
              <w:rPr>
                <w:rFonts w:ascii="宋体" w:hAnsi="宋体" w:cs="宋体"/>
                <w:color w:val="auto"/>
                <w:sz w:val="24"/>
                <w:szCs w:val="24"/>
                <w:highlight w:val="none"/>
                <w:lang w:bidi="ar"/>
              </w:rPr>
              <w:t>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0163408C">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05227377">
            <w:pPr>
              <w:widowControl w:val="0"/>
              <w:spacing w:line="360" w:lineRule="auto"/>
              <w:jc w:val="center"/>
              <w:rPr>
                <w:rFonts w:hint="eastAsia" w:ascii="宋体" w:hAnsi="宋体" w:cs="宋体"/>
                <w:color w:val="auto"/>
                <w:sz w:val="24"/>
                <w:szCs w:val="24"/>
                <w:highlight w:val="none"/>
              </w:rPr>
            </w:pPr>
          </w:p>
        </w:tc>
      </w:tr>
      <w:tr w14:paraId="3621D02A">
        <w:tblPrEx>
          <w:tblCellMar>
            <w:top w:w="0" w:type="dxa"/>
            <w:left w:w="108" w:type="dxa"/>
            <w:bottom w:w="0" w:type="dxa"/>
            <w:right w:w="108" w:type="dxa"/>
          </w:tblCellMar>
        </w:tblPrEx>
        <w:trPr>
          <w:trHeight w:val="388" w:hRule="atLeast"/>
          <w:jc w:val="center"/>
        </w:trPr>
        <w:tc>
          <w:tcPr>
            <w:tcW w:w="496" w:type="pct"/>
            <w:vMerge w:val="continue"/>
            <w:tcBorders>
              <w:left w:val="single" w:color="000000" w:sz="4" w:space="0"/>
              <w:right w:val="single" w:color="000000" w:sz="4" w:space="0"/>
            </w:tcBorders>
            <w:vAlign w:val="center"/>
          </w:tcPr>
          <w:p w14:paraId="5A395941">
            <w:pPr>
              <w:widowControl w:val="0"/>
              <w:spacing w:line="360" w:lineRule="auto"/>
              <w:jc w:val="center"/>
              <w:rPr>
                <w:rFonts w:hint="eastAsia" w:ascii="宋体" w:hAnsi="宋体" w:cs="宋体"/>
                <w:color w:val="auto"/>
                <w:sz w:val="24"/>
                <w:szCs w:val="24"/>
                <w:highlight w:val="none"/>
              </w:rPr>
            </w:pPr>
          </w:p>
        </w:tc>
        <w:tc>
          <w:tcPr>
            <w:tcW w:w="589" w:type="pct"/>
            <w:vMerge w:val="continue"/>
            <w:tcBorders>
              <w:top w:val="single" w:color="000000" w:sz="4" w:space="0"/>
              <w:left w:val="single" w:color="000000" w:sz="4" w:space="0"/>
              <w:bottom w:val="single" w:color="000000" w:sz="4" w:space="0"/>
              <w:right w:val="single" w:color="000000" w:sz="4" w:space="0"/>
            </w:tcBorders>
            <w:vAlign w:val="center"/>
          </w:tcPr>
          <w:p w14:paraId="52A73C13">
            <w:pPr>
              <w:widowControl w:val="0"/>
              <w:spacing w:line="360" w:lineRule="auto"/>
              <w:jc w:val="center"/>
              <w:rPr>
                <w:rFonts w:hint="eastAsia" w:ascii="宋体" w:hAnsi="宋体" w:cs="宋体"/>
                <w:color w:val="auto"/>
                <w:sz w:val="24"/>
                <w:szCs w:val="24"/>
                <w:highlight w:val="none"/>
              </w:rPr>
            </w:pPr>
          </w:p>
        </w:tc>
        <w:tc>
          <w:tcPr>
            <w:tcW w:w="3138" w:type="pct"/>
            <w:tcBorders>
              <w:top w:val="single" w:color="000000" w:sz="4" w:space="0"/>
              <w:left w:val="single" w:color="000000" w:sz="4" w:space="0"/>
              <w:bottom w:val="single" w:color="000000" w:sz="4" w:space="0"/>
              <w:right w:val="single" w:color="000000" w:sz="4" w:space="0"/>
            </w:tcBorders>
            <w:vAlign w:val="center"/>
          </w:tcPr>
          <w:p w14:paraId="01AF2D17">
            <w:pPr>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w:t>
            </w:r>
            <w:r>
              <w:rPr>
                <w:rFonts w:ascii="宋体" w:hAnsi="宋体" w:cs="宋体"/>
                <w:color w:val="auto"/>
                <w:sz w:val="24"/>
                <w:szCs w:val="24"/>
                <w:highlight w:val="none"/>
                <w:lang w:bidi="ar"/>
              </w:rPr>
              <w:t>饮酒后驾驶及具有安全隐患的上岗作业等，每发现一次扣5分。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700D6AC4">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1C00A3A1">
            <w:pPr>
              <w:widowControl w:val="0"/>
              <w:spacing w:line="360" w:lineRule="auto"/>
              <w:jc w:val="center"/>
              <w:rPr>
                <w:rFonts w:hint="eastAsia" w:ascii="宋体" w:hAnsi="宋体" w:cs="宋体"/>
                <w:color w:val="auto"/>
                <w:sz w:val="24"/>
                <w:szCs w:val="24"/>
                <w:highlight w:val="none"/>
              </w:rPr>
            </w:pPr>
          </w:p>
        </w:tc>
      </w:tr>
      <w:tr w14:paraId="791146C6">
        <w:tblPrEx>
          <w:tblCellMar>
            <w:top w:w="0" w:type="dxa"/>
            <w:left w:w="108" w:type="dxa"/>
            <w:bottom w:w="0" w:type="dxa"/>
            <w:right w:w="108" w:type="dxa"/>
          </w:tblCellMar>
        </w:tblPrEx>
        <w:trPr>
          <w:trHeight w:val="2178" w:hRule="atLeast"/>
          <w:jc w:val="center"/>
        </w:trPr>
        <w:tc>
          <w:tcPr>
            <w:tcW w:w="496" w:type="pct"/>
            <w:vMerge w:val="continue"/>
            <w:tcBorders>
              <w:left w:val="single" w:color="000000" w:sz="4" w:space="0"/>
              <w:right w:val="single" w:color="000000" w:sz="4" w:space="0"/>
            </w:tcBorders>
            <w:vAlign w:val="center"/>
          </w:tcPr>
          <w:p w14:paraId="18C36555">
            <w:pPr>
              <w:widowControl w:val="0"/>
              <w:spacing w:line="360" w:lineRule="auto"/>
              <w:jc w:val="center"/>
              <w:rPr>
                <w:rFonts w:hint="eastAsia" w:ascii="宋体" w:hAnsi="宋体" w:cs="宋体"/>
                <w:color w:val="auto"/>
                <w:sz w:val="24"/>
                <w:szCs w:val="24"/>
                <w:highlight w:val="none"/>
              </w:rPr>
            </w:pPr>
          </w:p>
        </w:tc>
        <w:tc>
          <w:tcPr>
            <w:tcW w:w="589" w:type="pct"/>
            <w:tcBorders>
              <w:top w:val="single" w:color="000000" w:sz="4" w:space="0"/>
              <w:left w:val="single" w:color="000000" w:sz="4" w:space="0"/>
              <w:bottom w:val="single" w:color="000000" w:sz="4" w:space="0"/>
              <w:right w:val="single" w:color="000000" w:sz="4" w:space="0"/>
            </w:tcBorders>
            <w:vAlign w:val="center"/>
          </w:tcPr>
          <w:p w14:paraId="3119B33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应急保障</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（10分）</w:t>
            </w:r>
          </w:p>
        </w:tc>
        <w:tc>
          <w:tcPr>
            <w:tcW w:w="3138" w:type="pct"/>
            <w:tcBorders>
              <w:top w:val="single" w:color="000000" w:sz="4" w:space="0"/>
              <w:left w:val="single" w:color="000000" w:sz="4" w:space="0"/>
              <w:bottom w:val="single" w:color="000000" w:sz="4" w:space="0"/>
              <w:right w:val="single" w:color="000000" w:sz="4" w:space="0"/>
            </w:tcBorders>
            <w:vAlign w:val="center"/>
          </w:tcPr>
          <w:p w14:paraId="646112C8">
            <w:pPr>
              <w:jc w:val="both"/>
              <w:rPr>
                <w:rFonts w:hint="eastAsia" w:ascii="宋体" w:hAnsi="宋体" w:cs="宋体"/>
                <w:color w:val="auto"/>
                <w:sz w:val="24"/>
                <w:szCs w:val="24"/>
                <w:highlight w:val="none"/>
              </w:rPr>
            </w:pPr>
            <w:r>
              <w:rPr>
                <w:rFonts w:ascii="宋体" w:hAnsi="宋体" w:cs="宋体"/>
                <w:color w:val="auto"/>
                <w:sz w:val="24"/>
                <w:szCs w:val="24"/>
                <w:highlight w:val="none"/>
                <w:lang w:bidi="ar"/>
              </w:rPr>
              <w:t>重大活动或重要保障时，职责范围内出现重大失误，影响城市形象，扣</w:t>
            </w:r>
            <w:r>
              <w:rPr>
                <w:rFonts w:hint="eastAsia" w:ascii="宋体" w:hAnsi="宋体" w:cs="宋体"/>
                <w:color w:val="auto"/>
                <w:sz w:val="24"/>
                <w:szCs w:val="24"/>
                <w:highlight w:val="none"/>
                <w:lang w:bidi="ar"/>
              </w:rPr>
              <w:t>4</w:t>
            </w:r>
            <w:r>
              <w:rPr>
                <w:rFonts w:ascii="宋体" w:hAnsi="宋体" w:cs="宋体"/>
                <w:color w:val="auto"/>
                <w:sz w:val="24"/>
                <w:szCs w:val="24"/>
                <w:highlight w:val="none"/>
                <w:lang w:bidi="ar"/>
              </w:rPr>
              <w:t>分；受到领导批评的，扣</w:t>
            </w:r>
            <w:r>
              <w:rPr>
                <w:rFonts w:ascii="Times New Roman" w:hAnsi="Times New Roman"/>
                <w:color w:val="auto"/>
                <w:sz w:val="24"/>
                <w:szCs w:val="24"/>
                <w:highlight w:val="none"/>
              </w:rPr>
              <w:t>3</w:t>
            </w:r>
            <w:r>
              <w:rPr>
                <w:rFonts w:ascii="宋体" w:hAnsi="宋体" w:cs="宋体"/>
                <w:color w:val="auto"/>
                <w:sz w:val="24"/>
                <w:szCs w:val="24"/>
                <w:highlight w:val="none"/>
                <w:lang w:bidi="ar"/>
              </w:rPr>
              <w:t>分；管理人员未履行职责，每例扣</w:t>
            </w:r>
            <w:r>
              <w:rPr>
                <w:rFonts w:hint="eastAsia" w:ascii="宋体" w:hAnsi="宋体" w:cs="宋体"/>
                <w:color w:val="auto"/>
                <w:sz w:val="24"/>
                <w:szCs w:val="24"/>
                <w:highlight w:val="none"/>
                <w:lang w:bidi="ar"/>
              </w:rPr>
              <w:t>2</w:t>
            </w:r>
            <w:r>
              <w:rPr>
                <w:rFonts w:ascii="宋体" w:hAnsi="宋体" w:cs="宋体"/>
                <w:color w:val="auto"/>
                <w:sz w:val="24"/>
                <w:szCs w:val="24"/>
                <w:highlight w:val="none"/>
                <w:lang w:bidi="ar"/>
              </w:rPr>
              <w:t>分。未认真处理项目范围内各类信访、投诉、媒体曝光、举报以及巡查下发的问题整改菜单，对于巡查下发的问题整改菜单，未在半小时内响应，未在规定时限内及时整改并回复取得投诉方满意，未在规定时限内完成整改任务，每次扣</w:t>
            </w:r>
            <w:r>
              <w:rPr>
                <w:rFonts w:hint="eastAsia" w:ascii="宋体" w:hAnsi="宋体" w:cs="宋体"/>
                <w:color w:val="auto"/>
                <w:sz w:val="24"/>
                <w:szCs w:val="24"/>
                <w:highlight w:val="none"/>
                <w:lang w:bidi="ar"/>
              </w:rPr>
              <w:t>1</w:t>
            </w:r>
            <w:r>
              <w:rPr>
                <w:rFonts w:ascii="宋体" w:hAnsi="宋体" w:cs="宋体"/>
                <w:color w:val="auto"/>
                <w:sz w:val="24"/>
                <w:szCs w:val="24"/>
                <w:highlight w:val="none"/>
                <w:lang w:bidi="ar"/>
              </w:rPr>
              <w:t>分；未服从管理和指挥，未遵守各项管理制度，未服从安排的临时管养任务，每次扣</w:t>
            </w:r>
            <w:r>
              <w:rPr>
                <w:rFonts w:hint="eastAsia" w:ascii="宋体" w:hAnsi="宋体" w:cs="宋体"/>
                <w:color w:val="auto"/>
                <w:sz w:val="24"/>
                <w:szCs w:val="24"/>
                <w:highlight w:val="none"/>
                <w:lang w:bidi="ar"/>
              </w:rPr>
              <w:t>1</w:t>
            </w:r>
            <w:r>
              <w:rPr>
                <w:rFonts w:ascii="宋体" w:hAnsi="宋体" w:cs="宋体"/>
                <w:color w:val="auto"/>
                <w:sz w:val="24"/>
                <w:szCs w:val="24"/>
                <w:highlight w:val="none"/>
                <w:lang w:bidi="ar"/>
              </w:rPr>
              <w:t>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4C853077">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04D46CA3">
            <w:pPr>
              <w:widowControl w:val="0"/>
              <w:spacing w:line="360" w:lineRule="auto"/>
              <w:jc w:val="center"/>
              <w:rPr>
                <w:rFonts w:hint="eastAsia" w:ascii="宋体" w:hAnsi="宋体" w:cs="宋体"/>
                <w:color w:val="auto"/>
                <w:sz w:val="24"/>
                <w:szCs w:val="24"/>
                <w:highlight w:val="none"/>
              </w:rPr>
            </w:pPr>
          </w:p>
        </w:tc>
      </w:tr>
      <w:tr w14:paraId="0137F2C7">
        <w:tblPrEx>
          <w:tblCellMar>
            <w:top w:w="0" w:type="dxa"/>
            <w:left w:w="108" w:type="dxa"/>
            <w:bottom w:w="0" w:type="dxa"/>
            <w:right w:w="108" w:type="dxa"/>
          </w:tblCellMar>
        </w:tblPrEx>
        <w:trPr>
          <w:trHeight w:val="528" w:hRule="atLeast"/>
          <w:jc w:val="center"/>
        </w:trPr>
        <w:tc>
          <w:tcPr>
            <w:tcW w:w="496" w:type="pct"/>
            <w:vMerge w:val="continue"/>
            <w:tcBorders>
              <w:left w:val="single" w:color="000000" w:sz="4" w:space="0"/>
              <w:bottom w:val="single" w:color="000000" w:sz="4" w:space="0"/>
              <w:right w:val="single" w:color="000000" w:sz="4" w:space="0"/>
            </w:tcBorders>
            <w:vAlign w:val="center"/>
          </w:tcPr>
          <w:p w14:paraId="2248995D">
            <w:pPr>
              <w:widowControl w:val="0"/>
              <w:spacing w:line="360" w:lineRule="auto"/>
              <w:jc w:val="center"/>
              <w:rPr>
                <w:rFonts w:hint="eastAsia" w:ascii="宋体" w:hAnsi="宋体" w:cs="宋体"/>
                <w:color w:val="auto"/>
                <w:sz w:val="24"/>
                <w:szCs w:val="24"/>
                <w:highlight w:val="none"/>
              </w:rPr>
            </w:pPr>
          </w:p>
        </w:tc>
        <w:tc>
          <w:tcPr>
            <w:tcW w:w="589" w:type="pct"/>
            <w:tcBorders>
              <w:top w:val="single" w:color="000000" w:sz="4" w:space="0"/>
              <w:left w:val="single" w:color="000000" w:sz="4" w:space="0"/>
              <w:bottom w:val="single" w:color="000000" w:sz="4" w:space="0"/>
              <w:right w:val="single" w:color="000000" w:sz="4" w:space="0"/>
            </w:tcBorders>
            <w:vAlign w:val="center"/>
          </w:tcPr>
          <w:p w14:paraId="34251A9C">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责任落实</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(10分)</w:t>
            </w:r>
          </w:p>
        </w:tc>
        <w:tc>
          <w:tcPr>
            <w:tcW w:w="3138" w:type="pct"/>
            <w:tcBorders>
              <w:top w:val="single" w:color="000000" w:sz="4" w:space="0"/>
              <w:left w:val="single" w:color="000000" w:sz="4" w:space="0"/>
              <w:bottom w:val="single" w:color="000000" w:sz="4" w:space="0"/>
              <w:right w:val="single" w:color="000000" w:sz="4" w:space="0"/>
            </w:tcBorders>
            <w:vAlign w:val="center"/>
          </w:tcPr>
          <w:p w14:paraId="654A6F95">
            <w:pPr>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市、区两级城市治理考核中涉及设备维修的失分，加倍扣分。</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461B04D9">
            <w:pPr>
              <w:widowControl w:val="0"/>
              <w:spacing w:line="360" w:lineRule="auto"/>
              <w:jc w:val="center"/>
              <w:rPr>
                <w:rFonts w:hint="eastAsia" w:ascii="宋体" w:hAnsi="宋体" w:cs="宋体"/>
                <w:color w:val="auto"/>
                <w:sz w:val="24"/>
                <w:szCs w:val="24"/>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13666169">
            <w:pPr>
              <w:widowControl w:val="0"/>
              <w:spacing w:line="360" w:lineRule="auto"/>
              <w:jc w:val="center"/>
              <w:rPr>
                <w:rFonts w:hint="eastAsia" w:ascii="宋体" w:hAnsi="宋体" w:cs="宋体"/>
                <w:color w:val="auto"/>
                <w:sz w:val="24"/>
                <w:szCs w:val="24"/>
                <w:highlight w:val="none"/>
              </w:rPr>
            </w:pPr>
          </w:p>
        </w:tc>
      </w:tr>
    </w:tbl>
    <w:p w14:paraId="3DD2A377">
      <w:pPr>
        <w:pStyle w:val="3"/>
        <w:keepNext w:val="0"/>
        <w:keepLines w:val="0"/>
        <w:widowControl w:val="0"/>
        <w:rPr>
          <w:color w:val="auto"/>
          <w:highlight w:val="none"/>
        </w:rPr>
      </w:pPr>
    </w:p>
    <w:p w14:paraId="07715C39">
      <w:pPr>
        <w:pStyle w:val="3"/>
        <w:keepNext w:val="0"/>
        <w:keepLines w:val="0"/>
        <w:widowControl w:val="0"/>
        <w:rPr>
          <w:color w:val="auto"/>
          <w:highlight w:val="none"/>
        </w:rPr>
      </w:pPr>
    </w:p>
    <w:p w14:paraId="608BE8E7">
      <w:pPr>
        <w:pStyle w:val="3"/>
        <w:keepNext w:val="0"/>
        <w:keepLines w:val="0"/>
        <w:widowControl w:val="0"/>
        <w:rPr>
          <w:color w:val="auto"/>
          <w:highlight w:val="none"/>
        </w:rPr>
      </w:pPr>
      <w:r>
        <w:rPr>
          <w:rFonts w:hint="eastAsia"/>
          <w:color w:val="auto"/>
          <w:highlight w:val="none"/>
        </w:rPr>
        <w:t>第五章  合同主要条款及格式</w:t>
      </w:r>
    </w:p>
    <w:p w14:paraId="0E654283">
      <w:pPr>
        <w:pStyle w:val="25"/>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（参考格式，以最终签订为准）</w:t>
      </w:r>
    </w:p>
    <w:p w14:paraId="064FDBDA">
      <w:pPr>
        <w:rPr>
          <w:color w:val="auto"/>
          <w:highlight w:val="none"/>
        </w:rPr>
      </w:pPr>
    </w:p>
    <w:p w14:paraId="376FF005">
      <w:pPr>
        <w:pStyle w:val="8"/>
        <w:spacing w:line="360" w:lineRule="auto"/>
        <w:ind w:right="80"/>
        <w:jc w:val="center"/>
        <w:rPr>
          <w:rFonts w:hint="eastAsia" w:hAnsi="宋体" w:cs="宋体"/>
          <w:b/>
          <w:color w:val="auto"/>
          <w:sz w:val="44"/>
          <w:szCs w:val="44"/>
          <w:highlight w:val="none"/>
          <w:lang w:val="zh-CN"/>
        </w:rPr>
      </w:pPr>
    </w:p>
    <w:p w14:paraId="524DDFC7">
      <w:pPr>
        <w:pStyle w:val="8"/>
        <w:spacing w:line="360" w:lineRule="auto"/>
        <w:ind w:right="80"/>
        <w:jc w:val="center"/>
        <w:rPr>
          <w:rFonts w:hint="eastAsia" w:hAnsi="宋体" w:cs="宋体"/>
          <w:b/>
          <w:color w:val="auto"/>
          <w:sz w:val="44"/>
          <w:szCs w:val="44"/>
          <w:highlight w:val="none"/>
          <w:lang w:val="zh-CN"/>
        </w:rPr>
      </w:pPr>
    </w:p>
    <w:p w14:paraId="2950D5CA">
      <w:pPr>
        <w:pStyle w:val="25"/>
        <w:spacing w:line="360" w:lineRule="auto"/>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 xml:space="preserve"> 服 务 合 同  </w:t>
      </w:r>
    </w:p>
    <w:p w14:paraId="27E4DB93">
      <w:pPr>
        <w:pStyle w:val="25"/>
        <w:spacing w:line="504" w:lineRule="auto"/>
        <w:rPr>
          <w:rFonts w:hint="eastAsia" w:ascii="宋体" w:hAnsi="宋体" w:eastAsia="宋体" w:cs="宋体"/>
          <w:b/>
          <w:bCs/>
          <w:color w:val="auto"/>
          <w:sz w:val="36"/>
          <w:szCs w:val="36"/>
          <w:highlight w:val="none"/>
        </w:rPr>
      </w:pPr>
    </w:p>
    <w:p w14:paraId="291F7EEE">
      <w:pPr>
        <w:pStyle w:val="25"/>
        <w:spacing w:line="504" w:lineRule="auto"/>
        <w:rPr>
          <w:rFonts w:hint="eastAsia" w:ascii="宋体" w:hAnsi="宋体" w:eastAsia="宋体" w:cs="宋体"/>
          <w:b/>
          <w:color w:val="auto"/>
          <w:spacing w:val="6"/>
          <w:sz w:val="30"/>
          <w:highlight w:val="none"/>
        </w:rPr>
      </w:pPr>
    </w:p>
    <w:p w14:paraId="2A6C587E">
      <w:pPr>
        <w:pStyle w:val="25"/>
        <w:spacing w:line="504" w:lineRule="auto"/>
        <w:rPr>
          <w:rFonts w:hint="eastAsia" w:ascii="宋体" w:hAnsi="宋体" w:eastAsia="宋体" w:cs="宋体"/>
          <w:b/>
          <w:color w:val="auto"/>
          <w:spacing w:val="6"/>
          <w:sz w:val="30"/>
          <w:highlight w:val="none"/>
        </w:rPr>
      </w:pPr>
    </w:p>
    <w:p w14:paraId="1B4E8447">
      <w:pPr>
        <w:pStyle w:val="25"/>
        <w:spacing w:line="504" w:lineRule="auto"/>
        <w:rPr>
          <w:rFonts w:hint="eastAsia" w:ascii="宋体" w:hAnsi="宋体" w:eastAsia="宋体" w:cs="宋体"/>
          <w:b/>
          <w:color w:val="auto"/>
          <w:spacing w:val="6"/>
          <w:sz w:val="30"/>
          <w:highlight w:val="none"/>
        </w:rPr>
      </w:pPr>
    </w:p>
    <w:p w14:paraId="48147A65">
      <w:pPr>
        <w:pStyle w:val="25"/>
        <w:spacing w:line="504" w:lineRule="auto"/>
        <w:rPr>
          <w:rFonts w:hint="eastAsia" w:ascii="宋体" w:hAnsi="宋体" w:eastAsia="宋体" w:cs="宋体"/>
          <w:color w:val="auto"/>
          <w:sz w:val="30"/>
          <w:szCs w:val="30"/>
          <w:highlight w:val="none"/>
          <w:u w:val="single"/>
        </w:rPr>
      </w:pPr>
      <w:r>
        <w:rPr>
          <w:rFonts w:hint="eastAsia" w:ascii="宋体" w:hAnsi="宋体" w:eastAsia="宋体" w:cs="宋体"/>
          <w:b/>
          <w:color w:val="auto"/>
          <w:spacing w:val="6"/>
          <w:sz w:val="30"/>
          <w:highlight w:val="none"/>
        </w:rPr>
        <w:t>项目名</w:t>
      </w:r>
      <w:r>
        <w:rPr>
          <w:rFonts w:hint="eastAsia" w:ascii="宋体" w:hAnsi="宋体" w:eastAsia="宋体" w:cs="宋体"/>
          <w:b/>
          <w:color w:val="auto"/>
          <w:sz w:val="30"/>
          <w:highlight w:val="none"/>
        </w:rPr>
        <w:t>称</w:t>
      </w:r>
      <w:r>
        <w:rPr>
          <w:rFonts w:hint="eastAsia" w:ascii="宋体" w:hAnsi="宋体" w:eastAsia="宋体" w:cs="宋体"/>
          <w:color w:val="auto"/>
          <w:sz w:val="30"/>
          <w:szCs w:val="30"/>
          <w:highlight w:val="none"/>
        </w:rPr>
        <w:t>：</w:t>
      </w:r>
      <w:r>
        <w:rPr>
          <w:rFonts w:hint="eastAsia" w:ascii="宋体" w:hAnsi="宋体" w:eastAsia="宋体" w:cs="宋体"/>
          <w:b/>
          <w:color w:val="auto"/>
          <w:sz w:val="30"/>
          <w:highlight w:val="none"/>
        </w:rPr>
        <w:t>迈皋桥街道垃圾分类智能设备投口改造及维保服务</w:t>
      </w:r>
    </w:p>
    <w:p w14:paraId="3A8DFF96">
      <w:pPr>
        <w:pStyle w:val="25"/>
        <w:spacing w:line="504" w:lineRule="auto"/>
        <w:rPr>
          <w:rFonts w:hint="eastAsia" w:ascii="宋体" w:hAnsi="宋体" w:eastAsia="宋体" w:cs="宋体"/>
          <w:b/>
          <w:color w:val="auto"/>
          <w:sz w:val="30"/>
          <w:highlight w:val="none"/>
        </w:rPr>
      </w:pPr>
      <w:r>
        <w:rPr>
          <w:rFonts w:hint="eastAsia" w:ascii="宋体" w:hAnsi="宋体" w:eastAsia="宋体" w:cs="宋体"/>
          <w:b/>
          <w:color w:val="auto"/>
          <w:sz w:val="30"/>
          <w:highlight w:val="none"/>
        </w:rPr>
        <w:t>使用单位（甲方）：南京市栖霞区人民政府迈皋桥街道办事处</w:t>
      </w:r>
    </w:p>
    <w:p w14:paraId="1C012788">
      <w:pPr>
        <w:pStyle w:val="25"/>
        <w:spacing w:line="504" w:lineRule="auto"/>
        <w:rPr>
          <w:rFonts w:hint="eastAsia" w:ascii="宋体" w:hAnsi="宋体" w:eastAsia="宋体" w:cs="宋体"/>
          <w:b/>
          <w:color w:val="auto"/>
          <w:sz w:val="30"/>
          <w:highlight w:val="none"/>
        </w:rPr>
      </w:pPr>
      <w:r>
        <w:rPr>
          <w:rFonts w:hint="eastAsia" w:ascii="宋体" w:hAnsi="宋体" w:eastAsia="宋体" w:cs="宋体"/>
          <w:b/>
          <w:color w:val="auto"/>
          <w:sz w:val="30"/>
          <w:highlight w:val="none"/>
        </w:rPr>
        <w:t>服务单位（乙方）：</w:t>
      </w:r>
    </w:p>
    <w:p w14:paraId="34C7FDCC">
      <w:pPr>
        <w:pStyle w:val="25"/>
        <w:spacing w:line="504" w:lineRule="auto"/>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签订日期</w:t>
      </w:r>
      <w:r>
        <w:rPr>
          <w:rFonts w:hint="eastAsia" w:ascii="宋体" w:hAnsi="宋体" w:eastAsia="宋体" w:cs="宋体"/>
          <w:color w:val="auto"/>
          <w:sz w:val="30"/>
          <w:szCs w:val="30"/>
          <w:highlight w:val="none"/>
        </w:rPr>
        <w:t>：</w:t>
      </w:r>
    </w:p>
    <w:p w14:paraId="7CD8AC68">
      <w:pPr>
        <w:pStyle w:val="25"/>
        <w:spacing w:line="504" w:lineRule="auto"/>
        <w:rPr>
          <w:rFonts w:hint="eastAsia" w:ascii="宋体" w:hAnsi="宋体" w:eastAsia="宋体" w:cs="宋体"/>
          <w:color w:val="auto"/>
          <w:sz w:val="30"/>
          <w:szCs w:val="30"/>
          <w:highlight w:val="none"/>
        </w:rPr>
      </w:pPr>
    </w:p>
    <w:p w14:paraId="2FB4F567">
      <w:pPr>
        <w:pStyle w:val="25"/>
        <w:spacing w:line="504" w:lineRule="auto"/>
        <w:rPr>
          <w:rFonts w:hint="eastAsia" w:ascii="宋体" w:hAnsi="宋体" w:eastAsia="宋体" w:cs="宋体"/>
          <w:color w:val="auto"/>
          <w:sz w:val="30"/>
          <w:szCs w:val="30"/>
          <w:highlight w:val="none"/>
        </w:rPr>
      </w:pPr>
    </w:p>
    <w:p w14:paraId="2D27E0B8">
      <w:pPr>
        <w:pStyle w:val="6"/>
        <w:rPr>
          <w:color w:val="auto"/>
          <w:highlight w:val="none"/>
        </w:rPr>
      </w:pPr>
    </w:p>
    <w:p w14:paraId="33242A88">
      <w:pPr>
        <w:rPr>
          <w:color w:val="auto"/>
          <w:highlight w:val="none"/>
        </w:rPr>
      </w:pPr>
    </w:p>
    <w:p w14:paraId="40F0838D">
      <w:pPr>
        <w:pStyle w:val="19"/>
        <w:rPr>
          <w:color w:val="auto"/>
          <w:highlight w:val="none"/>
        </w:rPr>
      </w:pPr>
    </w:p>
    <w:p w14:paraId="47724F2E">
      <w:pPr>
        <w:pStyle w:val="19"/>
        <w:rPr>
          <w:color w:val="auto"/>
          <w:highlight w:val="none"/>
        </w:rPr>
      </w:pPr>
    </w:p>
    <w:p w14:paraId="3641E74D">
      <w:pPr>
        <w:pStyle w:val="19"/>
        <w:rPr>
          <w:color w:val="auto"/>
          <w:highlight w:val="none"/>
        </w:rPr>
      </w:pPr>
    </w:p>
    <w:tbl>
      <w:tblPr>
        <w:tblStyle w:val="13"/>
        <w:tblW w:w="9286" w:type="dxa"/>
        <w:tblInd w:w="2" w:type="dxa"/>
        <w:tblLayout w:type="fixed"/>
        <w:tblCellMar>
          <w:top w:w="0" w:type="dxa"/>
          <w:left w:w="0" w:type="dxa"/>
          <w:bottom w:w="0" w:type="dxa"/>
          <w:right w:w="0" w:type="dxa"/>
        </w:tblCellMar>
      </w:tblPr>
      <w:tblGrid>
        <w:gridCol w:w="4643"/>
        <w:gridCol w:w="4643"/>
      </w:tblGrid>
      <w:tr w14:paraId="2161FFFD">
        <w:tblPrEx>
          <w:tblCellMar>
            <w:top w:w="0" w:type="dxa"/>
            <w:left w:w="0" w:type="dxa"/>
            <w:bottom w:w="0" w:type="dxa"/>
            <w:right w:w="0" w:type="dxa"/>
          </w:tblCellMar>
        </w:tblPrEx>
        <w:tc>
          <w:tcPr>
            <w:tcW w:w="4643" w:type="dxa"/>
            <w:tcBorders>
              <w:top w:val="nil"/>
              <w:left w:val="nil"/>
              <w:bottom w:val="nil"/>
              <w:right w:val="nil"/>
            </w:tcBorders>
            <w:noWrap/>
          </w:tcPr>
          <w:p w14:paraId="67111109">
            <w:pPr>
              <w:widowControl w:val="0"/>
              <w:spacing w:line="360" w:lineRule="auto"/>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甲方：（以下称甲方）</w:t>
            </w:r>
          </w:p>
        </w:tc>
        <w:tc>
          <w:tcPr>
            <w:tcW w:w="4643" w:type="dxa"/>
            <w:tcBorders>
              <w:top w:val="nil"/>
              <w:left w:val="nil"/>
              <w:bottom w:val="nil"/>
              <w:right w:val="nil"/>
            </w:tcBorders>
            <w:noWrap/>
          </w:tcPr>
          <w:p w14:paraId="3CFAEDED">
            <w:pPr>
              <w:widowControl w:val="0"/>
              <w:spacing w:line="360" w:lineRule="auto"/>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乙方：（以下称乙方）</w:t>
            </w:r>
          </w:p>
        </w:tc>
      </w:tr>
      <w:tr w14:paraId="473BE864">
        <w:tblPrEx>
          <w:tblCellMar>
            <w:top w:w="0" w:type="dxa"/>
            <w:left w:w="0" w:type="dxa"/>
            <w:bottom w:w="0" w:type="dxa"/>
            <w:right w:w="0" w:type="dxa"/>
          </w:tblCellMar>
        </w:tblPrEx>
        <w:tc>
          <w:tcPr>
            <w:tcW w:w="4643" w:type="dxa"/>
            <w:tcBorders>
              <w:top w:val="nil"/>
              <w:left w:val="nil"/>
              <w:bottom w:val="nil"/>
              <w:right w:val="nil"/>
            </w:tcBorders>
            <w:noWrap/>
          </w:tcPr>
          <w:p w14:paraId="0DFA4279">
            <w:pPr>
              <w:widowControl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住所地：</w:t>
            </w:r>
          </w:p>
        </w:tc>
        <w:tc>
          <w:tcPr>
            <w:tcW w:w="4643" w:type="dxa"/>
            <w:tcBorders>
              <w:top w:val="nil"/>
              <w:left w:val="nil"/>
              <w:bottom w:val="nil"/>
              <w:right w:val="nil"/>
            </w:tcBorders>
            <w:noWrap/>
          </w:tcPr>
          <w:p w14:paraId="3FC264B4">
            <w:pPr>
              <w:widowControl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住所地：</w:t>
            </w:r>
          </w:p>
        </w:tc>
      </w:tr>
    </w:tbl>
    <w:p w14:paraId="6FF331BC">
      <w:pPr>
        <w:widowControl w:val="0"/>
        <w:adjustRightInd w:val="0"/>
        <w:snapToGrid w:val="0"/>
        <w:spacing w:line="336"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根据《中华人民共和国民法典》等法律法规的规定，甲乙双方按照采购代理机构的</w:t>
      </w:r>
      <w:r>
        <w:rPr>
          <w:rFonts w:hint="eastAsia" w:ascii="宋体" w:hAnsi="宋体" w:cs="宋体"/>
          <w:color w:val="auto"/>
          <w:sz w:val="24"/>
          <w:szCs w:val="24"/>
          <w:highlight w:val="none"/>
        </w:rPr>
        <w:t>采购</w:t>
      </w:r>
      <w:r>
        <w:rPr>
          <w:rFonts w:hint="eastAsia" w:ascii="宋体" w:hAnsi="宋体" w:cs="宋体"/>
          <w:color w:val="auto"/>
          <w:sz w:val="24"/>
          <w:szCs w:val="24"/>
          <w:highlight w:val="none"/>
          <w:lang w:val="zh-CN"/>
        </w:rPr>
        <w:t xml:space="preserve">结果签订本合同。 </w:t>
      </w:r>
    </w:p>
    <w:p w14:paraId="3FCFD12D">
      <w:pPr>
        <w:widowControl w:val="0"/>
        <w:adjustRightInd w:val="0"/>
        <w:snapToGrid w:val="0"/>
        <w:spacing w:line="336" w:lineRule="auto"/>
        <w:ind w:firstLine="482" w:firstLineChars="200"/>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zh-CN"/>
        </w:rPr>
        <w:t>第一条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合同标的</w:t>
      </w:r>
    </w:p>
    <w:p w14:paraId="5AC8F82A">
      <w:pPr>
        <w:widowControl w:val="0"/>
        <w:adjustRightInd w:val="0"/>
        <w:snapToGrid w:val="0"/>
        <w:spacing w:line="336"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1、乙方根据甲方需求提供下列服务：迈皋桥街道垃圾分类智能设备投口改造及维保服务。</w:t>
      </w:r>
    </w:p>
    <w:p w14:paraId="2D198DA7">
      <w:pPr>
        <w:widowControl w:val="0"/>
        <w:adjustRightInd w:val="0"/>
        <w:snapToGrid w:val="0"/>
        <w:spacing w:line="336" w:lineRule="auto"/>
        <w:ind w:firstLine="480" w:firstLineChars="200"/>
        <w:jc w:val="both"/>
        <w:rPr>
          <w:rFonts w:hint="eastAsia" w:ascii="宋体" w:hAnsi="宋体" w:cs="宋体"/>
          <w:b/>
          <w:bCs/>
          <w:color w:val="auto"/>
          <w:sz w:val="24"/>
          <w:szCs w:val="24"/>
          <w:highlight w:val="none"/>
          <w:lang w:val="zh-CN"/>
        </w:rPr>
      </w:pPr>
      <w:r>
        <w:rPr>
          <w:rFonts w:hint="eastAsia" w:ascii="宋体" w:hAnsi="宋体" w:cs="宋体"/>
          <w:color w:val="auto"/>
          <w:sz w:val="24"/>
          <w:szCs w:val="24"/>
          <w:highlight w:val="none"/>
          <w:lang w:val="zh-CN"/>
        </w:rPr>
        <w:t>2、具体服务执行要求详见竞争性磋商文件及乙方响应文件。</w:t>
      </w:r>
    </w:p>
    <w:p w14:paraId="220AC7DC">
      <w:pPr>
        <w:widowControl w:val="0"/>
        <w:adjustRightInd w:val="0"/>
        <w:snapToGrid w:val="0"/>
        <w:spacing w:line="336" w:lineRule="auto"/>
        <w:ind w:firstLine="482" w:firstLineChars="200"/>
        <w:jc w:val="both"/>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第二条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合同总价款</w:t>
      </w:r>
    </w:p>
    <w:p w14:paraId="5CC649C7">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1、本合同项下服务总价款为（大写）</w:t>
      </w:r>
      <w:r>
        <w:rPr>
          <w:rFonts w:hint="eastAsia" w:ascii="宋体" w:hAnsi="宋体" w:cs="宋体"/>
          <w:color w:val="auto"/>
          <w:sz w:val="24"/>
          <w:szCs w:val="24"/>
          <w:highlight w:val="none"/>
          <w:u w:val="single"/>
          <w:lang w:val="zh-CN"/>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ab/>
      </w:r>
      <w:r>
        <w:rPr>
          <w:rFonts w:hint="eastAsia" w:ascii="宋体" w:hAnsi="宋体" w:cs="宋体"/>
          <w:color w:val="auto"/>
          <w:sz w:val="24"/>
          <w:szCs w:val="24"/>
          <w:highlight w:val="none"/>
          <w:lang w:val="zh-CN"/>
        </w:rPr>
        <w:t>）。</w:t>
      </w:r>
    </w:p>
    <w:p w14:paraId="41DA4652">
      <w:pPr>
        <w:widowControl w:val="0"/>
        <w:adjustRightInd w:val="0"/>
        <w:snapToGrid w:val="0"/>
        <w:spacing w:line="336"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其中：投口改造合同价：</w:t>
      </w:r>
      <w:r>
        <w:rPr>
          <w:rFonts w:hint="eastAsia" w:ascii="宋体" w:hAnsi="宋体" w:cs="宋体"/>
          <w:color w:val="auto"/>
          <w:sz w:val="24"/>
          <w:szCs w:val="24"/>
          <w:highlight w:val="none"/>
          <w:lang w:val="zh-CN"/>
        </w:rPr>
        <w:t>（大写）</w:t>
      </w:r>
      <w:r>
        <w:rPr>
          <w:rFonts w:hint="eastAsia" w:ascii="宋体" w:hAnsi="宋体" w:cs="宋体"/>
          <w:color w:val="auto"/>
          <w:sz w:val="24"/>
          <w:szCs w:val="24"/>
          <w:highlight w:val="none"/>
          <w:u w:val="single"/>
          <w:lang w:val="zh-CN"/>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ab/>
      </w:r>
      <w:r>
        <w:rPr>
          <w:rFonts w:hint="eastAsia" w:ascii="宋体" w:hAnsi="宋体" w:cs="宋体"/>
          <w:color w:val="auto"/>
          <w:sz w:val="24"/>
          <w:szCs w:val="24"/>
          <w:highlight w:val="none"/>
          <w:lang w:val="zh-CN"/>
        </w:rPr>
        <w:t>）；</w:t>
      </w:r>
    </w:p>
    <w:p w14:paraId="00F36644">
      <w:pPr>
        <w:widowControl w:val="0"/>
        <w:adjustRightInd w:val="0"/>
        <w:snapToGrid w:val="0"/>
        <w:spacing w:line="336" w:lineRule="auto"/>
        <w:ind w:firstLine="1200" w:firstLineChars="5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维保服务合同价：</w:t>
      </w:r>
      <w:r>
        <w:rPr>
          <w:rFonts w:hint="eastAsia" w:ascii="宋体" w:hAnsi="宋体" w:cs="宋体"/>
          <w:color w:val="auto"/>
          <w:sz w:val="24"/>
          <w:szCs w:val="24"/>
          <w:highlight w:val="none"/>
          <w:lang w:val="zh-CN"/>
        </w:rPr>
        <w:t>（大写）</w:t>
      </w:r>
      <w:r>
        <w:rPr>
          <w:rFonts w:hint="eastAsia" w:ascii="宋体" w:hAnsi="宋体" w:cs="宋体"/>
          <w:color w:val="auto"/>
          <w:sz w:val="24"/>
          <w:szCs w:val="24"/>
          <w:highlight w:val="none"/>
          <w:u w:val="single"/>
          <w:lang w:val="zh-CN"/>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ab/>
      </w:r>
      <w:r>
        <w:rPr>
          <w:rFonts w:hint="eastAsia" w:ascii="宋体" w:hAnsi="宋体" w:cs="宋体"/>
          <w:color w:val="auto"/>
          <w:sz w:val="24"/>
          <w:szCs w:val="24"/>
          <w:highlight w:val="none"/>
          <w:lang w:val="zh-CN"/>
        </w:rPr>
        <w:t>）；</w:t>
      </w:r>
    </w:p>
    <w:p w14:paraId="05DD064F">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分项价款在乙方“响应文件价格部分”中有明确规定。 </w:t>
      </w:r>
    </w:p>
    <w:p w14:paraId="4CD8071B">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2、本合同总价款是完成本项目所发生的所有含税费用、支付给员工的工资和国家强制缴纳的各种社会保障资金，以及乙方认为需要的其他费用等。 </w:t>
      </w:r>
    </w:p>
    <w:p w14:paraId="7ED682B6">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3、本项目采用固定综合单价报价</w:t>
      </w:r>
      <w:r>
        <w:rPr>
          <w:rFonts w:hint="eastAsia" w:ascii="宋体" w:hAnsi="宋体" w:cs="宋体"/>
          <w:color w:val="auto"/>
          <w:sz w:val="24"/>
          <w:szCs w:val="24"/>
          <w:highlight w:val="none"/>
        </w:rPr>
        <w:t xml:space="preserve">。 </w:t>
      </w:r>
    </w:p>
    <w:p w14:paraId="2C448731">
      <w:pPr>
        <w:widowControl w:val="0"/>
        <w:adjustRightInd w:val="0"/>
        <w:snapToGrid w:val="0"/>
        <w:spacing w:line="336" w:lineRule="auto"/>
        <w:ind w:firstLine="482" w:firstLineChars="200"/>
        <w:jc w:val="both"/>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第三条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组成本合同的有关文件</w:t>
      </w:r>
      <w:r>
        <w:rPr>
          <w:rFonts w:hint="eastAsia" w:ascii="宋体" w:hAnsi="宋体" w:cs="宋体"/>
          <w:color w:val="auto"/>
          <w:sz w:val="24"/>
          <w:szCs w:val="24"/>
          <w:highlight w:val="none"/>
          <w:lang w:val="zh-CN"/>
        </w:rPr>
        <w:tab/>
      </w:r>
    </w:p>
    <w:p w14:paraId="2BD4B9A6">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下列关于竞争性磋商文件或与本次采购活动方式相适应的文件及有关附件是本合同不可分割的组成部分，与本合同具有同等法律效力，这些文件包括但不限于： </w:t>
      </w:r>
    </w:p>
    <w:p w14:paraId="3AC62BB5">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1、采购合同；</w:t>
      </w:r>
    </w:p>
    <w:p w14:paraId="5BB67222">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2、乙方提供的响应文件和响应文件价格部分； </w:t>
      </w:r>
    </w:p>
    <w:p w14:paraId="15158E45">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3、技术条款偏离表； </w:t>
      </w:r>
    </w:p>
    <w:p w14:paraId="7A3F5F3D">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4、投标承诺/服务承诺； </w:t>
      </w:r>
    </w:p>
    <w:p w14:paraId="75E9A939">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5、成交结果通知书； </w:t>
      </w:r>
    </w:p>
    <w:p w14:paraId="182DF338">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6、甲乙双方商定的其他文件等。</w:t>
      </w:r>
    </w:p>
    <w:p w14:paraId="1AF4175B">
      <w:pPr>
        <w:widowControl w:val="0"/>
        <w:adjustRightInd w:val="0"/>
        <w:snapToGrid w:val="0"/>
        <w:spacing w:line="336" w:lineRule="auto"/>
        <w:ind w:firstLine="482" w:firstLineChars="200"/>
        <w:jc w:val="both"/>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第四条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权利保证</w:t>
      </w:r>
    </w:p>
    <w:p w14:paraId="42896D26">
      <w:pPr>
        <w:widowControl w:val="0"/>
        <w:adjustRightInd w:val="0"/>
        <w:snapToGrid w:val="0"/>
        <w:spacing w:line="336" w:lineRule="auto"/>
        <w:ind w:firstLine="480" w:firstLineChars="200"/>
        <w:jc w:val="both"/>
        <w:rPr>
          <w:rFonts w:hint="eastAsia" w:ascii="time" w:hAnsi="time" w:cs="宋体"/>
          <w:color w:val="auto"/>
          <w:sz w:val="24"/>
          <w:szCs w:val="24"/>
          <w:highlight w:val="none"/>
        </w:rPr>
      </w:pPr>
      <w:r>
        <w:rPr>
          <w:rFonts w:hint="eastAsia" w:ascii="time" w:hAnsi="time" w:cs="宋体"/>
          <w:color w:val="auto"/>
          <w:sz w:val="24"/>
          <w:szCs w:val="24"/>
          <w:highlight w:val="none"/>
        </w:rPr>
        <w:t>乙方需保证提供的商品、服务不存在任何法律纠纷，甲方在使用该商品或服务以及其中的任何一部分时，不侵犯任何的专利权、商标权、工业设计权或其他知识产权，如收到来自第三方的侵权诉讼或索赔，所有责任及由此造成的损失由乙方承担。</w:t>
      </w:r>
    </w:p>
    <w:p w14:paraId="45406829">
      <w:pPr>
        <w:widowControl w:val="0"/>
        <w:adjustRightInd w:val="0"/>
        <w:snapToGrid w:val="0"/>
        <w:spacing w:line="336" w:lineRule="auto"/>
        <w:ind w:firstLine="482" w:firstLineChars="200"/>
        <w:jc w:val="both"/>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第五条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质量保证</w:t>
      </w:r>
    </w:p>
    <w:p w14:paraId="3D36853B">
      <w:pPr>
        <w:spacing w:before="179" w:line="360" w:lineRule="auto"/>
        <w:ind w:left="18" w:firstLine="480" w:firstLineChars="200"/>
        <w:rPr>
          <w:rFonts w:hint="eastAsia" w:ascii="宋体" w:hAnsi="宋体" w:cs="Segoe UI"/>
          <w:color w:val="auto"/>
          <w:sz w:val="24"/>
          <w:szCs w:val="24"/>
          <w:highlight w:val="none"/>
          <w:shd w:val="clear" w:color="auto" w:fill="FFFFFF"/>
        </w:rPr>
      </w:pPr>
      <w:r>
        <w:rPr>
          <w:rFonts w:hint="eastAsia" w:ascii="宋体" w:hAnsi="宋体" w:cs="宋体"/>
          <w:color w:val="auto"/>
          <w:sz w:val="24"/>
          <w:szCs w:val="24"/>
          <w:highlight w:val="none"/>
          <w:lang w:val="zh-CN"/>
        </w:rPr>
        <w:t>1、配件</w:t>
      </w:r>
      <w:r>
        <w:rPr>
          <w:rFonts w:hint="eastAsia" w:ascii="宋体" w:hAnsi="宋体" w:cs="宋体"/>
          <w:color w:val="auto"/>
          <w:sz w:val="24"/>
          <w:szCs w:val="24"/>
          <w:highlight w:val="none"/>
        </w:rPr>
        <w:t>质保期：乙方按照甲方要求更换配件，</w:t>
      </w:r>
      <w:r>
        <w:rPr>
          <w:rFonts w:ascii="宋体" w:hAnsi="宋体" w:cs="宋体"/>
          <w:color w:val="auto"/>
          <w:spacing w:val="-1"/>
          <w:sz w:val="24"/>
          <w:szCs w:val="24"/>
          <w:highlight w:val="none"/>
        </w:rPr>
        <w:t>更换后的配件，质保期自更换完成之日起计算，</w:t>
      </w:r>
      <w:r>
        <w:rPr>
          <w:rFonts w:hint="eastAsia" w:ascii="宋体" w:hAnsi="宋体" w:cs="宋体"/>
          <w:color w:val="auto"/>
          <w:spacing w:val="-1"/>
          <w:sz w:val="24"/>
          <w:szCs w:val="24"/>
          <w:highlight w:val="none"/>
        </w:rPr>
        <w:t>供应商按</w:t>
      </w:r>
      <w:r>
        <w:rPr>
          <w:rFonts w:ascii="宋体" w:hAnsi="宋体" w:cs="宋体"/>
          <w:color w:val="auto"/>
          <w:spacing w:val="-1"/>
          <w:sz w:val="24"/>
          <w:szCs w:val="24"/>
          <w:highlight w:val="none"/>
        </w:rPr>
        <w:t>不同配件</w:t>
      </w:r>
      <w:r>
        <w:rPr>
          <w:rFonts w:hint="eastAsia" w:ascii="宋体" w:hAnsi="宋体" w:cs="宋体"/>
          <w:color w:val="auto"/>
          <w:spacing w:val="-1"/>
          <w:sz w:val="24"/>
          <w:szCs w:val="24"/>
          <w:highlight w:val="none"/>
        </w:rPr>
        <w:t>提供</w:t>
      </w:r>
      <w:r>
        <w:rPr>
          <w:rFonts w:ascii="宋体" w:hAnsi="宋体" w:cs="宋体"/>
          <w:color w:val="auto"/>
          <w:spacing w:val="-1"/>
          <w:sz w:val="24"/>
          <w:szCs w:val="24"/>
          <w:highlight w:val="none"/>
        </w:rPr>
        <w:t>质保</w:t>
      </w:r>
      <w:r>
        <w:rPr>
          <w:rFonts w:hint="eastAsia" w:ascii="微软雅黑" w:hAnsi="微软雅黑" w:eastAsia="微软雅黑" w:cs="微软雅黑"/>
          <w:color w:val="auto"/>
          <w:sz w:val="24"/>
          <w:szCs w:val="24"/>
          <w:highlight w:val="none"/>
          <w:shd w:val="clear" w:color="auto" w:fill="FFFFFF"/>
        </w:rPr>
        <w:t>（</w:t>
      </w:r>
      <w:r>
        <w:rPr>
          <w:rFonts w:ascii="Segoe UI" w:hAnsi="Segoe UI" w:eastAsia="Segoe UI" w:cs="Segoe UI"/>
          <w:color w:val="auto"/>
          <w:sz w:val="24"/>
          <w:szCs w:val="24"/>
          <w:highlight w:val="none"/>
          <w:shd w:val="clear" w:color="auto" w:fill="FFFFFF"/>
        </w:rPr>
        <w:t>具体详</w:t>
      </w:r>
      <w:r>
        <w:rPr>
          <w:rFonts w:ascii="宋体" w:hAnsi="宋体" w:cs="Segoe UI"/>
          <w:color w:val="auto"/>
          <w:sz w:val="24"/>
          <w:szCs w:val="24"/>
          <w:highlight w:val="none"/>
          <w:shd w:val="clear" w:color="auto" w:fill="FFFFFF"/>
        </w:rPr>
        <w:t>见</w:t>
      </w:r>
      <w:r>
        <w:rPr>
          <w:rFonts w:hint="eastAsia" w:ascii="宋体" w:hAnsi="宋体" w:cs="微软雅黑"/>
          <w:color w:val="auto"/>
          <w:sz w:val="24"/>
          <w:szCs w:val="24"/>
          <w:highlight w:val="none"/>
          <w:shd w:val="clear" w:color="auto" w:fill="FFFFFF"/>
        </w:rPr>
        <w:t>乙方响应文件质保承诺</w:t>
      </w:r>
      <w:r>
        <w:rPr>
          <w:rFonts w:ascii="宋体" w:hAnsi="宋体" w:cs="Segoe UI"/>
          <w:color w:val="auto"/>
          <w:sz w:val="24"/>
          <w:szCs w:val="24"/>
          <w:highlight w:val="none"/>
          <w:shd w:val="clear" w:color="auto" w:fill="FFFFFF"/>
        </w:rPr>
        <w:t>）</w:t>
      </w:r>
      <w:r>
        <w:rPr>
          <w:rFonts w:hint="eastAsia" w:ascii="宋体" w:hAnsi="宋体" w:cs="Segoe UI"/>
          <w:color w:val="auto"/>
          <w:sz w:val="24"/>
          <w:szCs w:val="24"/>
          <w:highlight w:val="none"/>
          <w:shd w:val="clear" w:color="auto" w:fill="FFFFFF"/>
        </w:rPr>
        <w:t>。</w:t>
      </w:r>
    </w:p>
    <w:p w14:paraId="336BF329">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乙方所提供的货物的技术规格应与竞争性磋商文件规定的技术规格及所附的“技术规格响应表”相一致；若技术性能无特殊说明，则按国家有关部门最新颁布的标准及规范为准。</w:t>
      </w:r>
    </w:p>
    <w:p w14:paraId="02B2426E">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在使用过程中，一旦发现乙方所提供的货物不符合以上约定，乙方无条件接受甲方退货，并按第</w:t>
      </w:r>
      <w:r>
        <w:rPr>
          <w:rFonts w:hint="eastAsia" w:ascii="宋体" w:hAnsi="宋体" w:cs="宋体"/>
          <w:color w:val="auto"/>
          <w:sz w:val="24"/>
          <w:szCs w:val="24"/>
          <w:highlight w:val="none"/>
        </w:rPr>
        <w:t>九</w:t>
      </w:r>
      <w:r>
        <w:rPr>
          <w:rFonts w:hint="eastAsia" w:ascii="宋体" w:hAnsi="宋体" w:cs="宋体"/>
          <w:color w:val="auto"/>
          <w:sz w:val="24"/>
          <w:szCs w:val="24"/>
          <w:highlight w:val="none"/>
          <w:lang w:val="zh-CN"/>
        </w:rPr>
        <w:t>条给予乙方处罚。</w:t>
      </w:r>
    </w:p>
    <w:p w14:paraId="69D2DCC4">
      <w:pPr>
        <w:widowControl w:val="0"/>
        <w:adjustRightInd w:val="0"/>
        <w:snapToGrid w:val="0"/>
        <w:spacing w:line="336"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4、乙方提供的货物（含配件）应是全新的、未使用过的原装合格正品，并保证所提供货物的开箱合格率为100%，外观和内在质量都不得有任何问题。</w:t>
      </w:r>
      <w:r>
        <w:rPr>
          <w:rFonts w:hint="eastAsia" w:ascii="宋体" w:hAnsi="宋体" w:cs="宋体"/>
          <w:color w:val="auto"/>
          <w:sz w:val="24"/>
          <w:szCs w:val="24"/>
          <w:highlight w:val="none"/>
          <w:lang w:val="zh-CN"/>
        </w:rPr>
        <w:t>由于包装不善所引起的货物损失均由乙方承担。</w:t>
      </w:r>
      <w:r>
        <w:rPr>
          <w:rFonts w:hint="eastAsia" w:ascii="宋体" w:hAnsi="宋体" w:cs="宋体"/>
          <w:color w:val="auto"/>
          <w:sz w:val="24"/>
          <w:szCs w:val="24"/>
          <w:highlight w:val="none"/>
        </w:rPr>
        <w:t>在未验收前，货物保管、安全均由乙方负责。货物验收合格后风险转移至乙方。</w:t>
      </w:r>
    </w:p>
    <w:p w14:paraId="3779DA2D">
      <w:pPr>
        <w:widowControl w:val="0"/>
        <w:adjustRightInd w:val="0"/>
        <w:snapToGrid w:val="0"/>
        <w:spacing w:line="336" w:lineRule="auto"/>
        <w:ind w:firstLine="482" w:firstLineChars="200"/>
        <w:jc w:val="both"/>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第六条 交付使用和验收</w:t>
      </w:r>
    </w:p>
    <w:p w14:paraId="57668E1E">
      <w:pPr>
        <w:widowControl w:val="0"/>
        <w:adjustRightInd w:val="0"/>
        <w:snapToGrid w:val="0"/>
        <w:spacing w:line="336" w:lineRule="auto"/>
        <w:ind w:firstLine="480" w:firstLineChars="200"/>
        <w:jc w:val="both"/>
        <w:rPr>
          <w:rFonts w:hint="eastAsia" w:ascii="time" w:hAnsi="time" w:cs="宋体"/>
          <w:color w:val="auto"/>
          <w:sz w:val="24"/>
          <w:szCs w:val="24"/>
          <w:highlight w:val="none"/>
        </w:rPr>
      </w:pPr>
      <w:r>
        <w:rPr>
          <w:rFonts w:hint="eastAsia" w:ascii="time" w:hAnsi="time" w:cs="宋体"/>
          <w:color w:val="auto"/>
          <w:sz w:val="24"/>
          <w:szCs w:val="24"/>
          <w:highlight w:val="none"/>
        </w:rPr>
        <w:t>（一）服务时间、地点：</w:t>
      </w:r>
    </w:p>
    <w:p w14:paraId="46CF78DB">
      <w:pPr>
        <w:widowControl w:val="0"/>
        <w:adjustRightInd w:val="0"/>
        <w:snapToGrid w:val="0"/>
        <w:spacing w:line="336" w:lineRule="auto"/>
        <w:ind w:firstLine="480" w:firstLineChars="200"/>
        <w:jc w:val="both"/>
        <w:rPr>
          <w:rFonts w:hint="eastAsia" w:ascii="宋体" w:hAnsi="宋体" w:cs="宋体"/>
          <w:color w:val="auto"/>
          <w:sz w:val="24"/>
          <w:szCs w:val="24"/>
          <w:highlight w:val="none"/>
        </w:rPr>
      </w:pPr>
      <w:r>
        <w:rPr>
          <w:rFonts w:hint="eastAsia" w:ascii="time" w:hAnsi="time" w:cs="宋体"/>
          <w:color w:val="auto"/>
          <w:sz w:val="24"/>
          <w:szCs w:val="24"/>
          <w:highlight w:val="none"/>
        </w:rPr>
        <w:t>1、服务期：一年，</w:t>
      </w:r>
      <w:r>
        <w:rPr>
          <w:rFonts w:hint="eastAsia" w:ascii="宋体" w:hAnsi="宋体" w:cs="宋体"/>
          <w:color w:val="auto"/>
          <w:sz w:val="24"/>
          <w:szCs w:val="24"/>
          <w:highlight w:val="none"/>
        </w:rPr>
        <w:t>2026年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日至2027年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本项目试用期一个月，经甲方考核通过继续履行合同；若考核不通过，甲方则有权解除合同，试用期内费用经审核后按实结算但不得超过维保费用的十二分之一。甲方解除合同后确认下一候选人为成交人或重新采购。</w:t>
      </w:r>
    </w:p>
    <w:p w14:paraId="7A39798C">
      <w:pPr>
        <w:widowControl w:val="0"/>
        <w:adjustRightInd w:val="0"/>
        <w:snapToGrid w:val="0"/>
        <w:spacing w:line="336" w:lineRule="auto"/>
        <w:ind w:firstLine="480" w:firstLineChars="200"/>
        <w:jc w:val="both"/>
        <w:rPr>
          <w:rFonts w:hint="eastAsia" w:ascii="time" w:hAnsi="time" w:cs="宋体"/>
          <w:color w:val="auto"/>
          <w:sz w:val="24"/>
          <w:szCs w:val="24"/>
          <w:highlight w:val="none"/>
        </w:rPr>
      </w:pPr>
      <w:r>
        <w:rPr>
          <w:rFonts w:hint="eastAsia" w:ascii="time" w:hAnsi="time" w:cs="宋体"/>
          <w:color w:val="auto"/>
          <w:sz w:val="24"/>
          <w:szCs w:val="24"/>
          <w:highlight w:val="none"/>
        </w:rPr>
        <w:t>2、服务地点：甲方指定地点。</w:t>
      </w:r>
    </w:p>
    <w:p w14:paraId="388CEAB7">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3、付款条件：</w:t>
      </w:r>
    </w:p>
    <w:p w14:paraId="0FD218D0">
      <w:pPr>
        <w:widowControl w:val="0"/>
        <w:snapToGrid w:val="0"/>
        <w:spacing w:line="336" w:lineRule="auto"/>
        <w:ind w:firstLine="480" w:firstLineChars="200"/>
        <w:outlineLvl w:val="0"/>
        <w:rPr>
          <w:rFonts w:hint="eastAsia" w:ascii="宋体" w:hAnsi="宋体" w:cs="宋体"/>
          <w:color w:val="auto"/>
          <w:sz w:val="24"/>
          <w:szCs w:val="24"/>
          <w:highlight w:val="none"/>
        </w:rPr>
      </w:pPr>
      <w:bookmarkStart w:id="8" w:name="OLE_LINK4"/>
      <w:r>
        <w:rPr>
          <w:rFonts w:hint="eastAsia" w:ascii="宋体" w:hAnsi="宋体" w:cs="宋体"/>
          <w:color w:val="auto"/>
          <w:sz w:val="24"/>
          <w:szCs w:val="24"/>
          <w:highlight w:val="none"/>
        </w:rPr>
        <w:t>（1）投口改造费用：按实结算。乙方须向甲方提交投口改造</w:t>
      </w:r>
      <w:r>
        <w:rPr>
          <w:rFonts w:hint="eastAsia" w:ascii="宋体" w:hAnsi="宋体" w:cs="宋体"/>
          <w:color w:val="auto"/>
          <w:sz w:val="24"/>
          <w:szCs w:val="24"/>
          <w:highlight w:val="none"/>
          <w:lang w:val="en-US" w:eastAsia="zh-CN"/>
        </w:rPr>
        <w:t>清单</w:t>
      </w:r>
      <w:r>
        <w:rPr>
          <w:rFonts w:hint="eastAsia" w:ascii="宋体" w:hAnsi="宋体" w:cs="宋体"/>
          <w:color w:val="auto"/>
          <w:sz w:val="24"/>
          <w:szCs w:val="24"/>
          <w:highlight w:val="none"/>
        </w:rPr>
        <w:t>资料，全部改造完工后试运行满一个月，且经甲方验收通过后，甲方按实一次性付清。</w:t>
      </w:r>
    </w:p>
    <w:p w14:paraId="2DC6AD86">
      <w:pPr>
        <w:widowControl w:val="0"/>
        <w:snapToGrid w:val="0"/>
        <w:spacing w:line="336" w:lineRule="auto"/>
        <w:ind w:firstLine="480" w:firstLineChars="20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2）维保费用：每季度末，乙方向甲方提交维修清单、配件更换清单，经甲方审核确认后按照季度支付，经审核的季度服务费超过维保费用20%则按维保费用的20%支付，若经审核的季度服务费低于维保费用的20%则按实结算（支付金额不超过全年维保费用的20%）。每季度付款前，当期所有维修的设备及更换的配件均须验收合格。</w:t>
      </w:r>
    </w:p>
    <w:p w14:paraId="2699E689">
      <w:pPr>
        <w:widowControl w:val="0"/>
        <w:snapToGrid w:val="0"/>
        <w:spacing w:line="336" w:lineRule="auto"/>
        <w:ind w:firstLine="480" w:firstLineChars="20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余款自服务期满后一个月内付清（如有扣款先扣减相应费用后），余款不计利息。</w:t>
      </w:r>
    </w:p>
    <w:p w14:paraId="633B03F8">
      <w:pPr>
        <w:widowControl w:val="0"/>
        <w:snapToGrid w:val="0"/>
        <w:spacing w:line="336" w:lineRule="auto"/>
        <w:ind w:firstLine="480" w:firstLineChars="20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注：①投口改造费、维保费用最终合计结算总额不得超过本项目总合同价款，超出部分由乙方无偿提供，甲方不予支付；</w:t>
      </w:r>
    </w:p>
    <w:p w14:paraId="316304A8">
      <w:pPr>
        <w:widowControl w:val="0"/>
        <w:snapToGrid w:val="0"/>
        <w:spacing w:line="336" w:lineRule="auto"/>
        <w:outlineLvl w:val="0"/>
        <w:rPr>
          <w:rFonts w:ascii="宋体" w:hAnsi="宋体" w:cs="宋体"/>
          <w:color w:val="auto"/>
          <w:sz w:val="24"/>
          <w:szCs w:val="24"/>
          <w:highlight w:val="none"/>
        </w:rPr>
      </w:pPr>
      <w:r>
        <w:rPr>
          <w:rFonts w:hint="eastAsia" w:ascii="宋体" w:hAnsi="宋体" w:cs="宋体"/>
          <w:color w:val="auto"/>
          <w:sz w:val="24"/>
          <w:szCs w:val="24"/>
          <w:highlight w:val="none"/>
        </w:rPr>
        <w:t>②投口改造全部完成后，由甲方牵头组织验收，经乙方维修人、小区物业负责人、社区负责人及垃圾分类办负责人四方现场验收并签字确认；</w:t>
      </w:r>
    </w:p>
    <w:p w14:paraId="12A8350C">
      <w:pPr>
        <w:widowControl w:val="0"/>
        <w:snapToGrid w:val="0"/>
        <w:spacing w:line="336" w:lineRule="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3 \* GB3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③</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乙方收款时，须向甲方提供正式发票。</w:t>
      </w:r>
    </w:p>
    <w:bookmarkEnd w:id="8"/>
    <w:p w14:paraId="4D7FC7DC">
      <w:pPr>
        <w:widowControl w:val="0"/>
        <w:adjustRightInd w:val="0"/>
        <w:snapToGrid w:val="0"/>
        <w:spacing w:line="336" w:lineRule="auto"/>
        <w:ind w:firstLine="482" w:firstLineChars="200"/>
        <w:jc w:val="both"/>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第七条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考核</w:t>
      </w:r>
    </w:p>
    <w:p w14:paraId="6EAFB95A">
      <w:pPr>
        <w:widowControl w:val="0"/>
        <w:adjustRightInd w:val="0"/>
        <w:snapToGrid w:val="0"/>
        <w:spacing w:line="336" w:lineRule="auto"/>
        <w:ind w:firstLine="42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依据月考核结果，采用季度付款方式。月度考核得分在9</w:t>
      </w:r>
      <w:r>
        <w:rPr>
          <w:rFonts w:ascii="宋体" w:hAnsi="宋体" w:cs="宋体"/>
          <w:color w:val="auto"/>
          <w:sz w:val="24"/>
          <w:szCs w:val="24"/>
          <w:highlight w:val="none"/>
          <w:lang w:val="zh-CN"/>
        </w:rPr>
        <w:t>0</w:t>
      </w:r>
      <w:r>
        <w:rPr>
          <w:rFonts w:hint="eastAsia" w:ascii="宋体" w:hAnsi="宋体" w:cs="宋体"/>
          <w:color w:val="auto"/>
          <w:sz w:val="24"/>
          <w:szCs w:val="24"/>
          <w:highlight w:val="none"/>
          <w:lang w:val="zh-CN"/>
        </w:rPr>
        <w:t>分（含）以上，不扣减当月服务费。考核得分在9</w:t>
      </w:r>
      <w:r>
        <w:rPr>
          <w:rFonts w:ascii="宋体" w:hAnsi="宋体" w:cs="宋体"/>
          <w:color w:val="auto"/>
          <w:sz w:val="24"/>
          <w:szCs w:val="24"/>
          <w:highlight w:val="none"/>
          <w:lang w:val="zh-CN"/>
        </w:rPr>
        <w:t>0</w:t>
      </w:r>
      <w:r>
        <w:rPr>
          <w:rFonts w:hint="eastAsia" w:ascii="宋体" w:hAnsi="宋体" w:cs="宋体"/>
          <w:color w:val="auto"/>
          <w:sz w:val="24"/>
          <w:szCs w:val="24"/>
          <w:highlight w:val="none"/>
          <w:lang w:val="zh-CN"/>
        </w:rPr>
        <w:t>分以下，每低1分扣减5</w:t>
      </w:r>
      <w:r>
        <w:rPr>
          <w:rFonts w:ascii="宋体" w:hAnsi="宋体" w:cs="宋体"/>
          <w:color w:val="auto"/>
          <w:sz w:val="24"/>
          <w:szCs w:val="24"/>
          <w:highlight w:val="none"/>
          <w:lang w:val="zh-CN"/>
        </w:rPr>
        <w:t>00</w:t>
      </w:r>
      <w:r>
        <w:rPr>
          <w:rFonts w:hint="eastAsia" w:ascii="宋体" w:hAnsi="宋体" w:cs="宋体"/>
          <w:color w:val="auto"/>
          <w:sz w:val="24"/>
          <w:szCs w:val="24"/>
          <w:highlight w:val="none"/>
          <w:lang w:val="zh-CN"/>
        </w:rPr>
        <w:t>元。若每一季度考核平均分低于</w:t>
      </w:r>
      <w:r>
        <w:rPr>
          <w:rFonts w:ascii="宋体" w:hAnsi="宋体" w:cs="宋体"/>
          <w:color w:val="auto"/>
          <w:sz w:val="24"/>
          <w:szCs w:val="24"/>
          <w:highlight w:val="none"/>
          <w:lang w:val="zh-CN"/>
        </w:rPr>
        <w:t>80</w:t>
      </w:r>
      <w:r>
        <w:rPr>
          <w:rFonts w:hint="eastAsia" w:ascii="宋体" w:hAnsi="宋体" w:cs="宋体"/>
          <w:color w:val="auto"/>
          <w:sz w:val="24"/>
          <w:szCs w:val="24"/>
          <w:highlight w:val="none"/>
          <w:lang w:val="zh-CN"/>
        </w:rPr>
        <w:t>分，甲方有权终止合同。若合同终止，乙方应按甲方要求继续维持服务，直至下一服务方进场。</w:t>
      </w:r>
    </w:p>
    <w:p w14:paraId="4EA9287C">
      <w:pPr>
        <w:widowControl w:val="0"/>
        <w:adjustRightInd w:val="0"/>
        <w:snapToGrid w:val="0"/>
        <w:spacing w:line="336" w:lineRule="auto"/>
        <w:ind w:firstLine="480" w:firstLineChars="200"/>
        <w:jc w:val="both"/>
        <w:rPr>
          <w:rFonts w:hint="eastAsia" w:ascii="宋体" w:hAnsi="宋体" w:cs="宋体"/>
          <w:b/>
          <w:bCs/>
          <w:color w:val="auto"/>
          <w:sz w:val="24"/>
          <w:szCs w:val="24"/>
          <w:highlight w:val="none"/>
          <w:lang w:val="zh-CN"/>
        </w:rPr>
      </w:pPr>
      <w:r>
        <w:rPr>
          <w:rFonts w:hint="eastAsia" w:ascii="宋体" w:hAnsi="宋体" w:cs="宋体"/>
          <w:color w:val="auto"/>
          <w:sz w:val="24"/>
          <w:szCs w:val="24"/>
          <w:highlight w:val="none"/>
          <w:lang w:val="zh-CN"/>
        </w:rPr>
        <w:t>考核评分细则详见附表。</w:t>
      </w:r>
    </w:p>
    <w:p w14:paraId="459420C9">
      <w:pPr>
        <w:widowControl w:val="0"/>
        <w:adjustRightInd w:val="0"/>
        <w:snapToGrid w:val="0"/>
        <w:spacing w:line="336" w:lineRule="auto"/>
        <w:ind w:firstLine="482" w:firstLineChars="200"/>
        <w:jc w:val="both"/>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第八条 其他要求</w:t>
      </w:r>
    </w:p>
    <w:p w14:paraId="2C68F296">
      <w:pPr>
        <w:widowControl w:val="0"/>
        <w:adjustRightInd w:val="0"/>
        <w:snapToGrid w:val="0"/>
        <w:spacing w:line="336" w:lineRule="auto"/>
        <w:ind w:firstLine="400" w:firstLineChars="200"/>
        <w:jc w:val="both"/>
        <w:rPr>
          <w:rFonts w:hint="eastAsia" w:ascii="宋体" w:hAnsi="宋体" w:cs="宋体"/>
          <w:color w:val="auto"/>
          <w:sz w:val="24"/>
          <w:szCs w:val="24"/>
          <w:highlight w:val="none"/>
        </w:rPr>
      </w:pPr>
      <w:r>
        <w:rPr>
          <w:rFonts w:hint="eastAsia"/>
          <w:color w:val="auto"/>
          <w:highlight w:val="none"/>
          <w:lang w:val="zh-CN"/>
        </w:rPr>
        <w:t xml:space="preserve"> </w:t>
      </w:r>
      <w:r>
        <w:rPr>
          <w:color w:val="auto"/>
          <w:highlight w:val="none"/>
          <w:lang w:val="zh-CN"/>
        </w:rPr>
        <w:t xml:space="preserve">   </w:t>
      </w:r>
      <w:r>
        <w:rPr>
          <w:rFonts w:ascii="宋体" w:hAnsi="宋体" w:cs="宋体"/>
          <w:color w:val="auto"/>
          <w:sz w:val="24"/>
          <w:szCs w:val="24"/>
          <w:highlight w:val="none"/>
        </w:rPr>
        <w:t>1</w:t>
      </w:r>
      <w:r>
        <w:rPr>
          <w:rFonts w:hint="eastAsia" w:ascii="宋体" w:hAnsi="宋体" w:cs="宋体"/>
          <w:color w:val="auto"/>
          <w:sz w:val="24"/>
          <w:szCs w:val="24"/>
          <w:highlight w:val="none"/>
        </w:rPr>
        <w:t>、响应时间：乙方需做好垃圾分类智能设备维修服务工作。乙方须在</w:t>
      </w:r>
      <w:r>
        <w:rPr>
          <w:rFonts w:ascii="宋体" w:hAnsi="宋体" w:cs="宋体"/>
          <w:color w:val="auto"/>
          <w:sz w:val="24"/>
          <w:szCs w:val="24"/>
          <w:highlight w:val="none"/>
        </w:rPr>
        <w:t>2</w:t>
      </w:r>
      <w:r>
        <w:rPr>
          <w:rFonts w:hint="eastAsia" w:ascii="宋体" w:hAnsi="宋体" w:cs="宋体"/>
          <w:color w:val="auto"/>
          <w:sz w:val="24"/>
          <w:szCs w:val="24"/>
          <w:highlight w:val="none"/>
        </w:rPr>
        <w:t>小时以内响应甲方提出的服务要求，24小时内到达现场进行维修。一般问题（不涉及更换配件）24小时内解决故障，需更换配件的</w:t>
      </w:r>
      <w:r>
        <w:rPr>
          <w:rFonts w:ascii="宋体" w:hAnsi="宋体" w:cs="宋体"/>
          <w:color w:val="auto"/>
          <w:sz w:val="24"/>
          <w:szCs w:val="24"/>
          <w:highlight w:val="none"/>
        </w:rPr>
        <w:t>3</w:t>
      </w:r>
      <w:r>
        <w:rPr>
          <w:rFonts w:hint="eastAsia" w:ascii="宋体" w:hAnsi="宋体" w:cs="宋体"/>
          <w:color w:val="auto"/>
          <w:sz w:val="24"/>
          <w:szCs w:val="24"/>
          <w:highlight w:val="none"/>
        </w:rPr>
        <w:t xml:space="preserve">日内解决并更换完成，如不能修复应采取补救措施，保障甲方管辖的小区亭房正常运行使用。  </w:t>
      </w:r>
    </w:p>
    <w:p w14:paraId="37707927">
      <w:pPr>
        <w:widowControl w:val="0"/>
        <w:adjustRightInd w:val="0"/>
        <w:snapToGrid w:val="0"/>
        <w:spacing w:line="336" w:lineRule="auto"/>
        <w:ind w:firstLine="480" w:firstLineChars="200"/>
        <w:jc w:val="both"/>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、响应要求：</w:t>
      </w:r>
    </w:p>
    <w:p w14:paraId="53C460F3">
      <w:pPr>
        <w:widowControl w:val="0"/>
        <w:adjustRightInd w:val="0"/>
        <w:snapToGrid w:val="0"/>
        <w:spacing w:line="336"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①除日常维修外，乙方不定期进行巡检，巡检过程中发现的问题乙方须及时向甲方以纸质材料递交审核，经甲方审核后进行维修更换。定期巡检需形成台账资料。</w:t>
      </w:r>
    </w:p>
    <w:p w14:paraId="7C3678B7">
      <w:pPr>
        <w:widowControl w:val="0"/>
        <w:adjustRightInd w:val="0"/>
        <w:snapToGrid w:val="0"/>
        <w:spacing w:line="336"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②乙方在接到甲方通知后，应在规定时间内到达现场并进行维修。</w:t>
      </w:r>
    </w:p>
    <w:p w14:paraId="68625AA7">
      <w:pPr>
        <w:widowControl w:val="0"/>
        <w:adjustRightInd w:val="0"/>
        <w:snapToGrid w:val="0"/>
        <w:spacing w:line="336"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③</w:t>
      </w:r>
      <w:bookmarkStart w:id="9" w:name="OLE_LINK5"/>
      <w:r>
        <w:rPr>
          <w:rFonts w:hint="eastAsia" w:ascii="宋体" w:hAnsi="宋体" w:cs="宋体"/>
          <w:color w:val="auto"/>
          <w:sz w:val="24"/>
          <w:szCs w:val="24"/>
          <w:highlight w:val="none"/>
        </w:rPr>
        <w:t>乙方每次维修完成后应按照要求制定《小区设备售后维修确认单》四联单，</w:t>
      </w:r>
      <w:bookmarkStart w:id="10" w:name="OLE_LINK3"/>
      <w:r>
        <w:rPr>
          <w:rFonts w:hint="eastAsia" w:ascii="宋体" w:hAnsi="宋体" w:cs="宋体"/>
          <w:color w:val="auto"/>
          <w:sz w:val="24"/>
          <w:szCs w:val="24"/>
          <w:highlight w:val="none"/>
        </w:rPr>
        <w:t>由乙方维修人、小区物业负责人、社区负责人及垃圾分类办负责人四方签字确认</w:t>
      </w:r>
      <w:bookmarkEnd w:id="10"/>
      <w:r>
        <w:rPr>
          <w:rFonts w:hint="eastAsia" w:ascii="宋体" w:hAnsi="宋体" w:cs="宋体"/>
          <w:color w:val="auto"/>
          <w:sz w:val="24"/>
          <w:szCs w:val="24"/>
          <w:highlight w:val="none"/>
        </w:rPr>
        <w:t>，确认单一式两份，甲方及乙方各执一份。</w:t>
      </w:r>
      <w:bookmarkEnd w:id="9"/>
      <w:r>
        <w:rPr>
          <w:rFonts w:hint="eastAsia" w:ascii="宋体" w:hAnsi="宋体" w:cs="宋体"/>
          <w:color w:val="auto"/>
          <w:sz w:val="24"/>
          <w:szCs w:val="24"/>
          <w:highlight w:val="none"/>
        </w:rPr>
        <w:t>每月需及时向甲方提交每月维修清单，由甲方审核。具体内容根据甲方要求执行。</w:t>
      </w:r>
    </w:p>
    <w:p w14:paraId="7EFA6991">
      <w:pPr>
        <w:pStyle w:val="18"/>
        <w:widowControl w:val="0"/>
        <w:adjustRightInd w:val="0"/>
        <w:snapToGrid w:val="0"/>
        <w:spacing w:after="0" w:line="336" w:lineRule="auto"/>
        <w:ind w:firstLine="480" w:firstLineChars="200"/>
        <w:rPr>
          <w:color w:val="auto"/>
          <w:highlight w:val="none"/>
          <w:lang w:val="zh-CN"/>
        </w:rPr>
      </w:pPr>
      <w:r>
        <w:rPr>
          <w:rFonts w:ascii="宋体" w:hAnsi="宋体" w:cs="宋体"/>
          <w:color w:val="auto"/>
          <w:sz w:val="24"/>
          <w:highlight w:val="none"/>
        </w:rPr>
        <w:t>3</w:t>
      </w:r>
      <w:r>
        <w:rPr>
          <w:rFonts w:hint="eastAsia" w:ascii="宋体" w:hAnsi="宋体" w:cs="宋体"/>
          <w:color w:val="auto"/>
          <w:sz w:val="24"/>
          <w:highlight w:val="none"/>
        </w:rPr>
        <w:t>、备品备件：乙方应具有一定数量相应的备品备件，确保及时对设备进行维修更换。</w:t>
      </w:r>
    </w:p>
    <w:p w14:paraId="1DFE7FF2">
      <w:pPr>
        <w:widowControl w:val="0"/>
        <w:adjustRightInd w:val="0"/>
        <w:snapToGrid w:val="0"/>
        <w:spacing w:line="336" w:lineRule="auto"/>
        <w:ind w:firstLine="482" w:firstLineChars="200"/>
        <w:jc w:val="both"/>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第九条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违约责任：</w:t>
      </w:r>
    </w:p>
    <w:p w14:paraId="63255C7A">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1、甲方无正当理由拒收服务、拒付服务款的，由甲方向乙方偿付合同总价的5%违约金。</w:t>
      </w:r>
    </w:p>
    <w:p w14:paraId="4BF69628">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2、如乙方不能交付服务、完成安装调试的，乙方应向甲方支付合同总价5%的违约金。</w:t>
      </w:r>
    </w:p>
    <w:p w14:paraId="1DFDCCBA">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3、乙方逾期交付的，每逾期1天，乙方向甲方偿付合同总额的5‰的滞纳金。如乙方逾期交付达10天，甲方有权解除合同，解除合同的通知自到达乙方时生效。</w:t>
      </w:r>
    </w:p>
    <w:p w14:paraId="2E519DD9">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4、乙方所交付的服务品种、型号、规格不符合合同规定的，甲方有权拒收。甲方拒收的，乙方应向甲方支付货款总额5%的违约金。甲方未拒收的，一经发现后将向有关部门反映，并责成乙方按照采购结果提供货物和服务，同时视情况给予不退还部分。</w:t>
      </w:r>
    </w:p>
    <w:p w14:paraId="5F1B5510">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5、在乙方承诺的或国家规定的质量保证期内（取两者中最长的期限），如经乙方两次维修或更换，服务仍不能达到合同约定的质量标准，甲方有权退货，乙方应退回全部货款，并按第3款处理，同时，乙方还须赔偿甲方因此遭受的损失。</w:t>
      </w:r>
    </w:p>
    <w:p w14:paraId="30B10BA9">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6、乙方未按本合同的规定和“服务承诺”提供伴随服务/售后服务的，应按合同总价款的5%向甲方承担违约责任。</w:t>
      </w:r>
    </w:p>
    <w:p w14:paraId="6A464EBF">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、乙方在承担上述</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-6款一项或多项违约责任后，仍应继续履行合同规定的义务（甲方解除合同的除外）。甲方未能及时追究乙方的任何一项违约责任并不表明甲方放弃追究乙方该项或其他违约责任。</w:t>
      </w:r>
    </w:p>
    <w:p w14:paraId="44D0EA7D">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、乙方投标属虚假承诺，或经</w:t>
      </w:r>
      <w:r>
        <w:rPr>
          <w:rFonts w:hint="eastAsia" w:ascii="宋体" w:hAnsi="宋体" w:cs="宋体"/>
          <w:color w:val="auto"/>
          <w:sz w:val="24"/>
          <w:szCs w:val="24"/>
          <w:highlight w:val="none"/>
        </w:rPr>
        <w:t>检</w:t>
      </w:r>
      <w:r>
        <w:rPr>
          <w:rFonts w:hint="eastAsia" w:ascii="宋体" w:hAnsi="宋体" w:cs="宋体"/>
          <w:color w:val="auto"/>
          <w:sz w:val="24"/>
          <w:szCs w:val="24"/>
          <w:highlight w:val="none"/>
          <w:lang w:val="zh-CN"/>
        </w:rPr>
        <w:t>测提供的服务不能满足竞争性磋商文件要求，或是由于乙方的过错造成合同无法继续履行的，乙方履约保证金不予退还外，还应向甲方支付不少于合同总价30%赔偿金。</w:t>
      </w:r>
    </w:p>
    <w:p w14:paraId="6AF6095D">
      <w:pPr>
        <w:widowControl w:val="0"/>
        <w:adjustRightInd w:val="0"/>
        <w:snapToGrid w:val="0"/>
        <w:spacing w:line="336" w:lineRule="auto"/>
        <w:ind w:firstLine="482" w:firstLineChars="200"/>
        <w:jc w:val="both"/>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第十条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合同的变更和终止</w:t>
      </w:r>
    </w:p>
    <w:p w14:paraId="35A39BC5">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本合同一经签订，除本合同约定外，甲乙双方不得擅自变更、中止或终止合同。</w:t>
      </w:r>
    </w:p>
    <w:p w14:paraId="18B8234A">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2、除发生法律规定的不能预见、不能避免并不能克服的客观情况外，甲乙双方不得放弃或拒绝履行合同。乙方放弃或拒绝履行合同，保证金不予退还。</w:t>
      </w:r>
    </w:p>
    <w:p w14:paraId="781CC0CD">
      <w:pPr>
        <w:widowControl w:val="0"/>
        <w:adjustRightInd w:val="0"/>
        <w:snapToGrid w:val="0"/>
        <w:spacing w:line="336" w:lineRule="auto"/>
        <w:ind w:firstLine="482" w:firstLineChars="200"/>
        <w:jc w:val="both"/>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第十一条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合同的转让</w:t>
      </w:r>
    </w:p>
    <w:p w14:paraId="750FF960">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乙方不得擅自部分或全部转让其应履行的合同义务。</w:t>
      </w:r>
    </w:p>
    <w:p w14:paraId="7B96E6B9">
      <w:pPr>
        <w:widowControl w:val="0"/>
        <w:adjustRightInd w:val="0"/>
        <w:snapToGrid w:val="0"/>
        <w:spacing w:line="336" w:lineRule="auto"/>
        <w:ind w:firstLine="482" w:firstLineChars="200"/>
        <w:jc w:val="both"/>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第十二条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争议的解决：</w:t>
      </w:r>
    </w:p>
    <w:p w14:paraId="69AA0277">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1、因服务质量问题发生争议的，应当邀请</w:t>
      </w:r>
      <w:r>
        <w:rPr>
          <w:rFonts w:hint="eastAsia" w:ascii="宋体" w:hAnsi="宋体" w:cs="宋体"/>
          <w:color w:val="auto"/>
          <w:sz w:val="24"/>
          <w:szCs w:val="24"/>
          <w:highlight w:val="none"/>
        </w:rPr>
        <w:t>第三方</w:t>
      </w:r>
      <w:r>
        <w:rPr>
          <w:rFonts w:hint="eastAsia" w:ascii="宋体" w:hAnsi="宋体" w:cs="宋体"/>
          <w:color w:val="auto"/>
          <w:sz w:val="24"/>
          <w:szCs w:val="24"/>
          <w:highlight w:val="none"/>
          <w:lang w:val="zh-CN"/>
        </w:rPr>
        <w:t>对服务质量进行鉴定。服务符合标准的，鉴定费由甲方承担；服务不符合质量标准的，鉴定费由乙方承担。</w:t>
      </w:r>
    </w:p>
    <w:p w14:paraId="64BA87C3">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2、因履行本合同引起的或与本合同有关的争议，甲、乙双方应首先通过友好协商解决，如果协商不能解决争议，则可向甲方所在地有管辖权的人民法院提起诉讼；</w:t>
      </w:r>
    </w:p>
    <w:p w14:paraId="57514BFF">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3、在仲裁期间，本合同应继续履行。</w:t>
      </w:r>
    </w:p>
    <w:p w14:paraId="01E75FD8">
      <w:pPr>
        <w:widowControl w:val="0"/>
        <w:adjustRightInd w:val="0"/>
        <w:snapToGrid w:val="0"/>
        <w:spacing w:line="336" w:lineRule="auto"/>
        <w:ind w:firstLine="482" w:firstLineChars="200"/>
        <w:jc w:val="both"/>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第十三条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诚实信用</w:t>
      </w:r>
    </w:p>
    <w:p w14:paraId="09B7D8CA">
      <w:pPr>
        <w:widowControl w:val="0"/>
        <w:adjustRightInd w:val="0"/>
        <w:snapToGrid w:val="0"/>
        <w:spacing w:line="336" w:lineRule="auto"/>
        <w:ind w:firstLine="480" w:firstLineChars="200"/>
        <w:jc w:val="both"/>
        <w:rPr>
          <w:rFonts w:hint="eastAsia" w:ascii="宋体" w:hAnsi="宋体" w:cs="宋体"/>
          <w:b/>
          <w:bCs/>
          <w:color w:val="auto"/>
          <w:sz w:val="24"/>
          <w:szCs w:val="24"/>
          <w:highlight w:val="none"/>
          <w:lang w:val="zh-CN"/>
        </w:rPr>
      </w:pPr>
      <w:r>
        <w:rPr>
          <w:rFonts w:hint="eastAsia" w:ascii="宋体" w:hAnsi="宋体" w:cs="宋体"/>
          <w:color w:val="auto"/>
          <w:sz w:val="24"/>
          <w:szCs w:val="24"/>
          <w:highlight w:val="none"/>
          <w:lang w:val="zh-CN"/>
        </w:rPr>
        <w:t>乙方应诚实信用，严格按照竞争性磋商文件要求和磋商承诺履行合同，不向甲方进行商业贿赂或者提供不正当利益。</w:t>
      </w:r>
    </w:p>
    <w:p w14:paraId="630B43DB">
      <w:pPr>
        <w:widowControl w:val="0"/>
        <w:adjustRightInd w:val="0"/>
        <w:snapToGrid w:val="0"/>
        <w:spacing w:line="336" w:lineRule="auto"/>
        <w:ind w:firstLine="482" w:firstLineChars="200"/>
        <w:jc w:val="both"/>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第十四条</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合同生效及其他:</w:t>
      </w:r>
    </w:p>
    <w:p w14:paraId="6B4BC1A5">
      <w:pPr>
        <w:widowControl w:val="0"/>
        <w:numPr>
          <w:ilvl w:val="0"/>
          <w:numId w:val="6"/>
        </w:numPr>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本合同经甲方、乙方授权代表签字盖章后生效。</w:t>
      </w:r>
    </w:p>
    <w:p w14:paraId="43920597">
      <w:pPr>
        <w:widowControl w:val="0"/>
        <w:numPr>
          <w:ilvl w:val="0"/>
          <w:numId w:val="6"/>
        </w:numPr>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本合同一式陆份，甲方叁份，乙方贰份，代理单位壹份。</w:t>
      </w:r>
    </w:p>
    <w:p w14:paraId="30743AF1">
      <w:pPr>
        <w:widowControl w:val="0"/>
        <w:adjustRightInd w:val="0"/>
        <w:snapToGrid w:val="0"/>
        <w:spacing w:line="336" w:lineRule="auto"/>
        <w:ind w:firstLine="480" w:firstLineChars="200"/>
        <w:jc w:val="both"/>
        <w:rPr>
          <w:rFonts w:hint="eastAsia" w:ascii="宋体" w:hAnsi="宋体" w:cs="宋体"/>
          <w:color w:val="auto"/>
          <w:sz w:val="24"/>
          <w:szCs w:val="24"/>
          <w:highlight w:val="none"/>
          <w:lang w:val="zh-CN"/>
        </w:rPr>
      </w:pPr>
      <w:r>
        <w:rPr>
          <w:rFonts w:ascii="宋体" w:hAnsi="宋体" w:cs="宋体"/>
          <w:color w:val="auto"/>
          <w:sz w:val="24"/>
          <w:szCs w:val="24"/>
          <w:highlight w:val="none"/>
          <w:lang w:val="zh-CN"/>
        </w:rPr>
        <w:t>3</w:t>
      </w:r>
      <w:r>
        <w:rPr>
          <w:rFonts w:hint="eastAsia" w:ascii="宋体" w:hAnsi="宋体" w:cs="宋体"/>
          <w:color w:val="auto"/>
          <w:sz w:val="24"/>
          <w:szCs w:val="24"/>
          <w:highlight w:val="none"/>
          <w:lang w:val="zh-CN"/>
        </w:rPr>
        <w:t>、本合同应按照中华人民共和国的现行法律进行解释。</w:t>
      </w:r>
    </w:p>
    <w:p w14:paraId="6FECE6E1">
      <w:pPr>
        <w:widowControl w:val="0"/>
        <w:jc w:val="both"/>
        <w:rPr>
          <w:color w:val="auto"/>
          <w:sz w:val="21"/>
          <w:szCs w:val="24"/>
          <w:highlight w:val="none"/>
          <w:lang w:val="zh-CN"/>
        </w:rPr>
      </w:pPr>
    </w:p>
    <w:p w14:paraId="60B35472">
      <w:pPr>
        <w:widowControl w:val="0"/>
        <w:tabs>
          <w:tab w:val="left" w:pos="5388"/>
        </w:tabs>
        <w:spacing w:before="204" w:line="384" w:lineRule="auto"/>
        <w:jc w:val="both"/>
        <w:rPr>
          <w:color w:val="auto"/>
          <w:sz w:val="24"/>
          <w:szCs w:val="24"/>
          <w:highlight w:val="none"/>
          <w:lang w:val="zh-CN"/>
        </w:rPr>
      </w:pPr>
      <w:r>
        <w:rPr>
          <w:rFonts w:hint="eastAsia"/>
          <w:color w:val="auto"/>
          <w:sz w:val="24"/>
          <w:szCs w:val="24"/>
          <w:highlight w:val="none"/>
        </w:rPr>
        <w:t>采购</w:t>
      </w:r>
      <w:r>
        <w:rPr>
          <w:rFonts w:hint="eastAsia"/>
          <w:color w:val="auto"/>
          <w:sz w:val="24"/>
          <w:szCs w:val="24"/>
          <w:highlight w:val="none"/>
          <w:lang w:val="zh-CN"/>
        </w:rPr>
        <w:t xml:space="preserve">单位（简称“甲方”）（盖章）：    </w:t>
      </w:r>
      <w:r>
        <w:rPr>
          <w:rFonts w:hint="eastAsia"/>
          <w:color w:val="auto"/>
          <w:sz w:val="24"/>
          <w:szCs w:val="24"/>
          <w:highlight w:val="none"/>
        </w:rPr>
        <w:t xml:space="preserve">   </w:t>
      </w:r>
      <w:r>
        <w:rPr>
          <w:rFonts w:hint="eastAsia"/>
          <w:color w:val="auto"/>
          <w:sz w:val="24"/>
          <w:szCs w:val="24"/>
          <w:highlight w:val="none"/>
          <w:lang w:val="zh-CN"/>
        </w:rPr>
        <w:t xml:space="preserve"> 服务单位（简称“乙方”）</w:t>
      </w:r>
      <w:bookmarkStart w:id="11" w:name="page23"/>
      <w:bookmarkEnd w:id="11"/>
      <w:r>
        <w:rPr>
          <w:rFonts w:hint="eastAsia"/>
          <w:color w:val="auto"/>
          <w:sz w:val="24"/>
          <w:szCs w:val="24"/>
          <w:highlight w:val="none"/>
          <w:lang w:val="zh-CN"/>
        </w:rPr>
        <w:t>（盖章）：</w:t>
      </w:r>
    </w:p>
    <w:p w14:paraId="5AE72751">
      <w:pPr>
        <w:widowControl w:val="0"/>
        <w:tabs>
          <w:tab w:val="left" w:pos="5388"/>
        </w:tabs>
        <w:spacing w:before="204" w:line="384" w:lineRule="auto"/>
        <w:jc w:val="both"/>
        <w:rPr>
          <w:color w:val="auto"/>
          <w:sz w:val="24"/>
          <w:szCs w:val="24"/>
          <w:highlight w:val="none"/>
          <w:lang w:val="zh-CN"/>
        </w:rPr>
      </w:pPr>
      <w:r>
        <w:rPr>
          <w:rFonts w:hint="eastAsia"/>
          <w:color w:val="auto"/>
          <w:sz w:val="24"/>
          <w:szCs w:val="24"/>
          <w:highlight w:val="none"/>
          <w:lang w:val="zh-CN"/>
        </w:rPr>
        <w:t>法定代表人</w:t>
      </w:r>
      <w:r>
        <w:rPr>
          <w:color w:val="auto"/>
          <w:sz w:val="24"/>
          <w:szCs w:val="24"/>
          <w:highlight w:val="none"/>
          <w:lang w:val="zh-CN"/>
        </w:rPr>
        <w:t xml:space="preserve"> </w:t>
      </w:r>
      <w:r>
        <w:rPr>
          <w:rFonts w:hint="eastAsia"/>
          <w:color w:val="auto"/>
          <w:sz w:val="24"/>
          <w:szCs w:val="24"/>
          <w:highlight w:val="none"/>
        </w:rPr>
        <w:t xml:space="preserve">                                 </w:t>
      </w:r>
      <w:r>
        <w:rPr>
          <w:rFonts w:hint="eastAsia"/>
          <w:color w:val="auto"/>
          <w:sz w:val="24"/>
          <w:szCs w:val="24"/>
          <w:highlight w:val="none"/>
          <w:lang w:val="zh-CN"/>
        </w:rPr>
        <w:t>法定代表人</w:t>
      </w:r>
    </w:p>
    <w:p w14:paraId="1A1FAADE">
      <w:pPr>
        <w:widowControl w:val="0"/>
        <w:tabs>
          <w:tab w:val="left" w:pos="5388"/>
        </w:tabs>
        <w:spacing w:before="204" w:line="384" w:lineRule="auto"/>
        <w:jc w:val="both"/>
        <w:rPr>
          <w:color w:val="auto"/>
          <w:sz w:val="24"/>
          <w:szCs w:val="24"/>
          <w:highlight w:val="none"/>
          <w:lang w:val="zh-CN"/>
        </w:rPr>
      </w:pPr>
      <w:r>
        <w:rPr>
          <w:rFonts w:hint="eastAsia"/>
          <w:color w:val="auto"/>
          <w:sz w:val="24"/>
          <w:szCs w:val="24"/>
          <w:highlight w:val="none"/>
        </w:rPr>
        <w:t>或授权委托代理人</w:t>
      </w:r>
      <w:r>
        <w:rPr>
          <w:rFonts w:hint="eastAsia"/>
          <w:color w:val="auto"/>
          <w:sz w:val="24"/>
          <w:szCs w:val="24"/>
          <w:highlight w:val="none"/>
          <w:lang w:val="zh-CN"/>
        </w:rPr>
        <w:t xml:space="preserve">（签字或盖章）： </w:t>
      </w:r>
      <w:r>
        <w:rPr>
          <w:color w:val="auto"/>
          <w:sz w:val="24"/>
          <w:szCs w:val="24"/>
          <w:highlight w:val="none"/>
          <w:lang w:val="zh-CN"/>
        </w:rPr>
        <w:t xml:space="preserve">          </w:t>
      </w:r>
      <w:r>
        <w:rPr>
          <w:rFonts w:hint="eastAsia"/>
          <w:color w:val="auto"/>
          <w:sz w:val="24"/>
          <w:szCs w:val="24"/>
          <w:highlight w:val="none"/>
        </w:rPr>
        <w:t>或授权委托代理人</w:t>
      </w:r>
      <w:r>
        <w:rPr>
          <w:rFonts w:hint="eastAsia"/>
          <w:color w:val="auto"/>
          <w:sz w:val="24"/>
          <w:szCs w:val="24"/>
          <w:highlight w:val="none"/>
          <w:lang w:val="zh-CN"/>
        </w:rPr>
        <w:t>（签字或盖章）：</w:t>
      </w:r>
    </w:p>
    <w:p w14:paraId="0696469B">
      <w:pPr>
        <w:pStyle w:val="6"/>
        <w:widowControl w:val="0"/>
        <w:spacing w:after="0"/>
        <w:rPr>
          <w:color w:val="auto"/>
          <w:highlight w:val="none"/>
          <w:lang w:val="zh-CN"/>
        </w:rPr>
      </w:pPr>
    </w:p>
    <w:p w14:paraId="77BB9F96">
      <w:pPr>
        <w:rPr>
          <w:color w:val="auto"/>
          <w:sz w:val="24"/>
          <w:szCs w:val="24"/>
          <w:highlight w:val="none"/>
        </w:rPr>
      </w:pPr>
      <w:r>
        <w:rPr>
          <w:rFonts w:hint="eastAsia"/>
          <w:color w:val="auto"/>
          <w:sz w:val="24"/>
          <w:szCs w:val="24"/>
          <w:highlight w:val="none"/>
          <w:lang w:val="zh-CN"/>
        </w:rPr>
        <w:t xml:space="preserve">年 </w:t>
      </w:r>
      <w:r>
        <w:rPr>
          <w:color w:val="auto"/>
          <w:sz w:val="24"/>
          <w:szCs w:val="24"/>
          <w:highlight w:val="none"/>
          <w:lang w:val="zh-CN"/>
        </w:rPr>
        <w:t xml:space="preserve"> </w:t>
      </w:r>
      <w:r>
        <w:rPr>
          <w:rFonts w:hint="eastAsia"/>
          <w:color w:val="auto"/>
          <w:sz w:val="24"/>
          <w:szCs w:val="24"/>
          <w:highlight w:val="none"/>
          <w:lang w:val="zh-CN"/>
        </w:rPr>
        <w:t xml:space="preserve">月 </w:t>
      </w:r>
      <w:r>
        <w:rPr>
          <w:color w:val="auto"/>
          <w:sz w:val="24"/>
          <w:szCs w:val="24"/>
          <w:highlight w:val="none"/>
          <w:lang w:val="zh-CN"/>
        </w:rPr>
        <w:t xml:space="preserve"> </w:t>
      </w:r>
      <w:r>
        <w:rPr>
          <w:rFonts w:hint="eastAsia"/>
          <w:color w:val="auto"/>
          <w:sz w:val="24"/>
          <w:szCs w:val="24"/>
          <w:highlight w:val="none"/>
          <w:lang w:val="zh-CN"/>
        </w:rPr>
        <w:t>日</w:t>
      </w:r>
      <w:r>
        <w:rPr>
          <w:rFonts w:hint="eastAsia"/>
          <w:color w:val="auto"/>
          <w:sz w:val="24"/>
          <w:szCs w:val="24"/>
          <w:highlight w:val="none"/>
        </w:rPr>
        <w:t xml:space="preserve">                                  年   月   日</w:t>
      </w:r>
    </w:p>
    <w:p w14:paraId="2B2B3AD2">
      <w:pPr>
        <w:rPr>
          <w:rFonts w:hint="eastAsia" w:ascii="宋体" w:hAnsi="宋体" w:cs="宋体"/>
          <w:color w:val="auto"/>
          <w:highlight w:val="none"/>
        </w:rPr>
        <w:sectPr>
          <w:headerReference r:id="rId6" w:type="first"/>
          <w:footerReference r:id="rId8" w:type="first"/>
          <w:headerReference r:id="rId5" w:type="default"/>
          <w:footerReference r:id="rId7" w:type="default"/>
          <w:pgSz w:w="11905" w:h="16838"/>
          <w:pgMar w:top="1191" w:right="1174" w:bottom="1157" w:left="1088" w:header="850" w:footer="624" w:gutter="0"/>
          <w:cols w:space="0" w:num="1"/>
          <w:titlePg/>
          <w:docGrid w:linePitch="360" w:charSpace="0"/>
        </w:sectPr>
      </w:pPr>
    </w:p>
    <w:p w14:paraId="3D994E2F">
      <w:pPr>
        <w:rPr>
          <w:rFonts w:hint="eastAsia" w:ascii="宋体" w:hAnsi="宋体" w:cs="宋体"/>
          <w:color w:val="auto"/>
          <w:highlight w:val="none"/>
        </w:rPr>
      </w:pPr>
      <w:r>
        <w:rPr>
          <w:rFonts w:hint="eastAsia" w:ascii="宋体" w:hAnsi="宋体" w:cs="宋体"/>
          <w:color w:val="auto"/>
          <w:highlight w:val="none"/>
        </w:rPr>
        <w:t xml:space="preserve">    </w:t>
      </w:r>
    </w:p>
    <w:p w14:paraId="4AA61607">
      <w:pPr>
        <w:jc w:val="center"/>
        <w:rPr>
          <w:b/>
          <w:bCs/>
          <w:color w:val="auto"/>
          <w:sz w:val="44"/>
          <w:szCs w:val="44"/>
          <w:highlight w:val="none"/>
        </w:rPr>
      </w:pPr>
    </w:p>
    <w:p w14:paraId="47433F9B">
      <w:pPr>
        <w:jc w:val="center"/>
        <w:rPr>
          <w:color w:val="auto"/>
          <w:sz w:val="28"/>
          <w:szCs w:val="28"/>
          <w:highlight w:val="none"/>
        </w:rPr>
      </w:pPr>
      <w:r>
        <w:rPr>
          <w:rFonts w:hint="eastAsia"/>
          <w:b/>
          <w:bCs/>
          <w:color w:val="auto"/>
          <w:sz w:val="44"/>
          <w:szCs w:val="44"/>
          <w:highlight w:val="none"/>
        </w:rPr>
        <w:t>第六章  附件</w:t>
      </w:r>
    </w:p>
    <w:p w14:paraId="7548B9E3">
      <w:pPr>
        <w:rPr>
          <w:color w:val="auto"/>
          <w:highlight w:val="none"/>
        </w:rPr>
      </w:pPr>
    </w:p>
    <w:p w14:paraId="6E478C1F">
      <w:pPr>
        <w:pStyle w:val="18"/>
        <w:rPr>
          <w:color w:val="auto"/>
          <w:highlight w:val="none"/>
        </w:rPr>
      </w:pPr>
    </w:p>
    <w:p w14:paraId="2B9D0F21">
      <w:pPr>
        <w:pStyle w:val="18"/>
        <w:rPr>
          <w:color w:val="auto"/>
          <w:highlight w:val="none"/>
        </w:rPr>
      </w:pPr>
    </w:p>
    <w:p w14:paraId="35FB1D26">
      <w:pPr>
        <w:pStyle w:val="3"/>
        <w:keepNext w:val="0"/>
        <w:keepLines w:val="0"/>
        <w:widowControl w:val="0"/>
        <w:rPr>
          <w:rFonts w:hint="eastAsia" w:ascii="宋体" w:hAnsi="宋体" w:cs="宋体"/>
          <w:color w:val="auto"/>
          <w:szCs w:val="32"/>
          <w:highlight w:val="none"/>
        </w:rPr>
      </w:pPr>
      <w:r>
        <w:rPr>
          <w:rFonts w:hint="eastAsia"/>
          <w:color w:val="auto"/>
          <w:highlight w:val="none"/>
        </w:rPr>
        <w:t>（竞争性磋商响应文件及附件格式）</w:t>
      </w:r>
    </w:p>
    <w:p w14:paraId="1EE18B07">
      <w:pPr>
        <w:widowControl w:val="0"/>
        <w:jc w:val="center"/>
        <w:rPr>
          <w:rFonts w:hint="eastAsia" w:ascii="宋体" w:hAnsi="宋体" w:cs="宋体"/>
          <w:b/>
          <w:color w:val="auto"/>
          <w:sz w:val="31"/>
          <w:szCs w:val="31"/>
          <w:highlight w:val="none"/>
        </w:rPr>
      </w:pPr>
    </w:p>
    <w:p w14:paraId="4173A8D5">
      <w:pPr>
        <w:widowControl w:val="0"/>
        <w:rPr>
          <w:rFonts w:hint="eastAsia" w:ascii="宋体" w:hAnsi="宋体" w:cs="宋体"/>
          <w:b/>
          <w:color w:val="auto"/>
          <w:sz w:val="40"/>
          <w:szCs w:val="40"/>
          <w:highlight w:val="none"/>
        </w:rPr>
      </w:pPr>
    </w:p>
    <w:p w14:paraId="3F02AA6C">
      <w:pPr>
        <w:widowControl w:val="0"/>
        <w:jc w:val="center"/>
        <w:rPr>
          <w:rFonts w:hint="eastAsia" w:ascii="宋体" w:hAnsi="宋体" w:cs="宋体"/>
          <w:b/>
          <w:color w:val="auto"/>
          <w:sz w:val="43"/>
          <w:szCs w:val="43"/>
          <w:highlight w:val="none"/>
        </w:rPr>
      </w:pPr>
    </w:p>
    <w:p w14:paraId="39E7AB4C">
      <w:pPr>
        <w:widowControl w:val="0"/>
        <w:jc w:val="center"/>
        <w:rPr>
          <w:rFonts w:hint="eastAsia" w:ascii="宋体" w:hAnsi="宋体" w:cs="宋体"/>
          <w:b/>
          <w:color w:val="auto"/>
          <w:sz w:val="43"/>
          <w:szCs w:val="43"/>
          <w:highlight w:val="none"/>
        </w:rPr>
      </w:pPr>
      <w:r>
        <w:rPr>
          <w:rFonts w:hint="eastAsia" w:ascii="宋体" w:hAnsi="宋体" w:cs="宋体"/>
          <w:b/>
          <w:color w:val="auto"/>
          <w:sz w:val="43"/>
          <w:szCs w:val="43"/>
          <w:highlight w:val="none"/>
        </w:rPr>
        <w:t>竞争性磋商响应文件</w:t>
      </w:r>
    </w:p>
    <w:p w14:paraId="7FE09D63">
      <w:pPr>
        <w:widowControl w:val="0"/>
        <w:jc w:val="center"/>
        <w:rPr>
          <w:rFonts w:hint="eastAsia" w:ascii="宋体" w:hAnsi="宋体" w:cs="宋体"/>
          <w:b/>
          <w:color w:val="auto"/>
          <w:sz w:val="43"/>
          <w:szCs w:val="43"/>
          <w:highlight w:val="none"/>
        </w:rPr>
      </w:pPr>
    </w:p>
    <w:p w14:paraId="6E8D0707">
      <w:pPr>
        <w:widowControl w:val="0"/>
        <w:rPr>
          <w:rFonts w:hint="eastAsia" w:ascii="宋体" w:hAnsi="宋体" w:cs="宋体"/>
          <w:b/>
          <w:color w:val="auto"/>
          <w:sz w:val="43"/>
          <w:szCs w:val="43"/>
          <w:highlight w:val="none"/>
        </w:rPr>
      </w:pPr>
    </w:p>
    <w:p w14:paraId="6AF57F33">
      <w:pPr>
        <w:pStyle w:val="3"/>
        <w:keepNext w:val="0"/>
        <w:keepLines w:val="0"/>
        <w:widowControl w:val="0"/>
        <w:rPr>
          <w:color w:val="auto"/>
          <w:highlight w:val="none"/>
        </w:rPr>
      </w:pPr>
    </w:p>
    <w:p w14:paraId="0D2D881C">
      <w:pPr>
        <w:widowControl w:val="0"/>
        <w:spacing w:line="360" w:lineRule="auto"/>
        <w:ind w:firstLine="1084"/>
        <w:rPr>
          <w:rFonts w:ascii="宋体"/>
          <w:b/>
          <w:bCs/>
          <w:color w:val="auto"/>
          <w:sz w:val="36"/>
          <w:szCs w:val="36"/>
          <w:highlight w:val="none"/>
        </w:rPr>
      </w:pPr>
      <w:r>
        <w:rPr>
          <w:rFonts w:hint="eastAsia" w:ascii="宋体" w:hAnsi="宋体" w:cs="宋体"/>
          <w:b/>
          <w:bCs/>
          <w:color w:val="auto"/>
          <w:sz w:val="36"/>
          <w:szCs w:val="36"/>
          <w:highlight w:val="none"/>
        </w:rPr>
        <w:t>项目编号：</w:t>
      </w:r>
    </w:p>
    <w:p w14:paraId="18A12FA1">
      <w:pPr>
        <w:widowControl w:val="0"/>
        <w:spacing w:line="360" w:lineRule="auto"/>
        <w:ind w:firstLine="1084"/>
        <w:rPr>
          <w:rFonts w:ascii="宋体"/>
          <w:b/>
          <w:bCs/>
          <w:color w:val="auto"/>
          <w:sz w:val="36"/>
          <w:szCs w:val="36"/>
          <w:highlight w:val="none"/>
          <w:u w:val="single"/>
        </w:rPr>
      </w:pPr>
      <w:r>
        <w:rPr>
          <w:rFonts w:hint="eastAsia" w:ascii="宋体" w:hAnsi="宋体" w:cs="宋体"/>
          <w:b/>
          <w:bCs/>
          <w:color w:val="auto"/>
          <w:sz w:val="36"/>
          <w:szCs w:val="36"/>
          <w:highlight w:val="none"/>
        </w:rPr>
        <w:t>项目名称：</w:t>
      </w:r>
    </w:p>
    <w:p w14:paraId="5C895655">
      <w:pPr>
        <w:widowControl w:val="0"/>
        <w:rPr>
          <w:rFonts w:ascii="宋体"/>
          <w:b/>
          <w:bCs/>
          <w:color w:val="auto"/>
          <w:sz w:val="36"/>
          <w:szCs w:val="36"/>
          <w:highlight w:val="none"/>
        </w:rPr>
      </w:pPr>
    </w:p>
    <w:p w14:paraId="48D1803E">
      <w:pPr>
        <w:widowControl w:val="0"/>
        <w:rPr>
          <w:rFonts w:ascii="宋体"/>
          <w:b/>
          <w:bCs/>
          <w:color w:val="auto"/>
          <w:sz w:val="36"/>
          <w:szCs w:val="36"/>
          <w:highlight w:val="none"/>
        </w:rPr>
      </w:pPr>
    </w:p>
    <w:p w14:paraId="3200C5A7">
      <w:pPr>
        <w:widowControl w:val="0"/>
        <w:rPr>
          <w:rFonts w:ascii="宋体"/>
          <w:b/>
          <w:bCs/>
          <w:color w:val="auto"/>
          <w:sz w:val="36"/>
          <w:szCs w:val="36"/>
          <w:highlight w:val="none"/>
        </w:rPr>
      </w:pPr>
    </w:p>
    <w:p w14:paraId="48254D19">
      <w:pPr>
        <w:widowControl w:val="0"/>
        <w:rPr>
          <w:rFonts w:ascii="宋体"/>
          <w:b/>
          <w:bCs/>
          <w:color w:val="auto"/>
          <w:sz w:val="36"/>
          <w:szCs w:val="36"/>
          <w:highlight w:val="none"/>
        </w:rPr>
      </w:pPr>
    </w:p>
    <w:p w14:paraId="61208A57">
      <w:pPr>
        <w:widowControl w:val="0"/>
        <w:rPr>
          <w:rFonts w:ascii="宋体"/>
          <w:b/>
          <w:bCs/>
          <w:color w:val="auto"/>
          <w:sz w:val="36"/>
          <w:szCs w:val="36"/>
          <w:highlight w:val="none"/>
        </w:rPr>
      </w:pPr>
    </w:p>
    <w:p w14:paraId="1A260B69">
      <w:pPr>
        <w:widowControl w:val="0"/>
        <w:spacing w:line="360" w:lineRule="auto"/>
        <w:ind w:firstLine="1084"/>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供应商名称：</w:t>
      </w:r>
    </w:p>
    <w:p w14:paraId="3E3506C9">
      <w:pPr>
        <w:widowControl w:val="0"/>
        <w:spacing w:line="360" w:lineRule="auto"/>
        <w:ind w:firstLine="1084"/>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法定代表人或其委托代理人：（签字或盖章）</w:t>
      </w:r>
    </w:p>
    <w:p w14:paraId="54C7172E">
      <w:pPr>
        <w:widowControl w:val="0"/>
        <w:spacing w:line="360" w:lineRule="auto"/>
        <w:ind w:firstLine="1084"/>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日期：</w:t>
      </w:r>
    </w:p>
    <w:p w14:paraId="191D1248">
      <w:pPr>
        <w:pStyle w:val="20"/>
        <w:widowControl w:val="0"/>
        <w:rPr>
          <w:rFonts w:hint="eastAsia"/>
          <w:color w:val="auto"/>
          <w:highlight w:val="none"/>
        </w:rPr>
      </w:pPr>
    </w:p>
    <w:p w14:paraId="5C39E9C4">
      <w:pPr>
        <w:pStyle w:val="20"/>
        <w:widowControl w:val="0"/>
        <w:rPr>
          <w:rFonts w:hint="eastAsia"/>
          <w:color w:val="auto"/>
          <w:highlight w:val="none"/>
        </w:rPr>
      </w:pPr>
    </w:p>
    <w:p w14:paraId="7FDE6858">
      <w:pPr>
        <w:rPr>
          <w:rFonts w:hint="eastAsia" w:ascii="宋体" w:hAnsi="宋体" w:cs="宋体"/>
          <w:b/>
          <w:bCs/>
          <w:color w:val="auto"/>
          <w:sz w:val="32"/>
          <w:szCs w:val="32"/>
          <w:highlight w:val="none"/>
        </w:rPr>
      </w:pPr>
      <w:bookmarkStart w:id="12" w:name="_Toc489655320"/>
      <w:r>
        <w:rPr>
          <w:rFonts w:hint="eastAsia" w:ascii="宋体" w:hAnsi="宋体" w:cs="宋体"/>
          <w:b/>
          <w:bCs/>
          <w:color w:val="auto"/>
          <w:sz w:val="32"/>
          <w:szCs w:val="32"/>
          <w:highlight w:val="none"/>
        </w:rPr>
        <w:br w:type="page" w:clear="all"/>
      </w:r>
      <w:bookmarkEnd w:id="12"/>
    </w:p>
    <w:p w14:paraId="4C505C33">
      <w:pPr>
        <w:widowControl w:val="0"/>
        <w:rPr>
          <w:color w:val="auto"/>
          <w:highlight w:val="none"/>
        </w:rPr>
      </w:pPr>
      <w:r>
        <w:rPr>
          <w:rFonts w:hint="eastAsia" w:ascii="宋体" w:hAnsi="宋体" w:cs="宋体"/>
          <w:b/>
          <w:color w:val="auto"/>
          <w:sz w:val="31"/>
          <w:szCs w:val="31"/>
          <w:highlight w:val="none"/>
        </w:rPr>
        <w:t>附件一、磋商申请及声明格式</w:t>
      </w:r>
    </w:p>
    <w:p w14:paraId="325797D3">
      <w:pPr>
        <w:widowControl w:val="0"/>
        <w:spacing w:line="360" w:lineRule="auto"/>
        <w:jc w:val="center"/>
        <w:rPr>
          <w:color w:val="auto"/>
          <w:highlight w:val="none"/>
        </w:rPr>
      </w:pPr>
      <w:r>
        <w:rPr>
          <w:rFonts w:hint="eastAsia" w:ascii="宋体" w:hAnsi="宋体" w:cs="宋体"/>
          <w:color w:val="auto"/>
          <w:sz w:val="28"/>
          <w:szCs w:val="28"/>
          <w:highlight w:val="none"/>
        </w:rPr>
        <w:t>磋商申请及声明</w:t>
      </w:r>
    </w:p>
    <w:p w14:paraId="3FF1F9D9">
      <w:pPr>
        <w:spacing w:line="288" w:lineRule="auto"/>
        <w:rPr>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（采购人）</w:t>
      </w:r>
    </w:p>
    <w:p w14:paraId="5325BF5C">
      <w:pPr>
        <w:spacing w:line="288" w:lineRule="auto"/>
        <w:ind w:left="200" w:firstLine="957"/>
        <w:rPr>
          <w:color w:val="auto"/>
          <w:sz w:val="24"/>
          <w:szCs w:val="24"/>
          <w:highlight w:val="none"/>
        </w:rPr>
      </w:pPr>
      <w:r>
        <w:rPr>
          <w:rFonts w:hint="eastAsia" w:ascii="宋体" w:hAnsi="宋体" w:cs="宋体"/>
          <w:color w:val="auto"/>
          <w:sz w:val="24"/>
          <w:szCs w:val="24"/>
          <w:highlight w:val="none"/>
        </w:rPr>
        <w:t>根据贵方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（项目编号）投标邀请，正式授权下述签字人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(姓名)代表供应商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（供应商名称），提交竞争性磋商响应文件。</w:t>
      </w:r>
    </w:p>
    <w:p w14:paraId="4A03F1D8">
      <w:pPr>
        <w:spacing w:line="288" w:lineRule="auto"/>
        <w:ind w:firstLine="480"/>
        <w:rPr>
          <w:color w:val="auto"/>
          <w:sz w:val="24"/>
          <w:szCs w:val="24"/>
          <w:highlight w:val="none"/>
        </w:rPr>
      </w:pPr>
      <w:r>
        <w:rPr>
          <w:rFonts w:hint="eastAsia" w:ascii="宋体" w:hAnsi="宋体" w:cs="宋体"/>
          <w:color w:val="auto"/>
          <w:sz w:val="24"/>
          <w:szCs w:val="24"/>
          <w:highlight w:val="none"/>
        </w:rPr>
        <w:t>据此函，签字人兹宣布声明和承诺如下：</w:t>
      </w:r>
    </w:p>
    <w:p w14:paraId="2CAC432D">
      <w:pPr>
        <w:spacing w:line="288" w:lineRule="auto"/>
        <w:ind w:firstLine="480"/>
        <w:rPr>
          <w:color w:val="auto"/>
          <w:sz w:val="24"/>
          <w:szCs w:val="24"/>
          <w:highlight w:val="none"/>
        </w:rPr>
      </w:pPr>
      <w:r>
        <w:rPr>
          <w:rFonts w:hint="eastAsia" w:ascii="宋体" w:hAnsi="宋体" w:cs="宋体"/>
          <w:color w:val="auto"/>
          <w:sz w:val="24"/>
          <w:szCs w:val="24"/>
          <w:highlight w:val="none"/>
        </w:rPr>
        <w:t>1、我们的资格条件完全符合本次磋商要求，我们同意并向贵方提供了与投标有关的所有证据和资料。</w:t>
      </w:r>
    </w:p>
    <w:p w14:paraId="0C049D3D">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2、按磋商要求，我们的首次报价为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，大写</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14:paraId="22BBB9C3">
      <w:pPr>
        <w:spacing w:line="288" w:lineRule="auto"/>
        <w:ind w:firstLine="480"/>
        <w:rPr>
          <w:color w:val="auto"/>
          <w:sz w:val="24"/>
          <w:szCs w:val="24"/>
          <w:highlight w:val="none"/>
        </w:rPr>
      </w:pPr>
      <w:r>
        <w:rPr>
          <w:rFonts w:hint="eastAsia" w:ascii="宋体" w:hAnsi="宋体" w:cs="宋体"/>
          <w:color w:val="auto"/>
          <w:sz w:val="24"/>
          <w:szCs w:val="24"/>
          <w:highlight w:val="none"/>
        </w:rPr>
        <w:t>3、项目负责人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（姓名）；合同履行期限：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0D69B8A">
      <w:pPr>
        <w:spacing w:line="288" w:lineRule="auto"/>
        <w:ind w:firstLine="480"/>
        <w:rPr>
          <w:color w:val="auto"/>
          <w:sz w:val="24"/>
          <w:szCs w:val="24"/>
          <w:highlight w:val="none"/>
        </w:rPr>
      </w:pPr>
      <w:r>
        <w:rPr>
          <w:rFonts w:hint="eastAsia" w:ascii="宋体" w:hAnsi="宋体" w:cs="宋体"/>
          <w:color w:val="auto"/>
          <w:sz w:val="24"/>
          <w:szCs w:val="24"/>
          <w:highlight w:val="none"/>
        </w:rPr>
        <w:t>4、我们已详细审核全部竞争性磋商文件及其有效补充文件，我们放弃对竞争性磋商文件任何误解的权利，在提交竞争性磋商响应文件后，不对竞争性磋商文件本身提出质疑。</w:t>
      </w:r>
    </w:p>
    <w:p w14:paraId="6F11FB7B">
      <w:pPr>
        <w:spacing w:line="288" w:lineRule="auto"/>
        <w:ind w:firstLine="480"/>
        <w:rPr>
          <w:color w:val="auto"/>
          <w:sz w:val="24"/>
          <w:szCs w:val="24"/>
          <w:highlight w:val="none"/>
        </w:rPr>
      </w:pPr>
      <w:r>
        <w:rPr>
          <w:rFonts w:hint="eastAsia" w:ascii="宋体" w:hAnsi="宋体" w:cs="宋体"/>
          <w:color w:val="auto"/>
          <w:sz w:val="24"/>
          <w:szCs w:val="24"/>
          <w:highlight w:val="none"/>
        </w:rPr>
        <w:t>5、我们同意从规定的磋商日期起遵循本竞争性磋商响应文件，并在规定的投标有效期期满之前均具有约束力。</w:t>
      </w:r>
    </w:p>
    <w:p w14:paraId="75374B00">
      <w:pPr>
        <w:spacing w:line="288" w:lineRule="auto"/>
        <w:ind w:firstLine="480"/>
        <w:rPr>
          <w:color w:val="auto"/>
          <w:sz w:val="24"/>
          <w:szCs w:val="24"/>
          <w:highlight w:val="none"/>
        </w:rPr>
      </w:pPr>
      <w:r>
        <w:rPr>
          <w:rFonts w:hint="eastAsia" w:ascii="宋体" w:hAnsi="宋体" w:cs="宋体"/>
          <w:color w:val="auto"/>
          <w:sz w:val="24"/>
          <w:szCs w:val="24"/>
          <w:highlight w:val="none"/>
        </w:rPr>
        <w:t>6、一旦我方成交，我方将根据竞争性磋商文件的规定严格履行合同。</w:t>
      </w:r>
    </w:p>
    <w:p w14:paraId="736CDE0E">
      <w:pPr>
        <w:spacing w:line="288" w:lineRule="auto"/>
        <w:ind w:firstLine="480"/>
        <w:rPr>
          <w:color w:val="auto"/>
          <w:sz w:val="24"/>
          <w:szCs w:val="24"/>
          <w:highlight w:val="none"/>
        </w:rPr>
      </w:pPr>
      <w:r>
        <w:rPr>
          <w:rFonts w:hint="eastAsia" w:ascii="宋体" w:hAnsi="宋体" w:cs="宋体"/>
          <w:color w:val="auto"/>
          <w:sz w:val="24"/>
          <w:szCs w:val="24"/>
          <w:highlight w:val="none"/>
        </w:rPr>
        <w:t>7、我方决不提供虚假材料谋取成交、决不采取不正当手段诋毁、排挤其他供应商、决不与采购人、其他供应商或者招标代理恶意串通、决不向采购人、采购单位工作人员和评委进行商业贿赂、决不在采购过程中与采购人进行协商谈判、决不拒绝有关部门监督检查或提供虚假情况，如有违反，无条件接受贵方及相关管理部门的处罚。</w:t>
      </w:r>
    </w:p>
    <w:p w14:paraId="59BA1CCD">
      <w:pPr>
        <w:spacing w:line="288" w:lineRule="auto"/>
        <w:ind w:firstLine="480"/>
        <w:rPr>
          <w:color w:val="auto"/>
          <w:sz w:val="24"/>
          <w:szCs w:val="24"/>
          <w:highlight w:val="none"/>
        </w:rPr>
      </w:pPr>
      <w:r>
        <w:rPr>
          <w:rFonts w:hint="eastAsia" w:ascii="宋体" w:hAnsi="宋体" w:cs="宋体"/>
          <w:color w:val="auto"/>
          <w:sz w:val="24"/>
          <w:szCs w:val="24"/>
          <w:highlight w:val="none"/>
        </w:rPr>
        <w:t>8、与本投标有关的正式联系方式为：</w:t>
      </w:r>
    </w:p>
    <w:p w14:paraId="0B711172">
      <w:pPr>
        <w:spacing w:line="288" w:lineRule="auto"/>
        <w:ind w:firstLine="480"/>
        <w:rPr>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 xml:space="preserve">         </w:t>
      </w:r>
    </w:p>
    <w:p w14:paraId="3975A697">
      <w:pPr>
        <w:spacing w:line="288" w:lineRule="auto"/>
        <w:ind w:firstLine="48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 xml:space="preserve">         </w:t>
      </w:r>
    </w:p>
    <w:p w14:paraId="61F5CEC6">
      <w:pPr>
        <w:spacing w:line="288" w:lineRule="auto"/>
        <w:ind w:firstLine="480"/>
        <w:rPr>
          <w:color w:val="auto"/>
          <w:sz w:val="24"/>
          <w:szCs w:val="24"/>
          <w:highlight w:val="none"/>
        </w:rPr>
      </w:pPr>
      <w:r>
        <w:rPr>
          <w:rFonts w:hint="eastAsia" w:ascii="宋体" w:hAnsi="宋体" w:cs="宋体"/>
          <w:color w:val="auto"/>
          <w:sz w:val="24"/>
          <w:szCs w:val="24"/>
          <w:highlight w:val="none"/>
        </w:rPr>
        <w:t>传真：</w:t>
      </w:r>
      <w:r>
        <w:rPr>
          <w:rFonts w:hint="eastAsia" w:ascii="宋体" w:hAnsi="宋体" w:cs="宋体"/>
          <w:color w:val="auto"/>
          <w:sz w:val="24"/>
          <w:szCs w:val="24"/>
          <w:highlight w:val="none"/>
          <w:u w:val="single"/>
        </w:rPr>
        <w:t xml:space="preserve">         </w:t>
      </w:r>
    </w:p>
    <w:p w14:paraId="3A5BF5F5">
      <w:pPr>
        <w:spacing w:line="288" w:lineRule="auto"/>
        <w:ind w:firstLine="480"/>
        <w:rPr>
          <w:color w:val="auto"/>
          <w:sz w:val="24"/>
          <w:szCs w:val="24"/>
          <w:highlight w:val="none"/>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u w:val="single"/>
        </w:rPr>
        <w:t xml:space="preserve">         </w:t>
      </w:r>
    </w:p>
    <w:p w14:paraId="4ED6180A">
      <w:pPr>
        <w:spacing w:line="288" w:lineRule="auto"/>
        <w:ind w:firstLine="480"/>
        <w:rPr>
          <w:color w:val="auto"/>
          <w:sz w:val="24"/>
          <w:szCs w:val="24"/>
          <w:highlight w:val="none"/>
        </w:rPr>
      </w:pPr>
      <w:r>
        <w:rPr>
          <w:rFonts w:hint="eastAsia" w:ascii="宋体" w:hAnsi="宋体" w:cs="宋体"/>
          <w:color w:val="auto"/>
          <w:sz w:val="24"/>
          <w:szCs w:val="24"/>
          <w:highlight w:val="none"/>
        </w:rPr>
        <w:t>银行账号：</w:t>
      </w:r>
      <w:r>
        <w:rPr>
          <w:rFonts w:hint="eastAsia" w:ascii="宋体" w:hAnsi="宋体" w:cs="宋体"/>
          <w:color w:val="auto"/>
          <w:sz w:val="24"/>
          <w:szCs w:val="24"/>
          <w:highlight w:val="none"/>
          <w:u w:val="single"/>
        </w:rPr>
        <w:t xml:space="preserve">         </w:t>
      </w:r>
    </w:p>
    <w:p w14:paraId="773FEA73">
      <w:pPr>
        <w:spacing w:line="288" w:lineRule="auto"/>
        <w:ind w:firstLine="480"/>
        <w:rPr>
          <w:color w:val="auto"/>
          <w:sz w:val="24"/>
          <w:szCs w:val="24"/>
          <w:highlight w:val="none"/>
        </w:rPr>
      </w:pPr>
      <w:r>
        <w:rPr>
          <w:rFonts w:hint="eastAsia" w:ascii="宋体" w:hAnsi="宋体" w:cs="宋体"/>
          <w:color w:val="auto"/>
          <w:sz w:val="24"/>
          <w:szCs w:val="24"/>
          <w:highlight w:val="none"/>
        </w:rPr>
        <w:t>供应商授权代表姓名（签字）：</w:t>
      </w:r>
      <w:r>
        <w:rPr>
          <w:rFonts w:hint="eastAsia" w:ascii="宋体" w:hAnsi="宋体" w:cs="宋体"/>
          <w:color w:val="auto"/>
          <w:sz w:val="24"/>
          <w:szCs w:val="24"/>
          <w:highlight w:val="none"/>
          <w:u w:val="single"/>
        </w:rPr>
        <w:t xml:space="preserve">         </w:t>
      </w:r>
    </w:p>
    <w:p w14:paraId="36104912">
      <w:pPr>
        <w:spacing w:line="288" w:lineRule="auto"/>
        <w:ind w:firstLine="480"/>
        <w:rPr>
          <w:color w:val="auto"/>
          <w:sz w:val="24"/>
          <w:szCs w:val="24"/>
          <w:highlight w:val="none"/>
        </w:rPr>
      </w:pP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（加盖公章）                    </w:t>
      </w:r>
    </w:p>
    <w:p w14:paraId="10DBC239">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FE8BAC2">
      <w:pPr>
        <w:widowControl w:val="0"/>
        <w:spacing w:line="360" w:lineRule="auto"/>
        <w:ind w:firstLine="420"/>
        <w:rPr>
          <w:color w:val="auto"/>
          <w:highlight w:val="none"/>
        </w:rPr>
      </w:pPr>
    </w:p>
    <w:p w14:paraId="2FBF1C97">
      <w:pPr>
        <w:pStyle w:val="18"/>
        <w:rPr>
          <w:color w:val="auto"/>
          <w:highlight w:val="none"/>
        </w:rPr>
      </w:pPr>
    </w:p>
    <w:p w14:paraId="7F666726">
      <w:pPr>
        <w:rPr>
          <w:rFonts w:hint="eastAsia" w:ascii="宋体" w:hAnsi="宋体" w:cs="宋体"/>
          <w:b/>
          <w:color w:val="auto"/>
          <w:sz w:val="31"/>
          <w:szCs w:val="31"/>
          <w:highlight w:val="none"/>
        </w:rPr>
      </w:pPr>
      <w:r>
        <w:rPr>
          <w:rFonts w:hint="eastAsia" w:ascii="宋体" w:hAnsi="宋体" w:cs="宋体"/>
          <w:b/>
          <w:color w:val="auto"/>
          <w:sz w:val="31"/>
          <w:szCs w:val="31"/>
          <w:highlight w:val="none"/>
        </w:rPr>
        <w:br w:type="page" w:clear="all"/>
      </w:r>
    </w:p>
    <w:p w14:paraId="17DCFF0F">
      <w:pPr>
        <w:widowControl w:val="0"/>
        <w:rPr>
          <w:color w:val="auto"/>
          <w:highlight w:val="none"/>
        </w:rPr>
      </w:pPr>
      <w:r>
        <w:rPr>
          <w:rFonts w:hint="eastAsia" w:ascii="宋体" w:hAnsi="宋体" w:cs="宋体"/>
          <w:b/>
          <w:color w:val="auto"/>
          <w:sz w:val="31"/>
          <w:szCs w:val="31"/>
          <w:highlight w:val="none"/>
        </w:rPr>
        <w:t>附件二、法定代表人授权委托书格式</w:t>
      </w:r>
    </w:p>
    <w:p w14:paraId="0930FE77">
      <w:pPr>
        <w:widowControl w:val="0"/>
        <w:spacing w:line="360" w:lineRule="auto"/>
        <w:jc w:val="center"/>
        <w:rPr>
          <w:color w:val="auto"/>
          <w:sz w:val="21"/>
          <w:szCs w:val="21"/>
          <w:highlight w:val="none"/>
        </w:rPr>
      </w:pPr>
      <w:r>
        <w:rPr>
          <w:rFonts w:hint="eastAsia" w:ascii="宋体" w:hAnsi="宋体" w:cs="宋体"/>
          <w:color w:val="auto"/>
          <w:sz w:val="32"/>
          <w:szCs w:val="32"/>
          <w:highlight w:val="none"/>
        </w:rPr>
        <w:t>法定代表人授权委托书</w:t>
      </w:r>
    </w:p>
    <w:p w14:paraId="68B69DED">
      <w:pPr>
        <w:widowControl w:val="0"/>
        <w:spacing w:line="360" w:lineRule="auto"/>
        <w:rPr>
          <w:color w:val="auto"/>
          <w:sz w:val="21"/>
          <w:szCs w:val="21"/>
          <w:highlight w:val="none"/>
          <w:u w:val="single"/>
        </w:rPr>
      </w:pPr>
      <w:r>
        <w:rPr>
          <w:rFonts w:hint="eastAsia" w:ascii="宋体" w:hAnsi="宋体" w:cs="宋体"/>
          <w:color w:val="auto"/>
          <w:sz w:val="21"/>
          <w:szCs w:val="22"/>
          <w:highlight w:val="none"/>
        </w:rPr>
        <w:t>致：</w:t>
      </w:r>
      <w:r>
        <w:rPr>
          <w:rFonts w:hint="eastAsia" w:ascii="宋体" w:hAnsi="宋体" w:cs="宋体"/>
          <w:color w:val="auto"/>
          <w:sz w:val="24"/>
          <w:szCs w:val="24"/>
          <w:highlight w:val="none"/>
          <w:u w:val="single"/>
          <w:lang w:val="zh-CN"/>
        </w:rPr>
        <w:t xml:space="preserve">          </w:t>
      </w:r>
    </w:p>
    <w:p w14:paraId="0C6BECD2">
      <w:pPr>
        <w:widowControl w:val="0"/>
        <w:spacing w:line="360" w:lineRule="auto"/>
        <w:ind w:firstLine="420"/>
        <w:rPr>
          <w:color w:val="auto"/>
          <w:sz w:val="21"/>
          <w:szCs w:val="21"/>
          <w:highlight w:val="none"/>
        </w:rPr>
      </w:pPr>
      <w:r>
        <w:rPr>
          <w:rFonts w:hint="eastAsia" w:ascii="宋体" w:hAnsi="宋体" w:cs="宋体"/>
          <w:color w:val="auto"/>
          <w:sz w:val="21"/>
          <w:szCs w:val="22"/>
          <w:highlight w:val="none"/>
        </w:rPr>
        <w:t>本授权书声明：注册于</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1"/>
          <w:szCs w:val="22"/>
          <w:highlight w:val="none"/>
        </w:rPr>
        <w:t>（供应商住址）的</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1"/>
          <w:szCs w:val="22"/>
          <w:highlight w:val="none"/>
        </w:rPr>
        <w:t>（供应商名称）法定代表人</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1"/>
          <w:szCs w:val="22"/>
          <w:highlight w:val="none"/>
        </w:rPr>
        <w:t xml:space="preserve">（法定代表人姓名）代表本公司授权在下面签字的 </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1"/>
          <w:szCs w:val="22"/>
          <w:highlight w:val="none"/>
        </w:rPr>
        <w:t xml:space="preserve">（供应商代表姓名）为本公司的合法代理人，就贵方组织的 </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1"/>
          <w:szCs w:val="22"/>
          <w:highlight w:val="none"/>
        </w:rPr>
        <w:t>（项目名称），</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1"/>
          <w:szCs w:val="22"/>
          <w:highlight w:val="none"/>
        </w:rPr>
        <w:t>（项目编号）投标，以本公司名义处理一切与之有关的事务。</w:t>
      </w:r>
    </w:p>
    <w:p w14:paraId="68901816">
      <w:pPr>
        <w:widowControl w:val="0"/>
        <w:spacing w:line="360" w:lineRule="auto"/>
        <w:ind w:firstLine="420"/>
        <w:rPr>
          <w:rFonts w:hint="eastAsia" w:ascii="宋体" w:hAnsi="宋体" w:cs="宋体"/>
          <w:color w:val="auto"/>
          <w:sz w:val="21"/>
          <w:szCs w:val="22"/>
          <w:highlight w:val="none"/>
        </w:rPr>
      </w:pPr>
    </w:p>
    <w:p w14:paraId="7987F487">
      <w:pPr>
        <w:widowControl w:val="0"/>
        <w:spacing w:line="360" w:lineRule="auto"/>
        <w:ind w:firstLine="420"/>
        <w:rPr>
          <w:color w:val="auto"/>
          <w:sz w:val="21"/>
          <w:szCs w:val="21"/>
          <w:highlight w:val="none"/>
        </w:rPr>
      </w:pPr>
      <w:r>
        <w:rPr>
          <w:rFonts w:hint="eastAsia" w:ascii="宋体" w:hAnsi="宋体" w:cs="宋体"/>
          <w:color w:val="auto"/>
          <w:sz w:val="21"/>
          <w:szCs w:val="22"/>
          <w:highlight w:val="none"/>
        </w:rPr>
        <w:t>本授权书于   年   月   日签字生效，特此声明。</w:t>
      </w:r>
    </w:p>
    <w:p w14:paraId="61CA44DB">
      <w:pPr>
        <w:widowControl w:val="0"/>
        <w:spacing w:line="360" w:lineRule="auto"/>
        <w:ind w:firstLine="420"/>
        <w:rPr>
          <w:rFonts w:hint="eastAsia" w:ascii="宋体" w:hAnsi="宋体" w:cs="宋体"/>
          <w:color w:val="auto"/>
          <w:sz w:val="21"/>
          <w:szCs w:val="22"/>
          <w:highlight w:val="none"/>
        </w:rPr>
      </w:pPr>
    </w:p>
    <w:p w14:paraId="1E55E5B0">
      <w:pPr>
        <w:widowControl w:val="0"/>
        <w:spacing w:line="360" w:lineRule="auto"/>
        <w:ind w:firstLine="420"/>
        <w:rPr>
          <w:color w:val="auto"/>
          <w:sz w:val="21"/>
          <w:szCs w:val="21"/>
          <w:highlight w:val="none"/>
        </w:rPr>
      </w:pPr>
      <w:r>
        <w:rPr>
          <w:rFonts w:hint="eastAsia" w:ascii="宋体" w:hAnsi="宋体" w:cs="宋体"/>
          <w:color w:val="auto"/>
          <w:sz w:val="21"/>
          <w:szCs w:val="22"/>
          <w:highlight w:val="none"/>
        </w:rPr>
        <w:t>法定代表人：（签字或盖章）</w:t>
      </w:r>
    </w:p>
    <w:p w14:paraId="6179338C">
      <w:pPr>
        <w:widowControl w:val="0"/>
        <w:spacing w:line="360" w:lineRule="auto"/>
        <w:ind w:firstLine="420"/>
        <w:rPr>
          <w:color w:val="auto"/>
          <w:sz w:val="21"/>
          <w:szCs w:val="21"/>
          <w:highlight w:val="none"/>
        </w:rPr>
      </w:pPr>
      <w:r>
        <w:rPr>
          <w:rFonts w:hint="eastAsia" w:ascii="宋体" w:hAnsi="宋体" w:cs="宋体"/>
          <w:color w:val="auto"/>
          <w:sz w:val="21"/>
          <w:szCs w:val="22"/>
          <w:highlight w:val="none"/>
        </w:rPr>
        <w:t>授权委托人：（签字）</w:t>
      </w:r>
    </w:p>
    <w:p w14:paraId="18D5DCE2">
      <w:pPr>
        <w:widowControl w:val="0"/>
        <w:spacing w:line="360" w:lineRule="auto"/>
        <w:ind w:firstLine="420"/>
        <w:rPr>
          <w:rFonts w:hint="eastAsia" w:ascii="宋体" w:hAnsi="宋体" w:cs="宋体"/>
          <w:color w:val="auto"/>
          <w:sz w:val="21"/>
          <w:szCs w:val="22"/>
          <w:highlight w:val="none"/>
        </w:rPr>
      </w:pPr>
      <w:r>
        <w:rPr>
          <w:rFonts w:hint="eastAsia" w:ascii="宋体" w:hAnsi="宋体" w:cs="宋体"/>
          <w:color w:val="auto"/>
          <w:sz w:val="21"/>
          <w:szCs w:val="22"/>
          <w:highlight w:val="none"/>
        </w:rPr>
        <w:t>日期：    年    月      日</w:t>
      </w:r>
    </w:p>
    <w:p w14:paraId="759C34DE">
      <w:pPr>
        <w:widowControl w:val="0"/>
        <w:spacing w:line="360" w:lineRule="auto"/>
        <w:rPr>
          <w:rFonts w:eastAsia="Times New Roman"/>
          <w:color w:val="auto"/>
          <w:sz w:val="21"/>
          <w:szCs w:val="21"/>
          <w:highlight w:val="none"/>
        </w:rPr>
      </w:pPr>
    </w:p>
    <w:p w14:paraId="03AC2EAA">
      <w:pPr>
        <w:widowControl w:val="0"/>
        <w:spacing w:line="360" w:lineRule="auto"/>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委托代理人的身份证的复印件:</w:t>
      </w:r>
    </w:p>
    <w:p w14:paraId="3190E30A">
      <w:pPr>
        <w:widowControl w:val="0"/>
        <w:ind w:firstLine="420"/>
        <w:rPr>
          <w:rFonts w:hint="eastAsia" w:ascii="宋体" w:hAnsi="宋体" w:cs="宋体"/>
          <w:color w:val="auto"/>
          <w:sz w:val="21"/>
          <w:szCs w:val="21"/>
          <w:highlight w:val="none"/>
        </w:rPr>
      </w:pPr>
    </w:p>
    <w:p w14:paraId="5B43B432">
      <w:pPr>
        <w:pStyle w:val="6"/>
        <w:widowControl w:val="0"/>
        <w:spacing w:after="0"/>
        <w:rPr>
          <w:rFonts w:hint="eastAsia" w:ascii="宋体" w:hAnsi="宋体" w:cs="宋体"/>
          <w:color w:val="auto"/>
          <w:szCs w:val="21"/>
          <w:highlight w:val="none"/>
        </w:rPr>
      </w:pPr>
    </w:p>
    <w:p w14:paraId="171D42C1">
      <w:pPr>
        <w:widowControl w:val="0"/>
        <w:rPr>
          <w:rFonts w:hint="eastAsia" w:ascii="宋体" w:hAnsi="宋体" w:cs="宋体"/>
          <w:b/>
          <w:color w:val="auto"/>
          <w:sz w:val="31"/>
          <w:szCs w:val="31"/>
          <w:highlight w:val="none"/>
        </w:rPr>
      </w:pPr>
    </w:p>
    <w:p w14:paraId="4AA543AB">
      <w:pPr>
        <w:widowControl w:val="0"/>
        <w:rPr>
          <w:rFonts w:hint="eastAsia" w:ascii="宋体" w:hAnsi="宋体" w:cs="宋体"/>
          <w:b/>
          <w:color w:val="auto"/>
          <w:sz w:val="31"/>
          <w:szCs w:val="31"/>
          <w:highlight w:val="none"/>
        </w:rPr>
      </w:pPr>
    </w:p>
    <w:p w14:paraId="50A4A46E">
      <w:pPr>
        <w:widowControl w:val="0"/>
        <w:rPr>
          <w:rFonts w:hint="eastAsia" w:ascii="宋体" w:hAnsi="宋体" w:cs="宋体"/>
          <w:b/>
          <w:color w:val="auto"/>
          <w:sz w:val="31"/>
          <w:szCs w:val="31"/>
          <w:highlight w:val="none"/>
        </w:rPr>
      </w:pPr>
    </w:p>
    <w:p w14:paraId="6ACB787C">
      <w:pPr>
        <w:widowControl w:val="0"/>
        <w:rPr>
          <w:rFonts w:hint="eastAsia" w:ascii="宋体" w:hAnsi="宋体" w:cs="宋体"/>
          <w:b/>
          <w:color w:val="auto"/>
          <w:sz w:val="31"/>
          <w:szCs w:val="31"/>
          <w:highlight w:val="none"/>
        </w:rPr>
      </w:pPr>
    </w:p>
    <w:p w14:paraId="65D56936">
      <w:pPr>
        <w:widowControl w:val="0"/>
        <w:rPr>
          <w:rFonts w:hint="eastAsia" w:ascii="宋体" w:hAnsi="宋体" w:cs="宋体"/>
          <w:b/>
          <w:color w:val="auto"/>
          <w:sz w:val="31"/>
          <w:szCs w:val="31"/>
          <w:highlight w:val="none"/>
        </w:rPr>
      </w:pPr>
    </w:p>
    <w:p w14:paraId="7E736957">
      <w:pPr>
        <w:widowControl w:val="0"/>
        <w:rPr>
          <w:rFonts w:hint="eastAsia" w:ascii="宋体" w:hAnsi="宋体" w:cs="宋体"/>
          <w:b/>
          <w:color w:val="auto"/>
          <w:sz w:val="31"/>
          <w:szCs w:val="31"/>
          <w:highlight w:val="none"/>
        </w:rPr>
      </w:pPr>
    </w:p>
    <w:p w14:paraId="2AA34EF5">
      <w:pPr>
        <w:widowControl w:val="0"/>
        <w:rPr>
          <w:rFonts w:hint="eastAsia" w:ascii="宋体" w:hAnsi="宋体" w:cs="宋体"/>
          <w:b/>
          <w:color w:val="auto"/>
          <w:sz w:val="31"/>
          <w:szCs w:val="31"/>
          <w:highlight w:val="none"/>
        </w:rPr>
      </w:pPr>
    </w:p>
    <w:p w14:paraId="5BF11C3B">
      <w:pPr>
        <w:widowControl w:val="0"/>
        <w:rPr>
          <w:rFonts w:hint="eastAsia" w:ascii="宋体" w:hAnsi="宋体" w:cs="宋体"/>
          <w:b/>
          <w:color w:val="auto"/>
          <w:sz w:val="31"/>
          <w:szCs w:val="31"/>
          <w:highlight w:val="none"/>
        </w:rPr>
      </w:pPr>
    </w:p>
    <w:p w14:paraId="5B33C023">
      <w:pPr>
        <w:widowControl w:val="0"/>
        <w:rPr>
          <w:rFonts w:hint="eastAsia" w:ascii="宋体" w:hAnsi="宋体" w:cs="宋体"/>
          <w:b/>
          <w:color w:val="auto"/>
          <w:sz w:val="31"/>
          <w:szCs w:val="31"/>
          <w:highlight w:val="none"/>
        </w:rPr>
      </w:pPr>
    </w:p>
    <w:p w14:paraId="487D6313">
      <w:pPr>
        <w:widowControl w:val="0"/>
        <w:rPr>
          <w:rFonts w:hint="eastAsia" w:ascii="宋体" w:hAnsi="宋体" w:cs="宋体"/>
          <w:b/>
          <w:color w:val="auto"/>
          <w:sz w:val="31"/>
          <w:szCs w:val="31"/>
          <w:highlight w:val="none"/>
        </w:rPr>
      </w:pPr>
    </w:p>
    <w:p w14:paraId="0ED71ED5">
      <w:pPr>
        <w:widowControl w:val="0"/>
        <w:rPr>
          <w:rFonts w:hint="eastAsia" w:ascii="宋体" w:hAnsi="宋体" w:cs="宋体"/>
          <w:b/>
          <w:color w:val="auto"/>
          <w:sz w:val="31"/>
          <w:szCs w:val="31"/>
          <w:highlight w:val="none"/>
        </w:rPr>
      </w:pPr>
    </w:p>
    <w:p w14:paraId="734C2F2A">
      <w:pPr>
        <w:widowControl w:val="0"/>
        <w:rPr>
          <w:rFonts w:hint="eastAsia" w:ascii="宋体" w:hAnsi="宋体" w:cs="宋体"/>
          <w:b/>
          <w:color w:val="auto"/>
          <w:sz w:val="31"/>
          <w:szCs w:val="31"/>
          <w:highlight w:val="none"/>
        </w:rPr>
      </w:pPr>
    </w:p>
    <w:p w14:paraId="015A273F">
      <w:pPr>
        <w:pStyle w:val="20"/>
        <w:widowControl w:val="0"/>
        <w:rPr>
          <w:rFonts w:hint="eastAsia"/>
          <w:color w:val="auto"/>
          <w:highlight w:val="none"/>
        </w:rPr>
      </w:pPr>
    </w:p>
    <w:p w14:paraId="194A4FEA">
      <w:pPr>
        <w:pStyle w:val="20"/>
        <w:widowControl w:val="0"/>
        <w:rPr>
          <w:rFonts w:hint="eastAsia"/>
          <w:color w:val="auto"/>
          <w:highlight w:val="none"/>
        </w:rPr>
      </w:pPr>
    </w:p>
    <w:p w14:paraId="41D2B238">
      <w:pPr>
        <w:pStyle w:val="20"/>
        <w:widowControl w:val="0"/>
        <w:rPr>
          <w:rFonts w:hint="eastAsia"/>
          <w:color w:val="auto"/>
          <w:highlight w:val="none"/>
        </w:rPr>
      </w:pPr>
    </w:p>
    <w:p w14:paraId="5DCB332B">
      <w:pPr>
        <w:pStyle w:val="20"/>
        <w:widowControl w:val="0"/>
        <w:ind w:firstLine="0"/>
        <w:rPr>
          <w:rFonts w:hint="eastAsia"/>
          <w:color w:val="auto"/>
          <w:highlight w:val="none"/>
        </w:rPr>
      </w:pPr>
    </w:p>
    <w:p w14:paraId="4E33871E">
      <w:pPr>
        <w:rPr>
          <w:rFonts w:hint="eastAsia" w:ascii="宋体" w:hAnsi="宋体" w:cs="宋体"/>
          <w:b/>
          <w:color w:val="auto"/>
          <w:sz w:val="31"/>
          <w:szCs w:val="31"/>
          <w:highlight w:val="none"/>
        </w:rPr>
      </w:pPr>
      <w:r>
        <w:rPr>
          <w:rFonts w:hint="eastAsia" w:ascii="宋体" w:hAnsi="宋体" w:cs="宋体"/>
          <w:b/>
          <w:color w:val="auto"/>
          <w:sz w:val="31"/>
          <w:szCs w:val="31"/>
          <w:highlight w:val="none"/>
        </w:rPr>
        <w:br w:type="page" w:clear="all"/>
      </w:r>
    </w:p>
    <w:p w14:paraId="2089218B">
      <w:pPr>
        <w:widowControl w:val="0"/>
        <w:rPr>
          <w:color w:val="auto"/>
          <w:highlight w:val="none"/>
        </w:rPr>
      </w:pPr>
      <w:r>
        <w:rPr>
          <w:rFonts w:hint="eastAsia" w:ascii="宋体" w:hAnsi="宋体" w:cs="宋体"/>
          <w:b/>
          <w:color w:val="auto"/>
          <w:sz w:val="31"/>
          <w:szCs w:val="31"/>
          <w:highlight w:val="none"/>
        </w:rPr>
        <w:t xml:space="preserve">附件三、磋商报价表及分项报价表 </w:t>
      </w:r>
    </w:p>
    <w:p w14:paraId="23D23FE9">
      <w:pPr>
        <w:widowControl w:val="0"/>
        <w:spacing w:line="360" w:lineRule="auto"/>
        <w:ind w:firstLine="3960"/>
        <w:rPr>
          <w:rFonts w:hint="eastAsia" w:ascii="宋体" w:hAnsi="宋体" w:cs="宋体"/>
          <w:color w:val="auto"/>
          <w:sz w:val="36"/>
          <w:szCs w:val="36"/>
          <w:highlight w:val="none"/>
        </w:rPr>
      </w:pPr>
    </w:p>
    <w:p w14:paraId="4057E684">
      <w:pPr>
        <w:spacing w:line="360" w:lineRule="auto"/>
        <w:jc w:val="center"/>
        <w:rPr>
          <w:rFonts w:hint="eastAsia" w:ascii="宋体" w:hAnsi="宋体" w:cs="宋体"/>
          <w:color w:val="auto"/>
          <w:sz w:val="40"/>
          <w:szCs w:val="52"/>
          <w:highlight w:val="none"/>
        </w:rPr>
      </w:pPr>
      <w:r>
        <w:rPr>
          <w:rFonts w:hint="eastAsia" w:ascii="宋体" w:hAnsi="宋体" w:cs="宋体"/>
          <w:color w:val="auto"/>
          <w:sz w:val="40"/>
          <w:szCs w:val="52"/>
          <w:highlight w:val="none"/>
        </w:rPr>
        <w:t>磋商报价表</w:t>
      </w:r>
    </w:p>
    <w:p w14:paraId="4732F368">
      <w:pPr>
        <w:spacing w:line="360" w:lineRule="auto"/>
        <w:rPr>
          <w:rFonts w:hint="eastAsia" w:ascii="宋体" w:hAnsi="宋体" w:cs="宋体"/>
          <w:color w:val="auto"/>
          <w:sz w:val="24"/>
          <w:szCs w:val="36"/>
          <w:highlight w:val="none"/>
        </w:rPr>
      </w:pPr>
      <w:r>
        <w:rPr>
          <w:rFonts w:hint="eastAsia" w:ascii="宋体" w:hAnsi="宋体" w:cs="宋体"/>
          <w:color w:val="auto"/>
          <w:sz w:val="24"/>
          <w:szCs w:val="36"/>
          <w:highlight w:val="none"/>
        </w:rPr>
        <w:t>本次为首次报价</w:t>
      </w:r>
    </w:p>
    <w:p w14:paraId="7CADA1AF">
      <w:pPr>
        <w:spacing w:line="360" w:lineRule="auto"/>
        <w:rPr>
          <w:rFonts w:hint="eastAsia" w:ascii="宋体" w:hAnsi="宋体" w:cs="宋体"/>
          <w:color w:val="auto"/>
          <w:sz w:val="24"/>
          <w:szCs w:val="36"/>
          <w:highlight w:val="none"/>
        </w:rPr>
      </w:pPr>
      <w:r>
        <w:rPr>
          <w:rFonts w:hint="eastAsia" w:ascii="宋体" w:hAnsi="宋体" w:cs="宋体"/>
          <w:color w:val="auto"/>
          <w:sz w:val="24"/>
          <w:szCs w:val="36"/>
          <w:highlight w:val="none"/>
        </w:rPr>
        <w:t>项目名称：                                           项目编号：</w:t>
      </w:r>
    </w:p>
    <w:tbl>
      <w:tblPr>
        <w:tblStyle w:val="13"/>
        <w:tblW w:w="9957" w:type="dxa"/>
        <w:tblInd w:w="-34" w:type="dxa"/>
        <w:tblLayout w:type="fixed"/>
        <w:tblCellMar>
          <w:top w:w="0" w:type="dxa"/>
          <w:left w:w="108" w:type="dxa"/>
          <w:bottom w:w="0" w:type="dxa"/>
          <w:right w:w="108" w:type="dxa"/>
        </w:tblCellMar>
      </w:tblPr>
      <w:tblGrid>
        <w:gridCol w:w="1137"/>
        <w:gridCol w:w="3242"/>
        <w:gridCol w:w="2789"/>
        <w:gridCol w:w="2789"/>
      </w:tblGrid>
      <w:tr w14:paraId="764008AC">
        <w:tblPrEx>
          <w:tblCellMar>
            <w:top w:w="0" w:type="dxa"/>
            <w:left w:w="108" w:type="dxa"/>
            <w:bottom w:w="0" w:type="dxa"/>
            <w:right w:w="108" w:type="dxa"/>
          </w:tblCellMar>
        </w:tblPrEx>
        <w:trPr>
          <w:trHeight w:val="541" w:hRule="atLeast"/>
        </w:trPr>
        <w:tc>
          <w:tcPr>
            <w:tcW w:w="1137" w:type="dxa"/>
            <w:tcBorders>
              <w:top w:val="single" w:color="auto" w:sz="4" w:space="0"/>
              <w:left w:val="single" w:color="auto" w:sz="4" w:space="0"/>
              <w:bottom w:val="single" w:color="auto" w:sz="4" w:space="0"/>
              <w:right w:val="single" w:color="auto" w:sz="4" w:space="0"/>
            </w:tcBorders>
            <w:noWrap/>
            <w:vAlign w:val="center"/>
          </w:tcPr>
          <w:p w14:paraId="1677BE74">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3242" w:type="dxa"/>
            <w:tcBorders>
              <w:top w:val="single" w:color="auto" w:sz="4" w:space="0"/>
              <w:left w:val="nil"/>
              <w:bottom w:val="single" w:color="auto" w:sz="4" w:space="0"/>
              <w:right w:val="single" w:color="auto" w:sz="4" w:space="0"/>
            </w:tcBorders>
            <w:noWrap/>
            <w:vAlign w:val="center"/>
          </w:tcPr>
          <w:p w14:paraId="0E53345F">
            <w:pPr>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2789" w:type="dxa"/>
            <w:tcBorders>
              <w:top w:val="single" w:color="auto" w:sz="4" w:space="0"/>
              <w:left w:val="nil"/>
              <w:bottom w:val="single" w:color="auto" w:sz="4" w:space="0"/>
              <w:right w:val="single" w:color="auto" w:sz="4" w:space="0"/>
            </w:tcBorders>
            <w:noWrap/>
            <w:vAlign w:val="center"/>
          </w:tcPr>
          <w:p w14:paraId="7FAC634C">
            <w:pPr>
              <w:jc w:val="center"/>
              <w:rPr>
                <w:rFonts w:hint="eastAsia" w:ascii="宋体" w:hAnsi="宋体" w:cs="宋体"/>
                <w:color w:val="auto"/>
                <w:sz w:val="24"/>
                <w:highlight w:val="none"/>
              </w:rPr>
            </w:pPr>
            <w:r>
              <w:rPr>
                <w:rFonts w:hint="eastAsia" w:ascii="宋体" w:hAnsi="宋体" w:cs="宋体"/>
                <w:color w:val="auto"/>
                <w:sz w:val="24"/>
                <w:highlight w:val="none"/>
              </w:rPr>
              <w:t>报价（元）</w:t>
            </w:r>
          </w:p>
        </w:tc>
        <w:tc>
          <w:tcPr>
            <w:tcW w:w="2789" w:type="dxa"/>
            <w:tcBorders>
              <w:top w:val="single" w:color="auto" w:sz="4" w:space="0"/>
              <w:left w:val="nil"/>
              <w:bottom w:val="single" w:color="auto" w:sz="4" w:space="0"/>
              <w:right w:val="single" w:color="auto" w:sz="4" w:space="0"/>
            </w:tcBorders>
            <w:noWrap/>
            <w:vAlign w:val="center"/>
          </w:tcPr>
          <w:p w14:paraId="2992DACA">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60EDB1C3">
        <w:tblPrEx>
          <w:tblCellMar>
            <w:top w:w="0" w:type="dxa"/>
            <w:left w:w="108" w:type="dxa"/>
            <w:bottom w:w="0" w:type="dxa"/>
            <w:right w:w="108" w:type="dxa"/>
          </w:tblCellMar>
        </w:tblPrEx>
        <w:trPr>
          <w:trHeight w:val="1561" w:hRule="atLeast"/>
        </w:trPr>
        <w:tc>
          <w:tcPr>
            <w:tcW w:w="1137" w:type="dxa"/>
            <w:tcBorders>
              <w:top w:val="nil"/>
              <w:left w:val="single" w:color="auto" w:sz="4" w:space="0"/>
              <w:bottom w:val="single" w:color="auto" w:sz="4" w:space="0"/>
              <w:right w:val="single" w:color="auto" w:sz="4" w:space="0"/>
            </w:tcBorders>
            <w:noWrap/>
            <w:vAlign w:val="center"/>
          </w:tcPr>
          <w:p w14:paraId="350DCA53">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3242" w:type="dxa"/>
            <w:tcBorders>
              <w:top w:val="nil"/>
              <w:left w:val="nil"/>
              <w:bottom w:val="single" w:color="auto" w:sz="4" w:space="0"/>
              <w:right w:val="single" w:color="auto" w:sz="4" w:space="0"/>
            </w:tcBorders>
            <w:noWrap/>
            <w:vAlign w:val="center"/>
          </w:tcPr>
          <w:p w14:paraId="62B9D17A">
            <w:pPr>
              <w:jc w:val="center"/>
              <w:rPr>
                <w:rFonts w:hint="eastAsia" w:ascii="宋体" w:hAnsi="宋体" w:cs="宋体"/>
                <w:color w:val="auto"/>
                <w:sz w:val="24"/>
                <w:highlight w:val="none"/>
              </w:rPr>
            </w:pPr>
            <w:r>
              <w:rPr>
                <w:rFonts w:hint="eastAsia" w:ascii="宋体" w:hAnsi="宋体" w:cs="宋体"/>
                <w:color w:val="auto"/>
                <w:sz w:val="24"/>
                <w:highlight w:val="none"/>
              </w:rPr>
              <w:t>迈皋桥街道垃圾分类智能设备投口改造及维保服务</w:t>
            </w:r>
          </w:p>
        </w:tc>
        <w:tc>
          <w:tcPr>
            <w:tcW w:w="2789" w:type="dxa"/>
            <w:tcBorders>
              <w:top w:val="nil"/>
              <w:left w:val="nil"/>
              <w:bottom w:val="single" w:color="auto" w:sz="4" w:space="0"/>
              <w:right w:val="single" w:color="auto" w:sz="4" w:space="0"/>
            </w:tcBorders>
            <w:noWrap/>
            <w:vAlign w:val="center"/>
          </w:tcPr>
          <w:p w14:paraId="70E5E881">
            <w:pPr>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70CE005C">
            <w:pPr>
              <w:pStyle w:val="19"/>
              <w:spacing w:line="360" w:lineRule="auto"/>
              <w:rPr>
                <w:color w:val="auto"/>
                <w:highlight w:val="none"/>
              </w:rPr>
            </w:pPr>
            <w:r>
              <w:rPr>
                <w:rFonts w:hint="eastAsia" w:ascii="宋体" w:hAnsi="宋体" w:eastAsia="宋体" w:cs="宋体"/>
                <w:color w:val="auto"/>
                <w:highlight w:val="none"/>
              </w:rPr>
              <w:t>大写：</w:t>
            </w:r>
            <w:r>
              <w:rPr>
                <w:rFonts w:hint="eastAsia" w:ascii="宋体" w:hAnsi="宋体" w:cs="宋体"/>
                <w:color w:val="auto"/>
                <w:highlight w:val="none"/>
                <w:u w:val="single"/>
              </w:rPr>
              <w:t xml:space="preserve">           </w:t>
            </w:r>
          </w:p>
        </w:tc>
        <w:tc>
          <w:tcPr>
            <w:tcW w:w="2789" w:type="dxa"/>
            <w:tcBorders>
              <w:top w:val="nil"/>
              <w:left w:val="nil"/>
              <w:bottom w:val="single" w:color="auto" w:sz="4" w:space="0"/>
              <w:right w:val="single" w:color="auto" w:sz="4" w:space="0"/>
            </w:tcBorders>
            <w:noWrap/>
            <w:vAlign w:val="center"/>
          </w:tcPr>
          <w:p w14:paraId="71B713D1">
            <w:pPr>
              <w:jc w:val="center"/>
              <w:rPr>
                <w:rFonts w:hint="eastAsia" w:ascii="宋体" w:hAnsi="宋体" w:cs="宋体"/>
                <w:color w:val="auto"/>
                <w:sz w:val="24"/>
                <w:highlight w:val="none"/>
              </w:rPr>
            </w:pPr>
          </w:p>
        </w:tc>
      </w:tr>
      <w:tr w14:paraId="4F34F00F">
        <w:tblPrEx>
          <w:tblCellMar>
            <w:top w:w="0" w:type="dxa"/>
            <w:left w:w="108" w:type="dxa"/>
            <w:bottom w:w="0" w:type="dxa"/>
            <w:right w:w="108" w:type="dxa"/>
          </w:tblCellMar>
        </w:tblPrEx>
        <w:trPr>
          <w:trHeight w:val="1021" w:hRule="atLeast"/>
        </w:trPr>
        <w:tc>
          <w:tcPr>
            <w:tcW w:w="1137" w:type="dxa"/>
            <w:tcBorders>
              <w:top w:val="single" w:color="auto" w:sz="4" w:space="0"/>
              <w:left w:val="single" w:color="auto" w:sz="4" w:space="0"/>
              <w:bottom w:val="single" w:color="auto" w:sz="4" w:space="0"/>
              <w:right w:val="single" w:color="auto" w:sz="4" w:space="0"/>
            </w:tcBorders>
            <w:noWrap/>
            <w:vAlign w:val="center"/>
          </w:tcPr>
          <w:p w14:paraId="5205C33F">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3242" w:type="dxa"/>
            <w:tcBorders>
              <w:top w:val="single" w:color="auto" w:sz="4" w:space="0"/>
              <w:left w:val="single" w:color="auto" w:sz="4" w:space="0"/>
              <w:bottom w:val="single" w:color="auto" w:sz="4" w:space="0"/>
              <w:right w:val="single" w:color="auto" w:sz="4" w:space="0"/>
            </w:tcBorders>
            <w:noWrap/>
            <w:vAlign w:val="center"/>
          </w:tcPr>
          <w:p w14:paraId="71EBCD92">
            <w:pPr>
              <w:jc w:val="center"/>
              <w:rPr>
                <w:rFonts w:hint="eastAsia" w:ascii="宋体" w:hAnsi="宋体" w:cs="宋体"/>
                <w:color w:val="auto"/>
                <w:sz w:val="24"/>
                <w:highlight w:val="none"/>
              </w:rPr>
            </w:pPr>
            <w:r>
              <w:rPr>
                <w:rFonts w:hint="eastAsia" w:ascii="宋体" w:hAnsi="宋体" w:cs="宋体"/>
                <w:color w:val="auto"/>
                <w:sz w:val="24"/>
                <w:highlight w:val="none"/>
              </w:rPr>
              <w:t>项目负责人</w:t>
            </w:r>
          </w:p>
        </w:tc>
        <w:tc>
          <w:tcPr>
            <w:tcW w:w="5578" w:type="dxa"/>
            <w:gridSpan w:val="2"/>
            <w:tcBorders>
              <w:top w:val="single" w:color="auto" w:sz="4" w:space="0"/>
              <w:left w:val="single" w:color="auto" w:sz="4" w:space="0"/>
              <w:bottom w:val="single" w:color="auto" w:sz="4" w:space="0"/>
              <w:right w:val="single" w:color="auto" w:sz="4" w:space="0"/>
            </w:tcBorders>
            <w:noWrap/>
            <w:vAlign w:val="center"/>
          </w:tcPr>
          <w:p w14:paraId="32216954">
            <w:pPr>
              <w:spacing w:line="360" w:lineRule="auto"/>
              <w:rPr>
                <w:rFonts w:hint="eastAsia" w:ascii="宋体" w:hAnsi="宋体" w:cs="宋体"/>
                <w:color w:val="auto"/>
                <w:sz w:val="24"/>
                <w:highlight w:val="none"/>
              </w:rPr>
            </w:pPr>
            <w:r>
              <w:rPr>
                <w:rFonts w:hint="eastAsia" w:ascii="宋体" w:hAnsi="宋体" w:cs="宋体"/>
                <w:color w:val="auto"/>
                <w:sz w:val="24"/>
                <w:highlight w:val="none"/>
              </w:rPr>
              <w:t>姓名：</w:t>
            </w:r>
          </w:p>
          <w:p w14:paraId="3691D5C7">
            <w:pPr>
              <w:spacing w:line="360" w:lineRule="auto"/>
              <w:rPr>
                <w:color w:val="auto"/>
                <w:highlight w:val="none"/>
              </w:rPr>
            </w:pPr>
            <w:r>
              <w:rPr>
                <w:rFonts w:hint="eastAsia" w:ascii="宋体" w:hAnsi="宋体" w:cs="宋体"/>
                <w:color w:val="auto"/>
                <w:sz w:val="24"/>
                <w:highlight w:val="none"/>
              </w:rPr>
              <w:t>联系电话：</w:t>
            </w:r>
          </w:p>
        </w:tc>
      </w:tr>
    </w:tbl>
    <w:p w14:paraId="6B99EDA0">
      <w:pPr>
        <w:spacing w:line="360" w:lineRule="auto"/>
        <w:rPr>
          <w:rFonts w:ascii="宋体"/>
          <w:color w:val="auto"/>
          <w:sz w:val="24"/>
          <w:highlight w:val="none"/>
        </w:rPr>
      </w:pPr>
      <w:r>
        <w:rPr>
          <w:rFonts w:hint="eastAsia" w:ascii="宋体" w:hAnsi="宋体" w:cs="宋体"/>
          <w:color w:val="auto"/>
          <w:sz w:val="24"/>
          <w:highlight w:val="none"/>
        </w:rPr>
        <w:t>说明：</w:t>
      </w:r>
    </w:p>
    <w:p w14:paraId="59328AFD">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1、报价包括完成项目的所有费用。采购人不再支付报价以外的任何费用。</w:t>
      </w:r>
    </w:p>
    <w:p w14:paraId="4735ABB5">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2、报价以总价为准，大小写不一致以大写为准；</w:t>
      </w:r>
    </w:p>
    <w:p w14:paraId="32E55014">
      <w:pPr>
        <w:spacing w:line="360" w:lineRule="auto"/>
        <w:ind w:firstLine="480"/>
        <w:rPr>
          <w:rFonts w:hint="eastAsia" w:ascii="宋体" w:hAnsi="宋体"/>
          <w:color w:val="auto"/>
          <w:sz w:val="24"/>
          <w:highlight w:val="none"/>
        </w:rPr>
      </w:pPr>
    </w:p>
    <w:p w14:paraId="2CC0688D">
      <w:pPr>
        <w:spacing w:line="360" w:lineRule="auto"/>
        <w:ind w:right="9"/>
        <w:jc w:val="righ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u w:val="single"/>
        </w:rPr>
        <w:t xml:space="preserve">  （加盖公章）</w:t>
      </w:r>
    </w:p>
    <w:p w14:paraId="364A4C79">
      <w:pPr>
        <w:spacing w:line="360" w:lineRule="auto"/>
        <w:jc w:val="right"/>
        <w:rPr>
          <w:rFonts w:hint="eastAsia" w:ascii="宋体" w:hAnsi="宋体"/>
          <w:color w:val="auto"/>
          <w:sz w:val="24"/>
          <w:highlight w:val="none"/>
        </w:rPr>
      </w:pPr>
      <w:r>
        <w:rPr>
          <w:rFonts w:hint="eastAsia" w:ascii="宋体" w:hAnsi="宋体"/>
          <w:color w:val="auto"/>
          <w:sz w:val="24"/>
          <w:highlight w:val="none"/>
        </w:rPr>
        <w:t>日期：   年   月   日</w:t>
      </w:r>
    </w:p>
    <w:p w14:paraId="7B0B2E6B">
      <w:pPr>
        <w:rPr>
          <w:rFonts w:hint="eastAsia" w:ascii="宋体" w:hAnsi="宋体" w:cs="宋体"/>
          <w:b/>
          <w:color w:val="auto"/>
          <w:sz w:val="31"/>
          <w:szCs w:val="31"/>
          <w:highlight w:val="none"/>
        </w:rPr>
      </w:pPr>
      <w:r>
        <w:rPr>
          <w:rFonts w:ascii="宋体" w:hAnsi="宋体" w:cs="宋体"/>
          <w:b/>
          <w:color w:val="auto"/>
          <w:sz w:val="31"/>
          <w:szCs w:val="31"/>
          <w:highlight w:val="none"/>
        </w:rPr>
        <w:br w:type="page" w:clear="all"/>
      </w:r>
    </w:p>
    <w:p w14:paraId="1676353B">
      <w:pPr>
        <w:spacing w:line="360" w:lineRule="auto"/>
        <w:jc w:val="center"/>
        <w:rPr>
          <w:rFonts w:hint="eastAsia" w:ascii="宋体" w:hAnsi="宋体" w:cs="宋体"/>
          <w:b/>
          <w:color w:val="auto"/>
          <w:sz w:val="31"/>
          <w:szCs w:val="31"/>
          <w:highlight w:val="none"/>
        </w:rPr>
      </w:pPr>
      <w:r>
        <w:rPr>
          <w:rFonts w:hint="eastAsia" w:ascii="宋体" w:hAnsi="宋体" w:cs="宋体"/>
          <w:b/>
          <w:color w:val="auto"/>
          <w:sz w:val="31"/>
          <w:szCs w:val="31"/>
          <w:highlight w:val="none"/>
        </w:rPr>
        <w:t>分项报价表</w:t>
      </w:r>
    </w:p>
    <w:p w14:paraId="5E1FC5AE">
      <w:pPr>
        <w:pStyle w:val="18"/>
        <w:rPr>
          <w:color w:val="auto"/>
          <w:highlight w:val="none"/>
        </w:rPr>
      </w:pPr>
      <w:r>
        <w:rPr>
          <w:rFonts w:hint="eastAsia" w:ascii="宋体" w:hAnsi="宋体" w:cs="宋体"/>
          <w:color w:val="auto"/>
          <w:sz w:val="24"/>
          <w:highlight w:val="none"/>
        </w:rPr>
        <w:t>项目名称：迈皋桥街道垃圾分类智能设备投口改造及维保服务</w:t>
      </w:r>
    </w:p>
    <w:tbl>
      <w:tblPr>
        <w:tblStyle w:val="13"/>
        <w:tblW w:w="9957" w:type="dxa"/>
        <w:tblInd w:w="-34" w:type="dxa"/>
        <w:tblLayout w:type="fixed"/>
        <w:tblCellMar>
          <w:top w:w="0" w:type="dxa"/>
          <w:left w:w="108" w:type="dxa"/>
          <w:bottom w:w="0" w:type="dxa"/>
          <w:right w:w="108" w:type="dxa"/>
        </w:tblCellMar>
      </w:tblPr>
      <w:tblGrid>
        <w:gridCol w:w="1137"/>
        <w:gridCol w:w="1935"/>
        <w:gridCol w:w="1980"/>
        <w:gridCol w:w="1455"/>
        <w:gridCol w:w="1740"/>
        <w:gridCol w:w="1710"/>
      </w:tblGrid>
      <w:tr w14:paraId="080EF2E6">
        <w:tblPrEx>
          <w:tblCellMar>
            <w:top w:w="0" w:type="dxa"/>
            <w:left w:w="108" w:type="dxa"/>
            <w:bottom w:w="0" w:type="dxa"/>
            <w:right w:w="108" w:type="dxa"/>
          </w:tblCellMar>
        </w:tblPrEx>
        <w:trPr>
          <w:trHeight w:val="541" w:hRule="atLeast"/>
        </w:trPr>
        <w:tc>
          <w:tcPr>
            <w:tcW w:w="1137" w:type="dxa"/>
            <w:tcBorders>
              <w:top w:val="single" w:color="auto" w:sz="4" w:space="0"/>
              <w:left w:val="single" w:color="auto" w:sz="4" w:space="0"/>
              <w:bottom w:val="single" w:color="auto" w:sz="4" w:space="0"/>
              <w:right w:val="single" w:color="auto" w:sz="4" w:space="0"/>
            </w:tcBorders>
            <w:noWrap/>
            <w:vAlign w:val="center"/>
          </w:tcPr>
          <w:p w14:paraId="7352573F">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935" w:type="dxa"/>
            <w:tcBorders>
              <w:top w:val="single" w:color="auto" w:sz="4" w:space="0"/>
              <w:left w:val="nil"/>
              <w:bottom w:val="single" w:color="auto" w:sz="4" w:space="0"/>
              <w:right w:val="single" w:color="auto" w:sz="4" w:space="0"/>
            </w:tcBorders>
            <w:noWrap/>
            <w:vAlign w:val="center"/>
          </w:tcPr>
          <w:p w14:paraId="7C3DA215">
            <w:pPr>
              <w:jc w:val="center"/>
              <w:rPr>
                <w:rFonts w:hint="eastAsia" w:ascii="宋体" w:hAnsi="宋体" w:cs="宋体"/>
                <w:color w:val="auto"/>
                <w:sz w:val="24"/>
                <w:highlight w:val="none"/>
              </w:rPr>
            </w:pPr>
            <w:r>
              <w:rPr>
                <w:rFonts w:hint="eastAsia" w:ascii="宋体" w:hAnsi="宋体" w:cs="宋体"/>
                <w:color w:val="auto"/>
                <w:sz w:val="24"/>
                <w:highlight w:val="none"/>
              </w:rPr>
              <w:t>分项名称</w:t>
            </w:r>
          </w:p>
        </w:tc>
        <w:tc>
          <w:tcPr>
            <w:tcW w:w="1980" w:type="dxa"/>
            <w:tcBorders>
              <w:top w:val="single" w:color="auto" w:sz="4" w:space="0"/>
              <w:left w:val="nil"/>
              <w:bottom w:val="single" w:color="auto" w:sz="4" w:space="0"/>
              <w:right w:val="single" w:color="auto" w:sz="4" w:space="0"/>
            </w:tcBorders>
            <w:noWrap/>
            <w:vAlign w:val="center"/>
          </w:tcPr>
          <w:p w14:paraId="6ADF515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1455" w:type="dxa"/>
            <w:tcBorders>
              <w:top w:val="single" w:color="auto" w:sz="4" w:space="0"/>
              <w:left w:val="single" w:color="auto" w:sz="4" w:space="0"/>
              <w:bottom w:val="single" w:color="auto" w:sz="4" w:space="0"/>
              <w:right w:val="single" w:color="auto" w:sz="4" w:space="0"/>
            </w:tcBorders>
            <w:noWrap/>
            <w:vAlign w:val="center"/>
          </w:tcPr>
          <w:p w14:paraId="50655ED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单价（元）</w:t>
            </w:r>
          </w:p>
        </w:tc>
        <w:tc>
          <w:tcPr>
            <w:tcW w:w="1740" w:type="dxa"/>
            <w:tcBorders>
              <w:top w:val="single" w:color="auto" w:sz="4" w:space="0"/>
              <w:left w:val="single" w:color="auto" w:sz="4" w:space="0"/>
              <w:bottom w:val="single" w:color="auto" w:sz="4" w:space="0"/>
              <w:right w:val="single" w:color="auto" w:sz="4" w:space="0"/>
            </w:tcBorders>
            <w:noWrap/>
            <w:vAlign w:val="center"/>
          </w:tcPr>
          <w:p w14:paraId="6E2013B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合价（元）</w:t>
            </w:r>
          </w:p>
        </w:tc>
        <w:tc>
          <w:tcPr>
            <w:tcW w:w="1710" w:type="dxa"/>
            <w:tcBorders>
              <w:top w:val="single" w:color="auto" w:sz="4" w:space="0"/>
              <w:left w:val="nil"/>
              <w:bottom w:val="single" w:color="auto" w:sz="4" w:space="0"/>
              <w:right w:val="single" w:color="auto" w:sz="4" w:space="0"/>
            </w:tcBorders>
            <w:noWrap/>
            <w:vAlign w:val="center"/>
          </w:tcPr>
          <w:p w14:paraId="3E08493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72BA7ED3">
        <w:tblPrEx>
          <w:tblCellMar>
            <w:top w:w="0" w:type="dxa"/>
            <w:left w:w="108" w:type="dxa"/>
            <w:bottom w:w="0" w:type="dxa"/>
            <w:right w:w="108" w:type="dxa"/>
          </w:tblCellMar>
        </w:tblPrEx>
        <w:trPr>
          <w:trHeight w:val="1021" w:hRule="atLeast"/>
        </w:trPr>
        <w:tc>
          <w:tcPr>
            <w:tcW w:w="1137" w:type="dxa"/>
            <w:tcBorders>
              <w:top w:val="nil"/>
              <w:left w:val="single" w:color="auto" w:sz="4" w:space="0"/>
              <w:bottom w:val="single" w:color="auto" w:sz="4" w:space="0"/>
              <w:right w:val="single" w:color="auto" w:sz="4" w:space="0"/>
            </w:tcBorders>
            <w:noWrap/>
            <w:vAlign w:val="center"/>
          </w:tcPr>
          <w:p w14:paraId="17AD9ADC">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935" w:type="dxa"/>
            <w:tcBorders>
              <w:top w:val="nil"/>
              <w:left w:val="nil"/>
              <w:bottom w:val="single" w:color="auto" w:sz="4" w:space="0"/>
              <w:right w:val="single" w:color="auto" w:sz="4" w:space="0"/>
            </w:tcBorders>
            <w:noWrap/>
            <w:vAlign w:val="center"/>
          </w:tcPr>
          <w:p w14:paraId="15BB6C17">
            <w:pPr>
              <w:jc w:val="center"/>
              <w:rPr>
                <w:rFonts w:hint="eastAsia" w:ascii="宋体" w:hAnsi="宋体" w:cs="宋体"/>
                <w:color w:val="auto"/>
                <w:sz w:val="24"/>
                <w:highlight w:val="none"/>
              </w:rPr>
            </w:pPr>
            <w:r>
              <w:rPr>
                <w:rFonts w:hint="eastAsia" w:ascii="宋体" w:hAnsi="宋体" w:cs="宋体"/>
                <w:color w:val="auto"/>
                <w:sz w:val="24"/>
                <w:highlight w:val="none"/>
              </w:rPr>
              <w:t>投口改造</w:t>
            </w:r>
          </w:p>
        </w:tc>
        <w:tc>
          <w:tcPr>
            <w:tcW w:w="1980" w:type="dxa"/>
            <w:tcBorders>
              <w:top w:val="nil"/>
              <w:left w:val="nil"/>
              <w:bottom w:val="single" w:color="auto" w:sz="4" w:space="0"/>
              <w:right w:val="single" w:color="auto" w:sz="4" w:space="0"/>
            </w:tcBorders>
            <w:noWrap/>
            <w:vAlign w:val="center"/>
          </w:tcPr>
          <w:p w14:paraId="6197469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556套</w:t>
            </w:r>
          </w:p>
        </w:tc>
        <w:tc>
          <w:tcPr>
            <w:tcW w:w="1455" w:type="dxa"/>
            <w:tcBorders>
              <w:top w:val="nil"/>
              <w:left w:val="single" w:color="auto" w:sz="4" w:space="0"/>
              <w:bottom w:val="single" w:color="auto" w:sz="4" w:space="0"/>
              <w:right w:val="single" w:color="auto" w:sz="4" w:space="0"/>
            </w:tcBorders>
            <w:noWrap/>
            <w:vAlign w:val="center"/>
          </w:tcPr>
          <w:p w14:paraId="101CF771">
            <w:pPr>
              <w:pStyle w:val="19"/>
              <w:spacing w:line="360" w:lineRule="auto"/>
              <w:jc w:val="center"/>
              <w:rPr>
                <w:rFonts w:hint="eastAsia" w:ascii="宋体" w:hAnsi="宋体" w:eastAsia="宋体" w:cs="宋体"/>
                <w:color w:val="auto"/>
                <w:szCs w:val="24"/>
                <w:highlight w:val="none"/>
              </w:rPr>
            </w:pPr>
          </w:p>
        </w:tc>
        <w:tc>
          <w:tcPr>
            <w:tcW w:w="1740" w:type="dxa"/>
            <w:tcBorders>
              <w:top w:val="nil"/>
              <w:left w:val="single" w:color="auto" w:sz="4" w:space="0"/>
              <w:bottom w:val="single" w:color="auto" w:sz="4" w:space="0"/>
              <w:right w:val="single" w:color="auto" w:sz="4" w:space="0"/>
            </w:tcBorders>
            <w:noWrap/>
            <w:vAlign w:val="center"/>
          </w:tcPr>
          <w:p w14:paraId="64A3B088">
            <w:pPr>
              <w:pStyle w:val="19"/>
              <w:spacing w:line="360" w:lineRule="auto"/>
              <w:jc w:val="center"/>
              <w:rPr>
                <w:rFonts w:hint="eastAsia" w:ascii="宋体" w:hAnsi="宋体" w:eastAsia="宋体" w:cs="宋体"/>
                <w:color w:val="auto"/>
                <w:szCs w:val="24"/>
                <w:highlight w:val="none"/>
              </w:rPr>
            </w:pPr>
          </w:p>
        </w:tc>
        <w:tc>
          <w:tcPr>
            <w:tcW w:w="1710" w:type="dxa"/>
            <w:tcBorders>
              <w:top w:val="nil"/>
              <w:left w:val="single" w:color="auto" w:sz="4" w:space="0"/>
              <w:bottom w:val="single" w:color="auto" w:sz="4" w:space="0"/>
              <w:right w:val="single" w:color="auto" w:sz="4" w:space="0"/>
            </w:tcBorders>
            <w:noWrap/>
            <w:vAlign w:val="center"/>
          </w:tcPr>
          <w:p w14:paraId="0EDB24A4">
            <w:pPr>
              <w:jc w:val="center"/>
              <w:rPr>
                <w:rFonts w:hint="eastAsia" w:ascii="宋体" w:hAnsi="宋体" w:cs="宋体"/>
                <w:color w:val="auto"/>
                <w:sz w:val="24"/>
                <w:szCs w:val="24"/>
                <w:highlight w:val="none"/>
              </w:rPr>
            </w:pPr>
          </w:p>
        </w:tc>
      </w:tr>
      <w:tr w14:paraId="79AD4C7F">
        <w:tblPrEx>
          <w:tblCellMar>
            <w:top w:w="0" w:type="dxa"/>
            <w:left w:w="108" w:type="dxa"/>
            <w:bottom w:w="0" w:type="dxa"/>
            <w:right w:w="108" w:type="dxa"/>
          </w:tblCellMar>
        </w:tblPrEx>
        <w:trPr>
          <w:trHeight w:val="1021" w:hRule="atLeast"/>
        </w:trPr>
        <w:tc>
          <w:tcPr>
            <w:tcW w:w="1137" w:type="dxa"/>
            <w:tcBorders>
              <w:top w:val="single" w:color="auto" w:sz="4" w:space="0"/>
              <w:left w:val="single" w:color="auto" w:sz="4" w:space="0"/>
              <w:bottom w:val="single" w:color="auto" w:sz="4" w:space="0"/>
              <w:right w:val="single" w:color="auto" w:sz="4" w:space="0"/>
            </w:tcBorders>
            <w:noWrap/>
            <w:vAlign w:val="center"/>
          </w:tcPr>
          <w:p w14:paraId="570E262B">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935" w:type="dxa"/>
            <w:tcBorders>
              <w:top w:val="single" w:color="auto" w:sz="4" w:space="0"/>
              <w:left w:val="single" w:color="auto" w:sz="4" w:space="0"/>
              <w:bottom w:val="single" w:color="auto" w:sz="4" w:space="0"/>
              <w:right w:val="single" w:color="auto" w:sz="4" w:space="0"/>
            </w:tcBorders>
            <w:noWrap/>
            <w:vAlign w:val="center"/>
          </w:tcPr>
          <w:p w14:paraId="734FC0DE">
            <w:pPr>
              <w:jc w:val="center"/>
              <w:rPr>
                <w:rFonts w:hint="eastAsia" w:ascii="宋体" w:hAnsi="宋体" w:cs="宋体"/>
                <w:color w:val="auto"/>
                <w:sz w:val="24"/>
                <w:highlight w:val="none"/>
              </w:rPr>
            </w:pPr>
            <w:r>
              <w:rPr>
                <w:rFonts w:hint="eastAsia" w:ascii="宋体" w:hAnsi="宋体" w:cs="宋体"/>
                <w:color w:val="auto"/>
                <w:sz w:val="24"/>
                <w:highlight w:val="none"/>
              </w:rPr>
              <w:t>设施维保</w:t>
            </w:r>
          </w:p>
        </w:tc>
        <w:tc>
          <w:tcPr>
            <w:tcW w:w="1980" w:type="dxa"/>
            <w:tcBorders>
              <w:top w:val="single" w:color="auto" w:sz="4" w:space="0"/>
              <w:left w:val="single" w:color="auto" w:sz="4" w:space="0"/>
              <w:bottom w:val="single" w:color="auto" w:sz="4" w:space="0"/>
              <w:right w:val="single" w:color="auto" w:sz="4" w:space="0"/>
            </w:tcBorders>
            <w:noWrap/>
            <w:vAlign w:val="center"/>
          </w:tcPr>
          <w:p w14:paraId="527BE32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1项</w:t>
            </w:r>
          </w:p>
        </w:tc>
        <w:tc>
          <w:tcPr>
            <w:tcW w:w="1455" w:type="dxa"/>
            <w:tcBorders>
              <w:top w:val="single" w:color="auto" w:sz="4" w:space="0"/>
              <w:left w:val="single" w:color="auto" w:sz="4" w:space="0"/>
              <w:bottom w:val="single" w:color="auto" w:sz="4" w:space="0"/>
              <w:right w:val="single" w:color="auto" w:sz="4" w:space="0"/>
            </w:tcBorders>
            <w:noWrap/>
            <w:vAlign w:val="center"/>
          </w:tcPr>
          <w:p w14:paraId="4FB880C9">
            <w:pPr>
              <w:spacing w:line="360" w:lineRule="auto"/>
              <w:jc w:val="center"/>
              <w:rPr>
                <w:rFonts w:hint="eastAsia" w:ascii="宋体" w:hAnsi="宋体" w:cs="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ign w:val="center"/>
          </w:tcPr>
          <w:p w14:paraId="5DB8522C">
            <w:pPr>
              <w:spacing w:line="360" w:lineRule="auto"/>
              <w:jc w:val="center"/>
              <w:rPr>
                <w:rFonts w:hint="eastAsia" w:ascii="宋体" w:hAnsi="宋体" w:cs="宋体"/>
                <w:color w:val="auto"/>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noWrap/>
            <w:vAlign w:val="center"/>
          </w:tcPr>
          <w:p w14:paraId="215DFE3F">
            <w:pPr>
              <w:spacing w:line="360" w:lineRule="auto"/>
              <w:jc w:val="center"/>
              <w:rPr>
                <w:rFonts w:hint="eastAsia" w:ascii="宋体" w:hAnsi="宋体" w:cs="宋体"/>
                <w:color w:val="auto"/>
                <w:sz w:val="24"/>
                <w:szCs w:val="24"/>
                <w:highlight w:val="none"/>
              </w:rPr>
            </w:pPr>
          </w:p>
        </w:tc>
      </w:tr>
      <w:tr w14:paraId="571A4DB3">
        <w:tblPrEx>
          <w:tblCellMar>
            <w:top w:w="0" w:type="dxa"/>
            <w:left w:w="108" w:type="dxa"/>
            <w:bottom w:w="0" w:type="dxa"/>
            <w:right w:w="108" w:type="dxa"/>
          </w:tblCellMar>
        </w:tblPrEx>
        <w:trPr>
          <w:trHeight w:val="1021" w:hRule="atLeast"/>
        </w:trPr>
        <w:tc>
          <w:tcPr>
            <w:tcW w:w="6507" w:type="dxa"/>
            <w:gridSpan w:val="4"/>
            <w:tcBorders>
              <w:top w:val="single" w:color="auto" w:sz="4" w:space="0"/>
              <w:left w:val="single" w:color="auto" w:sz="4" w:space="0"/>
              <w:bottom w:val="single" w:color="auto" w:sz="4" w:space="0"/>
              <w:right w:val="single" w:color="auto" w:sz="4" w:space="0"/>
            </w:tcBorders>
            <w:noWrap/>
            <w:vAlign w:val="center"/>
          </w:tcPr>
          <w:p w14:paraId="7A886E4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合计（元）</w:t>
            </w:r>
          </w:p>
        </w:tc>
        <w:tc>
          <w:tcPr>
            <w:tcW w:w="1740" w:type="dxa"/>
            <w:tcBorders>
              <w:top w:val="single" w:color="auto" w:sz="4" w:space="0"/>
              <w:left w:val="single" w:color="auto" w:sz="4" w:space="0"/>
              <w:bottom w:val="single" w:color="auto" w:sz="4" w:space="0"/>
              <w:right w:val="single" w:color="auto" w:sz="4" w:space="0"/>
            </w:tcBorders>
            <w:noWrap/>
            <w:vAlign w:val="center"/>
          </w:tcPr>
          <w:p w14:paraId="729ECD1A">
            <w:pPr>
              <w:spacing w:line="360" w:lineRule="auto"/>
              <w:jc w:val="center"/>
              <w:rPr>
                <w:rFonts w:hint="eastAsia" w:ascii="宋体" w:hAnsi="宋体" w:cs="宋体"/>
                <w:color w:val="auto"/>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noWrap/>
            <w:vAlign w:val="center"/>
          </w:tcPr>
          <w:p w14:paraId="371D6434">
            <w:pPr>
              <w:spacing w:line="360" w:lineRule="auto"/>
              <w:jc w:val="center"/>
              <w:rPr>
                <w:rFonts w:hint="eastAsia" w:ascii="宋体" w:hAnsi="宋体" w:cs="宋体"/>
                <w:color w:val="auto"/>
                <w:sz w:val="24"/>
                <w:szCs w:val="24"/>
                <w:highlight w:val="none"/>
              </w:rPr>
            </w:pPr>
          </w:p>
        </w:tc>
      </w:tr>
    </w:tbl>
    <w:p w14:paraId="6AE0228A">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说明：报价包括完成项目的所有费用。采购人不再支付报价以外的任何费用。</w:t>
      </w:r>
    </w:p>
    <w:p w14:paraId="5147F9FC">
      <w:pPr>
        <w:spacing w:line="360" w:lineRule="auto"/>
        <w:ind w:firstLine="480"/>
        <w:rPr>
          <w:rFonts w:hint="eastAsia" w:ascii="宋体" w:hAnsi="宋体"/>
          <w:color w:val="auto"/>
          <w:sz w:val="24"/>
          <w:highlight w:val="none"/>
        </w:rPr>
      </w:pPr>
    </w:p>
    <w:p w14:paraId="40319731">
      <w:pPr>
        <w:spacing w:line="360" w:lineRule="auto"/>
        <w:ind w:right="9"/>
        <w:jc w:val="righ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u w:val="single"/>
        </w:rPr>
        <w:t xml:space="preserve">  （加盖公章）</w:t>
      </w:r>
    </w:p>
    <w:p w14:paraId="31658C63">
      <w:pPr>
        <w:spacing w:line="360" w:lineRule="auto"/>
        <w:jc w:val="right"/>
        <w:rPr>
          <w:rFonts w:hint="eastAsia" w:ascii="宋体" w:hAnsi="宋体"/>
          <w:color w:val="auto"/>
          <w:sz w:val="24"/>
          <w:highlight w:val="none"/>
        </w:rPr>
      </w:pPr>
      <w:r>
        <w:rPr>
          <w:rFonts w:hint="eastAsia" w:ascii="宋体" w:hAnsi="宋体"/>
          <w:color w:val="auto"/>
          <w:sz w:val="24"/>
          <w:highlight w:val="none"/>
        </w:rPr>
        <w:t>日期：   年   月   日</w:t>
      </w:r>
    </w:p>
    <w:p w14:paraId="108C8FB8">
      <w:pPr>
        <w:pStyle w:val="18"/>
        <w:rPr>
          <w:color w:val="auto"/>
          <w:highlight w:val="none"/>
        </w:rPr>
        <w:sectPr>
          <w:pgSz w:w="11905" w:h="16838"/>
          <w:pgMar w:top="1191" w:right="1174" w:bottom="1157" w:left="1088" w:header="850" w:footer="624" w:gutter="0"/>
          <w:cols w:space="0" w:num="1"/>
          <w:titlePg/>
          <w:docGrid w:linePitch="360" w:charSpace="0"/>
        </w:sectPr>
      </w:pPr>
    </w:p>
    <w:p w14:paraId="0718DE8E">
      <w:pPr>
        <w:widowControl w:val="0"/>
        <w:spacing w:line="360" w:lineRule="auto"/>
        <w:rPr>
          <w:rFonts w:hint="eastAsia" w:ascii="宋体" w:hAnsi="宋体" w:eastAsia="黑体" w:cs="黑体"/>
          <w:b/>
          <w:bCs/>
          <w:color w:val="auto"/>
          <w:sz w:val="24"/>
          <w:highlight w:val="none"/>
          <w:lang w:val="zh-CN"/>
        </w:rPr>
      </w:pPr>
      <w:r>
        <w:rPr>
          <w:rFonts w:hint="eastAsia" w:ascii="宋体" w:hAnsi="宋体" w:cs="宋体"/>
          <w:b/>
          <w:color w:val="auto"/>
          <w:sz w:val="31"/>
          <w:szCs w:val="31"/>
          <w:highlight w:val="none"/>
        </w:rPr>
        <w:t>附件四、</w:t>
      </w:r>
      <w:r>
        <w:rPr>
          <w:rFonts w:hint="eastAsia" w:ascii="宋体" w:hAnsi="宋体" w:cs="宋体"/>
          <w:b/>
          <w:color w:val="auto"/>
          <w:sz w:val="31"/>
          <w:szCs w:val="31"/>
          <w:highlight w:val="none"/>
          <w:lang w:val="zh-CN"/>
        </w:rPr>
        <w:t>技术规格偏离表格式 </w:t>
      </w:r>
    </w:p>
    <w:p w14:paraId="1BE7B9D6">
      <w:pPr>
        <w:widowControl w:val="0"/>
        <w:spacing w:line="360" w:lineRule="auto"/>
        <w:ind w:left="420"/>
        <w:jc w:val="center"/>
        <w:rPr>
          <w:rFonts w:ascii="宋体"/>
          <w:color w:val="auto"/>
          <w:highlight w:val="none"/>
        </w:rPr>
      </w:pPr>
      <w:r>
        <w:rPr>
          <w:rFonts w:hint="eastAsia" w:ascii="宋体" w:hAnsi="宋体" w:cs="宋体"/>
          <w:color w:val="auto"/>
          <w:sz w:val="36"/>
          <w:szCs w:val="36"/>
          <w:highlight w:val="none"/>
        </w:rPr>
        <w:t>技术规格偏离表</w:t>
      </w:r>
    </w:p>
    <w:p w14:paraId="7B597EAF">
      <w:pPr>
        <w:widowControl w:val="0"/>
        <w:spacing w:line="360" w:lineRule="auto"/>
        <w:rPr>
          <w:rFonts w:ascii="宋体"/>
          <w:color w:val="auto"/>
          <w:highlight w:val="none"/>
        </w:rPr>
      </w:pPr>
      <w:r>
        <w:rPr>
          <w:rFonts w:ascii="宋体"/>
          <w:color w:val="auto"/>
          <w:sz w:val="24"/>
          <w:highlight w:val="none"/>
        </w:rPr>
        <w:t>                    </w:t>
      </w:r>
    </w:p>
    <w:tbl>
      <w:tblPr>
        <w:tblStyle w:val="13"/>
        <w:tblW w:w="8326" w:type="dxa"/>
        <w:jc w:val="center"/>
        <w:tblLayout w:type="fixed"/>
        <w:tblCellMar>
          <w:top w:w="0" w:type="dxa"/>
          <w:left w:w="0" w:type="dxa"/>
          <w:bottom w:w="0" w:type="dxa"/>
          <w:right w:w="0" w:type="dxa"/>
        </w:tblCellMar>
      </w:tblPr>
      <w:tblGrid>
        <w:gridCol w:w="642"/>
        <w:gridCol w:w="1496"/>
        <w:gridCol w:w="1930"/>
        <w:gridCol w:w="1298"/>
        <w:gridCol w:w="1714"/>
        <w:gridCol w:w="1246"/>
      </w:tblGrid>
      <w:tr w14:paraId="32FEF451">
        <w:tblPrEx>
          <w:tblCellMar>
            <w:top w:w="0" w:type="dxa"/>
            <w:left w:w="0" w:type="dxa"/>
            <w:bottom w:w="0" w:type="dxa"/>
            <w:right w:w="0" w:type="dxa"/>
          </w:tblCellMar>
        </w:tblPrEx>
        <w:trPr>
          <w:trHeight w:val="284" w:hRule="atLeast"/>
          <w:jc w:val="center"/>
        </w:trPr>
        <w:tc>
          <w:tcPr>
            <w:tcW w:w="5366" w:type="dxa"/>
            <w:gridSpan w:val="4"/>
            <w:tcBorders>
              <w:top w:val="nil"/>
              <w:left w:val="nil"/>
              <w:bottom w:val="single" w:color="auto" w:sz="8" w:space="0"/>
              <w:right w:val="nil"/>
            </w:tcBorders>
            <w:tcMar>
              <w:top w:w="0" w:type="dxa"/>
              <w:left w:w="10" w:type="dxa"/>
              <w:bottom w:w="0" w:type="dxa"/>
              <w:right w:w="10" w:type="dxa"/>
            </w:tcMar>
            <w:vAlign w:val="center"/>
          </w:tcPr>
          <w:p w14:paraId="26E283B4">
            <w:pPr>
              <w:widowControl w:val="0"/>
              <w:spacing w:line="360" w:lineRule="auto"/>
              <w:rPr>
                <w:rFonts w:ascii="宋体"/>
                <w:color w:val="auto"/>
                <w:sz w:val="21"/>
                <w:szCs w:val="21"/>
                <w:highlight w:val="none"/>
              </w:rPr>
            </w:pPr>
            <w:r>
              <w:rPr>
                <w:rFonts w:hint="eastAsia" w:ascii="宋体" w:hAnsi="宋体" w:cs="宋体"/>
                <w:color w:val="auto"/>
                <w:sz w:val="21"/>
                <w:szCs w:val="21"/>
                <w:highlight w:val="none"/>
              </w:rPr>
              <w:t>项目名称：</w:t>
            </w:r>
          </w:p>
        </w:tc>
        <w:tc>
          <w:tcPr>
            <w:tcW w:w="2960" w:type="dxa"/>
            <w:gridSpan w:val="2"/>
            <w:tcBorders>
              <w:top w:val="nil"/>
              <w:left w:val="nil"/>
              <w:bottom w:val="single" w:color="auto" w:sz="8" w:space="0"/>
              <w:right w:val="nil"/>
            </w:tcBorders>
            <w:tcMar>
              <w:top w:w="0" w:type="dxa"/>
              <w:left w:w="10" w:type="dxa"/>
              <w:bottom w:w="0" w:type="dxa"/>
              <w:right w:w="10" w:type="dxa"/>
            </w:tcMar>
            <w:vAlign w:val="center"/>
          </w:tcPr>
          <w:p w14:paraId="3DE1C1FE">
            <w:pPr>
              <w:widowControl w:val="0"/>
              <w:spacing w:line="360" w:lineRule="auto"/>
              <w:rPr>
                <w:rFonts w:ascii="宋体"/>
                <w:color w:val="auto"/>
                <w:sz w:val="21"/>
                <w:szCs w:val="21"/>
                <w:highlight w:val="none"/>
              </w:rPr>
            </w:pPr>
            <w:r>
              <w:rPr>
                <w:rFonts w:hint="eastAsia" w:ascii="宋体" w:hAnsi="宋体" w:cs="宋体"/>
                <w:color w:val="auto"/>
                <w:sz w:val="21"/>
                <w:szCs w:val="21"/>
                <w:highlight w:val="none"/>
              </w:rPr>
              <w:t>项目编号：</w:t>
            </w:r>
            <w:r>
              <w:rPr>
                <w:rFonts w:ascii="宋体"/>
                <w:color w:val="auto"/>
                <w:sz w:val="21"/>
                <w:szCs w:val="21"/>
                <w:highlight w:val="none"/>
              </w:rPr>
              <w:t>            </w:t>
            </w:r>
          </w:p>
        </w:tc>
      </w:tr>
      <w:tr w14:paraId="3A68A034">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EE4D34D">
            <w:pPr>
              <w:widowControl w:val="0"/>
              <w:spacing w:line="360" w:lineRule="auto"/>
              <w:jc w:val="center"/>
              <w:rPr>
                <w:rFonts w:ascii="宋体"/>
                <w:color w:val="auto"/>
                <w:sz w:val="21"/>
                <w:szCs w:val="21"/>
                <w:highlight w:val="none"/>
              </w:rPr>
            </w:pPr>
            <w:r>
              <w:rPr>
                <w:rFonts w:hint="eastAsia" w:ascii="宋体" w:hAnsi="宋体" w:cs="宋体"/>
                <w:color w:val="auto"/>
                <w:sz w:val="21"/>
                <w:szCs w:val="21"/>
                <w:highlight w:val="none"/>
              </w:rPr>
              <w:t>序号</w:t>
            </w: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A062CDA">
            <w:pPr>
              <w:widowControl w:val="0"/>
              <w:spacing w:line="360" w:lineRule="auto"/>
              <w:jc w:val="center"/>
              <w:rPr>
                <w:rFonts w:ascii="宋体"/>
                <w:color w:val="auto"/>
                <w:sz w:val="21"/>
                <w:szCs w:val="21"/>
                <w:highlight w:val="none"/>
              </w:rPr>
            </w:pPr>
            <w:r>
              <w:rPr>
                <w:rFonts w:hint="eastAsia" w:ascii="宋体" w:hAnsi="宋体" w:cs="宋体"/>
                <w:color w:val="auto"/>
                <w:sz w:val="21"/>
                <w:szCs w:val="21"/>
                <w:highlight w:val="none"/>
              </w:rPr>
              <w:t>竞争性磋商文件条目号</w:t>
            </w: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133DF7F">
            <w:pPr>
              <w:widowControl w:val="0"/>
              <w:spacing w:line="360" w:lineRule="auto"/>
              <w:jc w:val="center"/>
              <w:rPr>
                <w:rFonts w:ascii="宋体"/>
                <w:color w:val="auto"/>
                <w:sz w:val="21"/>
                <w:szCs w:val="21"/>
                <w:highlight w:val="none"/>
              </w:rPr>
            </w:pPr>
            <w:r>
              <w:rPr>
                <w:rFonts w:hint="eastAsia" w:ascii="宋体" w:hAnsi="宋体" w:cs="宋体"/>
                <w:color w:val="auto"/>
                <w:sz w:val="21"/>
                <w:szCs w:val="21"/>
                <w:highlight w:val="none"/>
              </w:rPr>
              <w:t>磋商要求规格</w:t>
            </w: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3BDE08C">
            <w:pPr>
              <w:widowControl w:val="0"/>
              <w:spacing w:line="360" w:lineRule="auto"/>
              <w:jc w:val="center"/>
              <w:rPr>
                <w:rFonts w:ascii="宋体"/>
                <w:color w:val="auto"/>
                <w:sz w:val="21"/>
                <w:szCs w:val="21"/>
                <w:highlight w:val="none"/>
              </w:rPr>
            </w:pPr>
            <w:r>
              <w:rPr>
                <w:rFonts w:hint="eastAsia" w:ascii="宋体" w:hAnsi="宋体" w:cs="宋体"/>
                <w:color w:val="auto"/>
                <w:sz w:val="21"/>
                <w:szCs w:val="21"/>
                <w:highlight w:val="none"/>
              </w:rPr>
              <w:t>投标响应</w:t>
            </w: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18356DE">
            <w:pPr>
              <w:widowControl w:val="0"/>
              <w:spacing w:line="360" w:lineRule="auto"/>
              <w:jc w:val="center"/>
              <w:rPr>
                <w:rFonts w:ascii="宋体"/>
                <w:color w:val="auto"/>
                <w:sz w:val="21"/>
                <w:szCs w:val="21"/>
                <w:highlight w:val="none"/>
              </w:rPr>
            </w:pPr>
            <w:r>
              <w:rPr>
                <w:rFonts w:hint="eastAsia" w:ascii="宋体" w:hAnsi="宋体" w:cs="宋体"/>
                <w:color w:val="auto"/>
                <w:sz w:val="21"/>
                <w:szCs w:val="21"/>
                <w:highlight w:val="none"/>
              </w:rPr>
              <w:t>偏离</w:t>
            </w:r>
          </w:p>
        </w:tc>
      </w:tr>
      <w:tr w14:paraId="23600195">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E4DB62E">
            <w:pPr>
              <w:widowControl w:val="0"/>
              <w:spacing w:line="360" w:lineRule="auto"/>
              <w:jc w:val="center"/>
              <w:rPr>
                <w:rFonts w:hint="eastAsia" w:ascii="宋体" w:hAnsi="宋体" w:cs="宋体"/>
                <w:color w:val="auto"/>
                <w:sz w:val="21"/>
                <w:szCs w:val="21"/>
                <w:highlight w:val="none"/>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912F6DA">
            <w:pPr>
              <w:widowControl w:val="0"/>
              <w:spacing w:line="360" w:lineRule="auto"/>
              <w:jc w:val="center"/>
              <w:rPr>
                <w:rFonts w:hint="eastAsia" w:ascii="宋体" w:hAnsi="宋体" w:cs="宋体"/>
                <w:color w:val="auto"/>
                <w:sz w:val="21"/>
                <w:szCs w:val="21"/>
                <w:highlight w:val="none"/>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4E9B671">
            <w:pPr>
              <w:widowControl w:val="0"/>
              <w:spacing w:line="360" w:lineRule="auto"/>
              <w:jc w:val="center"/>
              <w:rPr>
                <w:rFonts w:hint="eastAsia" w:ascii="宋体" w:hAnsi="宋体" w:cs="宋体"/>
                <w:color w:val="auto"/>
                <w:sz w:val="21"/>
                <w:szCs w:val="21"/>
                <w:highlight w:val="none"/>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B88125A">
            <w:pPr>
              <w:widowControl w:val="0"/>
              <w:spacing w:line="360" w:lineRule="auto"/>
              <w:jc w:val="center"/>
              <w:rPr>
                <w:rFonts w:hint="eastAsia" w:ascii="宋体" w:hAnsi="宋体" w:cs="宋体"/>
                <w:color w:val="auto"/>
                <w:sz w:val="21"/>
                <w:szCs w:val="21"/>
                <w:highlight w:val="none"/>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064BCE3">
            <w:pPr>
              <w:widowControl w:val="0"/>
              <w:spacing w:line="360" w:lineRule="auto"/>
              <w:jc w:val="center"/>
              <w:rPr>
                <w:rFonts w:hint="eastAsia" w:ascii="宋体" w:hAnsi="宋体" w:cs="宋体"/>
                <w:color w:val="auto"/>
                <w:sz w:val="21"/>
                <w:szCs w:val="21"/>
                <w:highlight w:val="none"/>
              </w:rPr>
            </w:pPr>
          </w:p>
        </w:tc>
      </w:tr>
      <w:tr w14:paraId="6270C5BA">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6D434FA">
            <w:pPr>
              <w:widowControl w:val="0"/>
              <w:spacing w:line="360" w:lineRule="auto"/>
              <w:jc w:val="center"/>
              <w:rPr>
                <w:rFonts w:hint="eastAsia" w:ascii="宋体" w:hAnsi="宋体" w:cs="宋体"/>
                <w:color w:val="auto"/>
                <w:sz w:val="21"/>
                <w:szCs w:val="21"/>
                <w:highlight w:val="none"/>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DE0D606">
            <w:pPr>
              <w:widowControl w:val="0"/>
              <w:spacing w:line="360" w:lineRule="auto"/>
              <w:jc w:val="center"/>
              <w:rPr>
                <w:rFonts w:hint="eastAsia" w:ascii="宋体" w:hAnsi="宋体" w:cs="宋体"/>
                <w:color w:val="auto"/>
                <w:sz w:val="21"/>
                <w:szCs w:val="21"/>
                <w:highlight w:val="none"/>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EF367D1">
            <w:pPr>
              <w:widowControl w:val="0"/>
              <w:spacing w:line="360" w:lineRule="auto"/>
              <w:jc w:val="center"/>
              <w:rPr>
                <w:rFonts w:hint="eastAsia" w:ascii="宋体" w:hAnsi="宋体" w:cs="宋体"/>
                <w:color w:val="auto"/>
                <w:sz w:val="21"/>
                <w:szCs w:val="21"/>
                <w:highlight w:val="none"/>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B73B00A">
            <w:pPr>
              <w:widowControl w:val="0"/>
              <w:spacing w:line="360" w:lineRule="auto"/>
              <w:jc w:val="center"/>
              <w:rPr>
                <w:rFonts w:hint="eastAsia" w:ascii="宋体" w:hAnsi="宋体" w:cs="宋体"/>
                <w:color w:val="auto"/>
                <w:sz w:val="21"/>
                <w:szCs w:val="21"/>
                <w:highlight w:val="none"/>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D7AB7D3">
            <w:pPr>
              <w:widowControl w:val="0"/>
              <w:spacing w:line="360" w:lineRule="auto"/>
              <w:jc w:val="center"/>
              <w:rPr>
                <w:rFonts w:hint="eastAsia" w:ascii="宋体" w:hAnsi="宋体" w:cs="宋体"/>
                <w:color w:val="auto"/>
                <w:sz w:val="21"/>
                <w:szCs w:val="21"/>
                <w:highlight w:val="none"/>
              </w:rPr>
            </w:pPr>
          </w:p>
        </w:tc>
      </w:tr>
      <w:tr w14:paraId="0F4B85B2">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E8899E7">
            <w:pPr>
              <w:widowControl w:val="0"/>
              <w:spacing w:line="360" w:lineRule="auto"/>
              <w:jc w:val="center"/>
              <w:rPr>
                <w:rFonts w:hint="eastAsia" w:ascii="宋体" w:hAnsi="宋体" w:cs="宋体"/>
                <w:color w:val="auto"/>
                <w:sz w:val="21"/>
                <w:szCs w:val="21"/>
                <w:highlight w:val="none"/>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E7F1210">
            <w:pPr>
              <w:widowControl w:val="0"/>
              <w:spacing w:line="360" w:lineRule="auto"/>
              <w:jc w:val="center"/>
              <w:rPr>
                <w:rFonts w:hint="eastAsia" w:ascii="宋体" w:hAnsi="宋体" w:cs="宋体"/>
                <w:color w:val="auto"/>
                <w:sz w:val="21"/>
                <w:szCs w:val="21"/>
                <w:highlight w:val="none"/>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9F7834A">
            <w:pPr>
              <w:widowControl w:val="0"/>
              <w:spacing w:line="360" w:lineRule="auto"/>
              <w:jc w:val="center"/>
              <w:rPr>
                <w:rFonts w:hint="eastAsia" w:ascii="宋体" w:hAnsi="宋体" w:cs="宋体"/>
                <w:color w:val="auto"/>
                <w:sz w:val="21"/>
                <w:szCs w:val="21"/>
                <w:highlight w:val="none"/>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7ACD4AB">
            <w:pPr>
              <w:widowControl w:val="0"/>
              <w:spacing w:line="360" w:lineRule="auto"/>
              <w:jc w:val="center"/>
              <w:rPr>
                <w:rFonts w:hint="eastAsia" w:ascii="宋体" w:hAnsi="宋体" w:cs="宋体"/>
                <w:color w:val="auto"/>
                <w:sz w:val="21"/>
                <w:szCs w:val="21"/>
                <w:highlight w:val="none"/>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BA1E2DA">
            <w:pPr>
              <w:widowControl w:val="0"/>
              <w:spacing w:line="360" w:lineRule="auto"/>
              <w:jc w:val="center"/>
              <w:rPr>
                <w:rFonts w:hint="eastAsia" w:ascii="宋体" w:hAnsi="宋体" w:cs="宋体"/>
                <w:color w:val="auto"/>
                <w:sz w:val="21"/>
                <w:szCs w:val="21"/>
                <w:highlight w:val="none"/>
              </w:rPr>
            </w:pPr>
          </w:p>
        </w:tc>
      </w:tr>
      <w:tr w14:paraId="347FF658">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CA559E8">
            <w:pPr>
              <w:widowControl w:val="0"/>
              <w:spacing w:line="360" w:lineRule="auto"/>
              <w:jc w:val="center"/>
              <w:rPr>
                <w:rFonts w:hint="eastAsia" w:ascii="宋体" w:hAnsi="宋体" w:cs="宋体"/>
                <w:color w:val="auto"/>
                <w:sz w:val="21"/>
                <w:szCs w:val="21"/>
                <w:highlight w:val="none"/>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E2888DB">
            <w:pPr>
              <w:widowControl w:val="0"/>
              <w:spacing w:line="360" w:lineRule="auto"/>
              <w:jc w:val="center"/>
              <w:rPr>
                <w:rFonts w:hint="eastAsia" w:ascii="宋体" w:hAnsi="宋体" w:cs="宋体"/>
                <w:color w:val="auto"/>
                <w:sz w:val="21"/>
                <w:szCs w:val="21"/>
                <w:highlight w:val="none"/>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AEEF897">
            <w:pPr>
              <w:widowControl w:val="0"/>
              <w:spacing w:line="360" w:lineRule="auto"/>
              <w:jc w:val="center"/>
              <w:rPr>
                <w:rFonts w:hint="eastAsia" w:ascii="宋体" w:hAnsi="宋体" w:cs="宋体"/>
                <w:color w:val="auto"/>
                <w:sz w:val="21"/>
                <w:szCs w:val="21"/>
                <w:highlight w:val="none"/>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3AF1059">
            <w:pPr>
              <w:widowControl w:val="0"/>
              <w:spacing w:line="360" w:lineRule="auto"/>
              <w:jc w:val="center"/>
              <w:rPr>
                <w:rFonts w:hint="eastAsia" w:ascii="宋体" w:hAnsi="宋体" w:cs="宋体"/>
                <w:color w:val="auto"/>
                <w:sz w:val="21"/>
                <w:szCs w:val="21"/>
                <w:highlight w:val="none"/>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CFE6C1A">
            <w:pPr>
              <w:widowControl w:val="0"/>
              <w:spacing w:line="360" w:lineRule="auto"/>
              <w:jc w:val="center"/>
              <w:rPr>
                <w:rFonts w:hint="eastAsia" w:ascii="宋体" w:hAnsi="宋体" w:cs="宋体"/>
                <w:color w:val="auto"/>
                <w:sz w:val="21"/>
                <w:szCs w:val="21"/>
                <w:highlight w:val="none"/>
              </w:rPr>
            </w:pPr>
          </w:p>
        </w:tc>
      </w:tr>
      <w:tr w14:paraId="089BB804">
        <w:tblPrEx>
          <w:tblCellMar>
            <w:top w:w="0" w:type="dxa"/>
            <w:left w:w="0" w:type="dxa"/>
            <w:bottom w:w="0" w:type="dxa"/>
            <w:right w:w="0" w:type="dxa"/>
          </w:tblCellMar>
        </w:tblPrEx>
        <w:trPr>
          <w:jc w:val="center"/>
        </w:trPr>
        <w:tc>
          <w:tcPr>
            <w:tcW w:w="642" w:type="dxa"/>
            <w:tcBorders>
              <w:top w:val="nil"/>
              <w:left w:val="nil"/>
              <w:bottom w:val="nil"/>
              <w:right w:val="nil"/>
            </w:tcBorders>
            <w:vAlign w:val="center"/>
          </w:tcPr>
          <w:p w14:paraId="5795D7F6">
            <w:pPr>
              <w:widowControl w:val="0"/>
              <w:spacing w:line="360" w:lineRule="auto"/>
              <w:rPr>
                <w:rFonts w:ascii="宋体"/>
                <w:color w:val="auto"/>
                <w:sz w:val="4"/>
                <w:szCs w:val="4"/>
                <w:highlight w:val="none"/>
              </w:rPr>
            </w:pPr>
          </w:p>
        </w:tc>
        <w:tc>
          <w:tcPr>
            <w:tcW w:w="1496" w:type="dxa"/>
            <w:tcBorders>
              <w:top w:val="nil"/>
              <w:left w:val="nil"/>
              <w:bottom w:val="nil"/>
              <w:right w:val="nil"/>
            </w:tcBorders>
            <w:vAlign w:val="center"/>
          </w:tcPr>
          <w:p w14:paraId="0D46B1F0">
            <w:pPr>
              <w:widowControl w:val="0"/>
              <w:spacing w:line="360" w:lineRule="auto"/>
              <w:rPr>
                <w:rFonts w:ascii="宋体"/>
                <w:color w:val="auto"/>
                <w:sz w:val="4"/>
                <w:szCs w:val="4"/>
                <w:highlight w:val="none"/>
              </w:rPr>
            </w:pPr>
          </w:p>
        </w:tc>
        <w:tc>
          <w:tcPr>
            <w:tcW w:w="1930" w:type="dxa"/>
            <w:tcBorders>
              <w:top w:val="nil"/>
              <w:left w:val="nil"/>
              <w:bottom w:val="nil"/>
              <w:right w:val="nil"/>
            </w:tcBorders>
            <w:vAlign w:val="center"/>
          </w:tcPr>
          <w:p w14:paraId="4891D348">
            <w:pPr>
              <w:widowControl w:val="0"/>
              <w:spacing w:line="360" w:lineRule="auto"/>
              <w:rPr>
                <w:rFonts w:ascii="宋体"/>
                <w:color w:val="auto"/>
                <w:sz w:val="4"/>
                <w:szCs w:val="4"/>
                <w:highlight w:val="none"/>
              </w:rPr>
            </w:pPr>
          </w:p>
        </w:tc>
        <w:tc>
          <w:tcPr>
            <w:tcW w:w="1298" w:type="dxa"/>
            <w:tcBorders>
              <w:top w:val="nil"/>
              <w:left w:val="nil"/>
              <w:bottom w:val="nil"/>
              <w:right w:val="nil"/>
            </w:tcBorders>
            <w:vAlign w:val="center"/>
          </w:tcPr>
          <w:p w14:paraId="590C7CE0">
            <w:pPr>
              <w:widowControl w:val="0"/>
              <w:spacing w:line="360" w:lineRule="auto"/>
              <w:rPr>
                <w:rFonts w:ascii="宋体"/>
                <w:color w:val="auto"/>
                <w:sz w:val="4"/>
                <w:szCs w:val="4"/>
                <w:highlight w:val="none"/>
              </w:rPr>
            </w:pPr>
          </w:p>
        </w:tc>
        <w:tc>
          <w:tcPr>
            <w:tcW w:w="1714" w:type="dxa"/>
            <w:tcBorders>
              <w:top w:val="nil"/>
              <w:left w:val="nil"/>
              <w:bottom w:val="nil"/>
              <w:right w:val="nil"/>
            </w:tcBorders>
            <w:vAlign w:val="center"/>
          </w:tcPr>
          <w:p w14:paraId="1E7396FD">
            <w:pPr>
              <w:widowControl w:val="0"/>
              <w:spacing w:line="360" w:lineRule="auto"/>
              <w:rPr>
                <w:rFonts w:ascii="宋体"/>
                <w:color w:val="auto"/>
                <w:sz w:val="4"/>
                <w:szCs w:val="4"/>
                <w:highlight w:val="none"/>
              </w:rPr>
            </w:pPr>
          </w:p>
        </w:tc>
        <w:tc>
          <w:tcPr>
            <w:tcW w:w="1246" w:type="dxa"/>
            <w:tcBorders>
              <w:top w:val="nil"/>
              <w:left w:val="nil"/>
              <w:bottom w:val="nil"/>
              <w:right w:val="nil"/>
            </w:tcBorders>
            <w:vAlign w:val="center"/>
          </w:tcPr>
          <w:p w14:paraId="3E709D30">
            <w:pPr>
              <w:widowControl w:val="0"/>
              <w:spacing w:line="360" w:lineRule="auto"/>
              <w:rPr>
                <w:rFonts w:ascii="宋体"/>
                <w:color w:val="auto"/>
                <w:sz w:val="4"/>
                <w:szCs w:val="4"/>
                <w:highlight w:val="none"/>
              </w:rPr>
            </w:pPr>
          </w:p>
        </w:tc>
      </w:tr>
    </w:tbl>
    <w:p w14:paraId="190EFDEA">
      <w:pPr>
        <w:widowControl w:val="0"/>
        <w:spacing w:line="360" w:lineRule="auto"/>
        <w:ind w:firstLine="630"/>
        <w:rPr>
          <w:rFonts w:hint="eastAsia" w:ascii="宋体" w:hAnsi="宋体" w:cs="宋体"/>
          <w:color w:val="auto"/>
          <w:sz w:val="21"/>
          <w:szCs w:val="21"/>
          <w:highlight w:val="none"/>
        </w:rPr>
      </w:pPr>
      <w:r>
        <w:rPr>
          <w:rFonts w:hint="eastAsia" w:ascii="宋体" w:hAnsi="宋体" w:cs="宋体"/>
          <w:color w:val="auto"/>
          <w:sz w:val="21"/>
          <w:szCs w:val="21"/>
          <w:highlight w:val="none"/>
        </w:rPr>
        <w:t>说明：1、如果行数不够，请自行增加。</w:t>
      </w:r>
    </w:p>
    <w:p w14:paraId="4240B31B">
      <w:pPr>
        <w:pStyle w:val="20"/>
        <w:widowControl w:val="0"/>
        <w:rPr>
          <w:rFonts w:hint="eastAsia"/>
          <w:color w:val="auto"/>
          <w:highlight w:val="none"/>
        </w:rPr>
      </w:pPr>
    </w:p>
    <w:p w14:paraId="32827B6D">
      <w:pPr>
        <w:widowControl w:val="0"/>
        <w:spacing w:line="360" w:lineRule="auto"/>
        <w:ind w:firstLine="6510"/>
        <w:rPr>
          <w:rFonts w:hint="eastAsia" w:ascii="宋体" w:hAnsi="宋体" w:cs="宋体"/>
          <w:color w:val="auto"/>
          <w:sz w:val="21"/>
          <w:szCs w:val="21"/>
          <w:highlight w:val="none"/>
        </w:rPr>
      </w:pPr>
      <w:r>
        <w:rPr>
          <w:rFonts w:hint="eastAsia" w:ascii="宋体" w:hAnsi="宋体" w:cs="宋体"/>
          <w:color w:val="auto"/>
          <w:sz w:val="21"/>
          <w:szCs w:val="21"/>
          <w:highlight w:val="none"/>
        </w:rPr>
        <w:t>供应商名称：</w:t>
      </w:r>
      <w:r>
        <w:rPr>
          <w:rFonts w:hint="eastAsia" w:ascii="宋体" w:hAnsi="宋体" w:cs="宋体"/>
          <w:color w:val="auto"/>
          <w:sz w:val="21"/>
          <w:szCs w:val="21"/>
          <w:highlight w:val="none"/>
          <w:u w:val="single"/>
        </w:rPr>
        <w:t>（加盖公章）</w:t>
      </w:r>
    </w:p>
    <w:p w14:paraId="2B6C1380">
      <w:pPr>
        <w:widowControl w:val="0"/>
        <w:spacing w:line="360" w:lineRule="auto"/>
        <w:ind w:firstLine="5040"/>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法定代表人或其授权代理人：</w:t>
      </w:r>
      <w:r>
        <w:rPr>
          <w:rFonts w:hint="eastAsia" w:ascii="宋体" w:hAnsi="宋体" w:cs="宋体"/>
          <w:color w:val="auto"/>
          <w:sz w:val="21"/>
          <w:szCs w:val="21"/>
          <w:highlight w:val="none"/>
          <w:u w:val="single"/>
        </w:rPr>
        <w:t>（签字或盖章）</w:t>
      </w:r>
    </w:p>
    <w:p w14:paraId="0A87EC0B">
      <w:pPr>
        <w:pStyle w:val="20"/>
        <w:widowControl w:val="0"/>
        <w:ind w:firstLine="6300"/>
        <w:rPr>
          <w:rFonts w:hint="eastAsia" w:cs="宋体"/>
          <w:color w:val="auto"/>
          <w:sz w:val="21"/>
          <w:szCs w:val="21"/>
          <w:highlight w:val="none"/>
        </w:rPr>
      </w:pPr>
      <w:r>
        <w:rPr>
          <w:rFonts w:hint="eastAsia" w:cs="宋体"/>
          <w:color w:val="auto"/>
          <w:sz w:val="21"/>
          <w:szCs w:val="21"/>
          <w:highlight w:val="none"/>
        </w:rPr>
        <w:t>日期：   年   月   日</w:t>
      </w:r>
    </w:p>
    <w:p w14:paraId="0EB2A1E6">
      <w:pPr>
        <w:widowControl w:val="0"/>
        <w:rPr>
          <w:color w:val="auto"/>
          <w:highlight w:val="none"/>
        </w:rPr>
      </w:pPr>
      <w:bookmarkStart w:id="13" w:name="_Toc481604684"/>
      <w:bookmarkStart w:id="14" w:name="_Toc2435"/>
    </w:p>
    <w:p w14:paraId="180945A0">
      <w:pPr>
        <w:widowControl w:val="0"/>
        <w:spacing w:line="360" w:lineRule="auto"/>
        <w:rPr>
          <w:rFonts w:hint="eastAsia" w:ascii="宋体" w:hAnsi="宋体" w:cs="宋体"/>
          <w:b/>
          <w:color w:val="auto"/>
          <w:sz w:val="31"/>
          <w:szCs w:val="31"/>
          <w:highlight w:val="none"/>
        </w:rPr>
      </w:pPr>
      <w:r>
        <w:rPr>
          <w:rFonts w:hint="eastAsia" w:ascii="宋体" w:hAnsi="宋体" w:cs="宋体"/>
          <w:b/>
          <w:color w:val="auto"/>
          <w:sz w:val="31"/>
          <w:szCs w:val="31"/>
          <w:highlight w:val="none"/>
        </w:rPr>
        <w:t>附件五、商务条款偏离表格式</w:t>
      </w:r>
      <w:bookmarkEnd w:id="13"/>
      <w:bookmarkEnd w:id="14"/>
    </w:p>
    <w:p w14:paraId="1AB15B57">
      <w:pPr>
        <w:widowControl w:val="0"/>
        <w:spacing w:line="360" w:lineRule="auto"/>
        <w:ind w:left="420"/>
        <w:jc w:val="center"/>
        <w:rPr>
          <w:rFonts w:ascii="宋体"/>
          <w:color w:val="auto"/>
          <w:highlight w:val="none"/>
        </w:rPr>
      </w:pPr>
      <w:r>
        <w:rPr>
          <w:rFonts w:hint="eastAsia" w:ascii="宋体" w:hAnsi="宋体" w:cs="宋体"/>
          <w:color w:val="auto"/>
          <w:sz w:val="36"/>
          <w:szCs w:val="36"/>
          <w:highlight w:val="none"/>
        </w:rPr>
        <w:t>商务条款偏离表</w:t>
      </w:r>
    </w:p>
    <w:tbl>
      <w:tblPr>
        <w:tblStyle w:val="13"/>
        <w:tblW w:w="8326" w:type="dxa"/>
        <w:jc w:val="center"/>
        <w:tblLayout w:type="fixed"/>
        <w:tblCellMar>
          <w:top w:w="0" w:type="dxa"/>
          <w:left w:w="0" w:type="dxa"/>
          <w:bottom w:w="0" w:type="dxa"/>
          <w:right w:w="0" w:type="dxa"/>
        </w:tblCellMar>
      </w:tblPr>
      <w:tblGrid>
        <w:gridCol w:w="560"/>
        <w:gridCol w:w="1503"/>
        <w:gridCol w:w="2370"/>
        <w:gridCol w:w="933"/>
        <w:gridCol w:w="1759"/>
        <w:gridCol w:w="1201"/>
      </w:tblGrid>
      <w:tr w14:paraId="59CA5A70">
        <w:tblPrEx>
          <w:tblCellMar>
            <w:top w:w="0" w:type="dxa"/>
            <w:left w:w="0" w:type="dxa"/>
            <w:bottom w:w="0" w:type="dxa"/>
            <w:right w:w="0" w:type="dxa"/>
          </w:tblCellMar>
        </w:tblPrEx>
        <w:trPr>
          <w:trHeight w:val="284" w:hRule="atLeast"/>
          <w:tblHeader/>
          <w:jc w:val="center"/>
        </w:trPr>
        <w:tc>
          <w:tcPr>
            <w:tcW w:w="5366" w:type="dxa"/>
            <w:gridSpan w:val="4"/>
            <w:tcBorders>
              <w:top w:val="nil"/>
              <w:left w:val="nil"/>
              <w:bottom w:val="single" w:color="auto" w:sz="8" w:space="0"/>
              <w:right w:val="nil"/>
            </w:tcBorders>
            <w:tcMar>
              <w:top w:w="0" w:type="dxa"/>
              <w:left w:w="10" w:type="dxa"/>
              <w:bottom w:w="0" w:type="dxa"/>
              <w:right w:w="10" w:type="dxa"/>
            </w:tcMar>
            <w:vAlign w:val="center"/>
          </w:tcPr>
          <w:p w14:paraId="52D10CFB">
            <w:pPr>
              <w:widowControl w:val="0"/>
              <w:spacing w:line="360" w:lineRule="auto"/>
              <w:rPr>
                <w:rFonts w:ascii="宋体"/>
                <w:color w:val="auto"/>
                <w:highlight w:val="none"/>
              </w:rPr>
            </w:pPr>
            <w:r>
              <w:rPr>
                <w:rFonts w:hint="eastAsia" w:ascii="宋体" w:hAnsi="宋体" w:cs="宋体"/>
                <w:color w:val="auto"/>
                <w:highlight w:val="none"/>
              </w:rPr>
              <w:t>项目名称：</w:t>
            </w:r>
          </w:p>
        </w:tc>
        <w:tc>
          <w:tcPr>
            <w:tcW w:w="2960" w:type="dxa"/>
            <w:gridSpan w:val="2"/>
            <w:tcBorders>
              <w:top w:val="nil"/>
              <w:left w:val="nil"/>
              <w:bottom w:val="single" w:color="auto" w:sz="8" w:space="0"/>
              <w:right w:val="nil"/>
            </w:tcBorders>
            <w:tcMar>
              <w:top w:w="0" w:type="dxa"/>
              <w:left w:w="10" w:type="dxa"/>
              <w:bottom w:w="0" w:type="dxa"/>
              <w:right w:w="10" w:type="dxa"/>
            </w:tcMar>
            <w:vAlign w:val="center"/>
          </w:tcPr>
          <w:p w14:paraId="77C76940">
            <w:pPr>
              <w:widowControl w:val="0"/>
              <w:spacing w:line="360" w:lineRule="auto"/>
              <w:rPr>
                <w:rFonts w:ascii="宋体"/>
                <w:color w:val="auto"/>
                <w:highlight w:val="none"/>
              </w:rPr>
            </w:pPr>
            <w:r>
              <w:rPr>
                <w:rFonts w:hint="eastAsia" w:ascii="宋体" w:hAnsi="宋体" w:cs="宋体"/>
                <w:color w:val="auto"/>
                <w:highlight w:val="none"/>
              </w:rPr>
              <w:t>项目编号：</w:t>
            </w:r>
          </w:p>
        </w:tc>
      </w:tr>
      <w:tr w14:paraId="56672086">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9D63BAF">
            <w:pPr>
              <w:widowControl w:val="0"/>
              <w:spacing w:line="360" w:lineRule="auto"/>
              <w:jc w:val="center"/>
              <w:rPr>
                <w:rFonts w:ascii="宋体"/>
                <w:color w:val="auto"/>
                <w:highlight w:val="none"/>
              </w:rPr>
            </w:pPr>
            <w:r>
              <w:rPr>
                <w:rFonts w:hint="eastAsia" w:ascii="宋体" w:hAnsi="宋体" w:cs="宋体"/>
                <w:color w:val="auto"/>
                <w:highlight w:val="none"/>
              </w:rPr>
              <w:t>序号</w:t>
            </w: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EE4E284">
            <w:pPr>
              <w:widowControl w:val="0"/>
              <w:spacing w:line="360" w:lineRule="auto"/>
              <w:jc w:val="center"/>
              <w:rPr>
                <w:rFonts w:ascii="宋体"/>
                <w:color w:val="auto"/>
                <w:highlight w:val="none"/>
              </w:rPr>
            </w:pPr>
            <w:r>
              <w:rPr>
                <w:rFonts w:hint="eastAsia" w:ascii="宋体" w:hAnsi="宋体" w:cs="宋体"/>
                <w:color w:val="auto"/>
                <w:highlight w:val="none"/>
              </w:rPr>
              <w:t>竞争性磋商文件条目号</w:t>
            </w: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B2E1EF1">
            <w:pPr>
              <w:widowControl w:val="0"/>
              <w:spacing w:line="360" w:lineRule="auto"/>
              <w:jc w:val="center"/>
              <w:rPr>
                <w:rFonts w:ascii="宋体"/>
                <w:color w:val="auto"/>
                <w:highlight w:val="none"/>
              </w:rPr>
            </w:pPr>
            <w:r>
              <w:rPr>
                <w:rFonts w:hint="eastAsia" w:ascii="宋体" w:hAnsi="宋体" w:cs="宋体"/>
                <w:color w:val="auto"/>
                <w:highlight w:val="none"/>
              </w:rPr>
              <w:t>竞争性磋商文件要求的商务条款</w:t>
            </w: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ACB2565">
            <w:pPr>
              <w:widowControl w:val="0"/>
              <w:spacing w:line="360" w:lineRule="auto"/>
              <w:jc w:val="center"/>
              <w:rPr>
                <w:rFonts w:ascii="宋体"/>
                <w:color w:val="auto"/>
                <w:highlight w:val="none"/>
              </w:rPr>
            </w:pPr>
            <w:r>
              <w:rPr>
                <w:rFonts w:hint="eastAsia" w:ascii="宋体" w:hAnsi="宋体" w:cs="宋体"/>
                <w:color w:val="auto"/>
                <w:highlight w:val="none"/>
              </w:rPr>
              <w:t>投标响应</w:t>
            </w: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50B30E8">
            <w:pPr>
              <w:widowControl w:val="0"/>
              <w:spacing w:line="360" w:lineRule="auto"/>
              <w:jc w:val="center"/>
              <w:rPr>
                <w:rFonts w:ascii="宋体"/>
                <w:color w:val="auto"/>
                <w:highlight w:val="none"/>
              </w:rPr>
            </w:pPr>
            <w:r>
              <w:rPr>
                <w:rFonts w:hint="eastAsia" w:ascii="宋体" w:hAnsi="宋体" w:cs="宋体"/>
                <w:color w:val="auto"/>
                <w:highlight w:val="none"/>
              </w:rPr>
              <w:t>偏离</w:t>
            </w:r>
          </w:p>
        </w:tc>
      </w:tr>
      <w:tr w14:paraId="06B21F43">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1CAC1E6">
            <w:pPr>
              <w:widowControl w:val="0"/>
              <w:spacing w:line="360" w:lineRule="auto"/>
              <w:jc w:val="center"/>
              <w:rPr>
                <w:rFonts w:hint="eastAsia" w:ascii="宋体" w:hAnsi="宋体" w:cs="宋体"/>
                <w:color w:val="auto"/>
                <w:highlight w:val="none"/>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D6E0CCD">
            <w:pPr>
              <w:widowControl w:val="0"/>
              <w:spacing w:line="360" w:lineRule="auto"/>
              <w:jc w:val="center"/>
              <w:rPr>
                <w:rFonts w:hint="eastAsia" w:ascii="宋体" w:hAnsi="宋体" w:cs="宋体"/>
                <w:color w:val="auto"/>
                <w:highlight w:val="none"/>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9F640BD">
            <w:pPr>
              <w:widowControl w:val="0"/>
              <w:spacing w:line="360" w:lineRule="auto"/>
              <w:jc w:val="center"/>
              <w:rPr>
                <w:rFonts w:hint="eastAsia" w:ascii="宋体" w:hAnsi="宋体" w:cs="宋体"/>
                <w:color w:val="auto"/>
                <w:highlight w:val="none"/>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03FC701">
            <w:pPr>
              <w:widowControl w:val="0"/>
              <w:spacing w:line="360" w:lineRule="auto"/>
              <w:jc w:val="center"/>
              <w:rPr>
                <w:rFonts w:hint="eastAsia" w:ascii="宋体" w:hAnsi="宋体" w:cs="宋体"/>
                <w:color w:val="auto"/>
                <w:highlight w:val="none"/>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7D59149">
            <w:pPr>
              <w:widowControl w:val="0"/>
              <w:spacing w:line="360" w:lineRule="auto"/>
              <w:jc w:val="center"/>
              <w:rPr>
                <w:rFonts w:hint="eastAsia" w:ascii="宋体" w:hAnsi="宋体" w:cs="宋体"/>
                <w:color w:val="auto"/>
                <w:highlight w:val="none"/>
              </w:rPr>
            </w:pPr>
          </w:p>
        </w:tc>
      </w:tr>
      <w:tr w14:paraId="00AB5FA1">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07E2ECA">
            <w:pPr>
              <w:widowControl w:val="0"/>
              <w:spacing w:line="360" w:lineRule="auto"/>
              <w:jc w:val="center"/>
              <w:rPr>
                <w:rFonts w:hint="eastAsia" w:ascii="宋体" w:hAnsi="宋体" w:cs="宋体"/>
                <w:color w:val="auto"/>
                <w:highlight w:val="none"/>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6BF292C">
            <w:pPr>
              <w:widowControl w:val="0"/>
              <w:spacing w:line="360" w:lineRule="auto"/>
              <w:jc w:val="center"/>
              <w:rPr>
                <w:rFonts w:hint="eastAsia" w:ascii="宋体" w:hAnsi="宋体" w:cs="宋体"/>
                <w:color w:val="auto"/>
                <w:highlight w:val="none"/>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8E6790E">
            <w:pPr>
              <w:widowControl w:val="0"/>
              <w:spacing w:line="360" w:lineRule="auto"/>
              <w:jc w:val="center"/>
              <w:rPr>
                <w:rFonts w:hint="eastAsia" w:ascii="宋体" w:hAnsi="宋体" w:cs="宋体"/>
                <w:color w:val="auto"/>
                <w:highlight w:val="none"/>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8CA171F">
            <w:pPr>
              <w:widowControl w:val="0"/>
              <w:spacing w:line="360" w:lineRule="auto"/>
              <w:jc w:val="center"/>
              <w:rPr>
                <w:rFonts w:hint="eastAsia" w:ascii="宋体" w:hAnsi="宋体" w:cs="宋体"/>
                <w:color w:val="auto"/>
                <w:highlight w:val="none"/>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29A94CB">
            <w:pPr>
              <w:widowControl w:val="0"/>
              <w:spacing w:line="360" w:lineRule="auto"/>
              <w:jc w:val="center"/>
              <w:rPr>
                <w:rFonts w:hint="eastAsia" w:ascii="宋体" w:hAnsi="宋体" w:cs="宋体"/>
                <w:color w:val="auto"/>
                <w:highlight w:val="none"/>
              </w:rPr>
            </w:pPr>
          </w:p>
        </w:tc>
      </w:tr>
      <w:tr w14:paraId="3C5FA7A0">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B1E73E6">
            <w:pPr>
              <w:widowControl w:val="0"/>
              <w:spacing w:line="360" w:lineRule="auto"/>
              <w:jc w:val="center"/>
              <w:rPr>
                <w:rFonts w:hint="eastAsia" w:ascii="宋体" w:hAnsi="宋体" w:cs="宋体"/>
                <w:color w:val="auto"/>
                <w:highlight w:val="none"/>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7822022">
            <w:pPr>
              <w:widowControl w:val="0"/>
              <w:spacing w:line="360" w:lineRule="auto"/>
              <w:jc w:val="center"/>
              <w:rPr>
                <w:rFonts w:hint="eastAsia" w:ascii="宋体" w:hAnsi="宋体" w:cs="宋体"/>
                <w:color w:val="auto"/>
                <w:highlight w:val="none"/>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F0EA885">
            <w:pPr>
              <w:widowControl w:val="0"/>
              <w:spacing w:line="360" w:lineRule="auto"/>
              <w:jc w:val="center"/>
              <w:rPr>
                <w:rFonts w:hint="eastAsia" w:ascii="宋体" w:hAnsi="宋体" w:cs="宋体"/>
                <w:color w:val="auto"/>
                <w:highlight w:val="none"/>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F4875F1">
            <w:pPr>
              <w:widowControl w:val="0"/>
              <w:spacing w:line="360" w:lineRule="auto"/>
              <w:jc w:val="center"/>
              <w:rPr>
                <w:rFonts w:hint="eastAsia" w:ascii="宋体" w:hAnsi="宋体" w:cs="宋体"/>
                <w:color w:val="auto"/>
                <w:highlight w:val="none"/>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3512F53">
            <w:pPr>
              <w:widowControl w:val="0"/>
              <w:spacing w:line="360" w:lineRule="auto"/>
              <w:jc w:val="center"/>
              <w:rPr>
                <w:rFonts w:hint="eastAsia" w:ascii="宋体" w:hAnsi="宋体" w:cs="宋体"/>
                <w:color w:val="auto"/>
                <w:highlight w:val="none"/>
              </w:rPr>
            </w:pPr>
          </w:p>
        </w:tc>
      </w:tr>
      <w:tr w14:paraId="23B0FF75">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D1CD139">
            <w:pPr>
              <w:widowControl w:val="0"/>
              <w:spacing w:line="360" w:lineRule="auto"/>
              <w:jc w:val="center"/>
              <w:rPr>
                <w:rFonts w:hint="eastAsia" w:ascii="宋体" w:hAnsi="宋体" w:cs="宋体"/>
                <w:color w:val="auto"/>
                <w:highlight w:val="none"/>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A4EE806">
            <w:pPr>
              <w:widowControl w:val="0"/>
              <w:spacing w:line="360" w:lineRule="auto"/>
              <w:jc w:val="center"/>
              <w:rPr>
                <w:rFonts w:hint="eastAsia" w:ascii="宋体" w:hAnsi="宋体" w:cs="宋体"/>
                <w:color w:val="auto"/>
                <w:highlight w:val="none"/>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F1F00CC">
            <w:pPr>
              <w:widowControl w:val="0"/>
              <w:spacing w:line="360" w:lineRule="auto"/>
              <w:jc w:val="center"/>
              <w:rPr>
                <w:rFonts w:hint="eastAsia" w:ascii="宋体" w:hAnsi="宋体" w:cs="宋体"/>
                <w:color w:val="auto"/>
                <w:highlight w:val="none"/>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1AB1BDD">
            <w:pPr>
              <w:widowControl w:val="0"/>
              <w:spacing w:line="360" w:lineRule="auto"/>
              <w:jc w:val="center"/>
              <w:rPr>
                <w:rFonts w:hint="eastAsia" w:ascii="宋体" w:hAnsi="宋体" w:cs="宋体"/>
                <w:color w:val="auto"/>
                <w:highlight w:val="none"/>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1A09726">
            <w:pPr>
              <w:widowControl w:val="0"/>
              <w:spacing w:line="360" w:lineRule="auto"/>
              <w:jc w:val="center"/>
              <w:rPr>
                <w:rFonts w:hint="eastAsia" w:ascii="宋体" w:hAnsi="宋体" w:cs="宋体"/>
                <w:color w:val="auto"/>
                <w:highlight w:val="none"/>
              </w:rPr>
            </w:pPr>
          </w:p>
        </w:tc>
      </w:tr>
      <w:tr w14:paraId="35979905">
        <w:tblPrEx>
          <w:tblCellMar>
            <w:top w:w="0" w:type="dxa"/>
            <w:left w:w="0" w:type="dxa"/>
            <w:bottom w:w="0" w:type="dxa"/>
            <w:right w:w="0" w:type="dxa"/>
          </w:tblCellMar>
        </w:tblPrEx>
        <w:trPr>
          <w:jc w:val="center"/>
        </w:trPr>
        <w:tc>
          <w:tcPr>
            <w:tcW w:w="560" w:type="dxa"/>
            <w:tcBorders>
              <w:top w:val="nil"/>
              <w:left w:val="nil"/>
              <w:bottom w:val="nil"/>
              <w:right w:val="nil"/>
            </w:tcBorders>
            <w:vAlign w:val="center"/>
          </w:tcPr>
          <w:p w14:paraId="3D6019BC">
            <w:pPr>
              <w:widowControl w:val="0"/>
              <w:spacing w:line="360" w:lineRule="auto"/>
              <w:rPr>
                <w:rFonts w:ascii="宋体"/>
                <w:color w:val="auto"/>
                <w:sz w:val="2"/>
                <w:szCs w:val="2"/>
                <w:highlight w:val="none"/>
              </w:rPr>
            </w:pPr>
          </w:p>
        </w:tc>
        <w:tc>
          <w:tcPr>
            <w:tcW w:w="1503" w:type="dxa"/>
            <w:tcBorders>
              <w:top w:val="nil"/>
              <w:left w:val="nil"/>
              <w:bottom w:val="nil"/>
              <w:right w:val="nil"/>
            </w:tcBorders>
            <w:vAlign w:val="center"/>
          </w:tcPr>
          <w:p w14:paraId="018AC0B8">
            <w:pPr>
              <w:widowControl w:val="0"/>
              <w:spacing w:line="360" w:lineRule="auto"/>
              <w:rPr>
                <w:rFonts w:ascii="宋体"/>
                <w:color w:val="auto"/>
                <w:sz w:val="2"/>
                <w:szCs w:val="2"/>
                <w:highlight w:val="none"/>
              </w:rPr>
            </w:pPr>
          </w:p>
        </w:tc>
        <w:tc>
          <w:tcPr>
            <w:tcW w:w="2370" w:type="dxa"/>
            <w:tcBorders>
              <w:top w:val="nil"/>
              <w:left w:val="nil"/>
              <w:bottom w:val="nil"/>
              <w:right w:val="nil"/>
            </w:tcBorders>
            <w:vAlign w:val="center"/>
          </w:tcPr>
          <w:p w14:paraId="0083E1B7">
            <w:pPr>
              <w:widowControl w:val="0"/>
              <w:spacing w:line="360" w:lineRule="auto"/>
              <w:rPr>
                <w:rFonts w:ascii="宋体"/>
                <w:color w:val="auto"/>
                <w:sz w:val="2"/>
                <w:szCs w:val="2"/>
                <w:highlight w:val="none"/>
              </w:rPr>
            </w:pPr>
          </w:p>
        </w:tc>
        <w:tc>
          <w:tcPr>
            <w:tcW w:w="933" w:type="dxa"/>
            <w:tcBorders>
              <w:top w:val="nil"/>
              <w:left w:val="nil"/>
              <w:bottom w:val="nil"/>
              <w:right w:val="nil"/>
            </w:tcBorders>
            <w:vAlign w:val="center"/>
          </w:tcPr>
          <w:p w14:paraId="3E056230">
            <w:pPr>
              <w:widowControl w:val="0"/>
              <w:spacing w:line="360" w:lineRule="auto"/>
              <w:rPr>
                <w:rFonts w:ascii="宋体"/>
                <w:color w:val="auto"/>
                <w:sz w:val="2"/>
                <w:szCs w:val="2"/>
                <w:highlight w:val="none"/>
              </w:rPr>
            </w:pPr>
          </w:p>
        </w:tc>
        <w:tc>
          <w:tcPr>
            <w:tcW w:w="1759" w:type="dxa"/>
            <w:tcBorders>
              <w:top w:val="nil"/>
              <w:left w:val="nil"/>
              <w:bottom w:val="nil"/>
              <w:right w:val="nil"/>
            </w:tcBorders>
            <w:vAlign w:val="center"/>
          </w:tcPr>
          <w:p w14:paraId="3B2889CB">
            <w:pPr>
              <w:widowControl w:val="0"/>
              <w:spacing w:line="360" w:lineRule="auto"/>
              <w:rPr>
                <w:rFonts w:ascii="宋体"/>
                <w:color w:val="auto"/>
                <w:sz w:val="2"/>
                <w:szCs w:val="2"/>
                <w:highlight w:val="none"/>
              </w:rPr>
            </w:pPr>
          </w:p>
        </w:tc>
        <w:tc>
          <w:tcPr>
            <w:tcW w:w="1201" w:type="dxa"/>
            <w:tcBorders>
              <w:top w:val="nil"/>
              <w:left w:val="nil"/>
              <w:bottom w:val="nil"/>
              <w:right w:val="nil"/>
            </w:tcBorders>
            <w:vAlign w:val="center"/>
          </w:tcPr>
          <w:p w14:paraId="47ECDED0">
            <w:pPr>
              <w:widowControl w:val="0"/>
              <w:spacing w:line="360" w:lineRule="auto"/>
              <w:rPr>
                <w:rFonts w:ascii="宋体"/>
                <w:color w:val="auto"/>
                <w:sz w:val="2"/>
                <w:szCs w:val="2"/>
                <w:highlight w:val="none"/>
              </w:rPr>
            </w:pPr>
          </w:p>
        </w:tc>
      </w:tr>
    </w:tbl>
    <w:p w14:paraId="617B0E52">
      <w:pPr>
        <w:widowControl w:val="0"/>
        <w:spacing w:line="360" w:lineRule="auto"/>
        <w:ind w:firstLine="420"/>
        <w:rPr>
          <w:rFonts w:hint="eastAsia" w:ascii="宋体" w:hAnsi="宋体" w:cs="宋体"/>
          <w:color w:val="auto"/>
          <w:sz w:val="21"/>
          <w:szCs w:val="22"/>
          <w:highlight w:val="none"/>
        </w:rPr>
      </w:pPr>
      <w:r>
        <w:rPr>
          <w:rFonts w:hint="eastAsia" w:ascii="宋体" w:hAnsi="宋体" w:cs="宋体"/>
          <w:color w:val="auto"/>
          <w:sz w:val="21"/>
          <w:szCs w:val="22"/>
          <w:highlight w:val="none"/>
        </w:rPr>
        <w:t>说明：如果行数不够，请自行增加。</w:t>
      </w:r>
    </w:p>
    <w:p w14:paraId="54945948">
      <w:pPr>
        <w:pStyle w:val="20"/>
        <w:widowControl w:val="0"/>
        <w:rPr>
          <w:rFonts w:hint="eastAsia"/>
          <w:color w:val="auto"/>
          <w:highlight w:val="none"/>
        </w:rPr>
      </w:pPr>
    </w:p>
    <w:p w14:paraId="7A37A247">
      <w:pPr>
        <w:widowControl w:val="0"/>
        <w:spacing w:line="360" w:lineRule="auto"/>
        <w:rPr>
          <w:rFonts w:hint="eastAsia" w:ascii="宋体" w:hAnsi="宋体" w:cs="宋体"/>
          <w:color w:val="auto"/>
          <w:sz w:val="21"/>
          <w:szCs w:val="22"/>
          <w:highlight w:val="none"/>
        </w:rPr>
      </w:pPr>
      <w:r>
        <w:rPr>
          <w:rFonts w:hint="eastAsia" w:ascii="宋体" w:hAnsi="宋体" w:cs="宋体"/>
          <w:color w:val="auto"/>
          <w:sz w:val="21"/>
          <w:szCs w:val="22"/>
          <w:highlight w:val="none"/>
        </w:rPr>
        <w:t xml:space="preserve">                                                              供应商名称：</w:t>
      </w:r>
      <w:r>
        <w:rPr>
          <w:rFonts w:hint="eastAsia" w:ascii="宋体" w:hAnsi="宋体" w:cs="宋体"/>
          <w:color w:val="auto"/>
          <w:sz w:val="21"/>
          <w:szCs w:val="22"/>
          <w:highlight w:val="none"/>
          <w:u w:val="single"/>
        </w:rPr>
        <w:t>（</w:t>
      </w:r>
      <w:r>
        <w:rPr>
          <w:rFonts w:hint="eastAsia" w:ascii="宋体" w:hAnsi="宋体" w:cs="宋体"/>
          <w:color w:val="auto"/>
          <w:sz w:val="21"/>
          <w:szCs w:val="21"/>
          <w:highlight w:val="none"/>
          <w:u w:val="single"/>
        </w:rPr>
        <w:t>加盖公章</w:t>
      </w:r>
      <w:r>
        <w:rPr>
          <w:rFonts w:hint="eastAsia" w:ascii="宋体" w:hAnsi="宋体" w:cs="宋体"/>
          <w:color w:val="auto"/>
          <w:sz w:val="21"/>
          <w:szCs w:val="22"/>
          <w:highlight w:val="none"/>
          <w:u w:val="single"/>
        </w:rPr>
        <w:t>）</w:t>
      </w:r>
    </w:p>
    <w:p w14:paraId="0F783701">
      <w:pPr>
        <w:widowControl w:val="0"/>
        <w:spacing w:line="360" w:lineRule="auto"/>
        <w:jc w:val="right"/>
        <w:rPr>
          <w:rFonts w:hint="eastAsia" w:ascii="宋体" w:hAnsi="宋体" w:cs="宋体"/>
          <w:color w:val="auto"/>
          <w:sz w:val="21"/>
          <w:szCs w:val="22"/>
          <w:highlight w:val="none"/>
        </w:rPr>
      </w:pPr>
      <w:r>
        <w:rPr>
          <w:rFonts w:hint="eastAsia" w:ascii="宋体" w:hAnsi="宋体" w:cs="宋体"/>
          <w:color w:val="auto"/>
          <w:sz w:val="21"/>
          <w:szCs w:val="22"/>
          <w:highlight w:val="none"/>
        </w:rPr>
        <w:t>法定代表人或其授权代理人：</w:t>
      </w:r>
      <w:r>
        <w:rPr>
          <w:rFonts w:hint="eastAsia" w:ascii="宋体" w:hAnsi="宋体" w:cs="宋体"/>
          <w:color w:val="auto"/>
          <w:sz w:val="21"/>
          <w:szCs w:val="22"/>
          <w:highlight w:val="none"/>
          <w:u w:val="single"/>
        </w:rPr>
        <w:t>（签字或盖章）</w:t>
      </w:r>
    </w:p>
    <w:p w14:paraId="4AF6D137">
      <w:pPr>
        <w:pStyle w:val="20"/>
        <w:widowControl w:val="0"/>
        <w:ind w:firstLine="6930"/>
        <w:rPr>
          <w:rFonts w:hint="eastAsia" w:cs="宋体"/>
          <w:color w:val="auto"/>
          <w:sz w:val="21"/>
          <w:szCs w:val="21"/>
          <w:highlight w:val="none"/>
        </w:rPr>
      </w:pPr>
      <w:r>
        <w:rPr>
          <w:rFonts w:hint="eastAsia" w:cs="宋体"/>
          <w:color w:val="auto"/>
          <w:sz w:val="21"/>
          <w:szCs w:val="21"/>
          <w:highlight w:val="none"/>
        </w:rPr>
        <w:t>日期：   年   月   日</w:t>
      </w:r>
    </w:p>
    <w:p w14:paraId="362F9517">
      <w:pPr>
        <w:pStyle w:val="20"/>
        <w:widowControl w:val="0"/>
        <w:ind w:firstLine="420"/>
        <w:rPr>
          <w:rFonts w:hint="eastAsia" w:cs="宋体"/>
          <w:color w:val="auto"/>
          <w:sz w:val="21"/>
          <w:szCs w:val="21"/>
          <w:highlight w:val="none"/>
        </w:rPr>
        <w:sectPr>
          <w:headerReference r:id="rId9" w:type="default"/>
          <w:footerReference r:id="rId10" w:type="default"/>
          <w:pgSz w:w="11905" w:h="16838"/>
          <w:pgMar w:top="1191" w:right="1174" w:bottom="1157" w:left="1088" w:header="850" w:footer="992" w:gutter="0"/>
          <w:cols w:space="0" w:num="1"/>
          <w:titlePg/>
          <w:docGrid w:linePitch="360" w:charSpace="0"/>
        </w:sectPr>
      </w:pPr>
    </w:p>
    <w:p w14:paraId="7E59BD7C">
      <w:pPr>
        <w:pStyle w:val="12"/>
        <w:widowControl w:val="0"/>
        <w:ind w:firstLine="0"/>
        <w:rPr>
          <w:rFonts w:hint="eastAsia" w:cs="宋体"/>
          <w:b/>
          <w:color w:val="auto"/>
          <w:sz w:val="31"/>
          <w:szCs w:val="31"/>
          <w:highlight w:val="none"/>
        </w:rPr>
      </w:pPr>
      <w:r>
        <w:rPr>
          <w:rFonts w:hint="eastAsia" w:cs="宋体"/>
          <w:b/>
          <w:color w:val="auto"/>
          <w:sz w:val="31"/>
          <w:szCs w:val="31"/>
          <w:highlight w:val="none"/>
        </w:rPr>
        <w:t>附件六、项目实施方案</w:t>
      </w:r>
    </w:p>
    <w:p w14:paraId="7D84F546">
      <w:pPr>
        <w:pStyle w:val="20"/>
        <w:widowControl w:val="0"/>
        <w:rPr>
          <w:rFonts w:hint="eastAsia"/>
          <w:color w:val="auto"/>
          <w:highlight w:val="none"/>
        </w:rPr>
      </w:pPr>
      <w:r>
        <w:rPr>
          <w:rFonts w:hint="eastAsia"/>
          <w:color w:val="auto"/>
          <w:sz w:val="22"/>
          <w:szCs w:val="22"/>
          <w:highlight w:val="none"/>
        </w:rPr>
        <w:t>应根据采购人对项目的要求、评标标准的要求及项目本身的特点编写。</w:t>
      </w:r>
    </w:p>
    <w:p w14:paraId="75008A8B">
      <w:pPr>
        <w:pStyle w:val="20"/>
        <w:widowControl w:val="0"/>
        <w:rPr>
          <w:rFonts w:hint="eastAsia"/>
          <w:color w:val="auto"/>
          <w:highlight w:val="none"/>
        </w:rPr>
      </w:pPr>
    </w:p>
    <w:p w14:paraId="4DD8CB1E">
      <w:pPr>
        <w:pStyle w:val="20"/>
        <w:widowControl w:val="0"/>
        <w:ind w:firstLine="0"/>
        <w:rPr>
          <w:rFonts w:hint="eastAsia" w:cs="宋体"/>
          <w:b/>
          <w:color w:val="auto"/>
          <w:sz w:val="31"/>
          <w:szCs w:val="31"/>
          <w:highlight w:val="none"/>
          <w:lang w:val="zh-CN"/>
        </w:rPr>
      </w:pPr>
    </w:p>
    <w:p w14:paraId="73B98C1E">
      <w:pPr>
        <w:pStyle w:val="20"/>
        <w:widowControl w:val="0"/>
        <w:ind w:firstLine="0"/>
        <w:rPr>
          <w:rFonts w:hint="eastAsia" w:cs="宋体"/>
          <w:b/>
          <w:color w:val="auto"/>
          <w:sz w:val="31"/>
          <w:szCs w:val="31"/>
          <w:highlight w:val="none"/>
          <w:lang w:val="zh-CN"/>
        </w:rPr>
      </w:pPr>
    </w:p>
    <w:p w14:paraId="6B228F57">
      <w:pPr>
        <w:pStyle w:val="20"/>
        <w:widowControl w:val="0"/>
        <w:ind w:firstLine="0"/>
        <w:rPr>
          <w:rFonts w:hint="eastAsia" w:cs="宋体"/>
          <w:b/>
          <w:color w:val="auto"/>
          <w:sz w:val="31"/>
          <w:szCs w:val="31"/>
          <w:highlight w:val="none"/>
          <w:lang w:val="zh-CN"/>
        </w:rPr>
      </w:pPr>
    </w:p>
    <w:p w14:paraId="4455445E">
      <w:pPr>
        <w:pStyle w:val="20"/>
        <w:widowControl w:val="0"/>
        <w:ind w:firstLine="0"/>
        <w:rPr>
          <w:rFonts w:hint="eastAsia" w:cs="宋体"/>
          <w:b/>
          <w:color w:val="auto"/>
          <w:sz w:val="31"/>
          <w:szCs w:val="31"/>
          <w:highlight w:val="none"/>
          <w:lang w:val="zh-CN"/>
        </w:rPr>
      </w:pPr>
    </w:p>
    <w:p w14:paraId="6717A181">
      <w:pPr>
        <w:spacing w:line="360" w:lineRule="auto"/>
        <w:rPr>
          <w:rFonts w:hint="eastAsia" w:ascii="宋体" w:hAnsi="宋体" w:cs="宋体"/>
          <w:b/>
          <w:color w:val="auto"/>
          <w:sz w:val="31"/>
          <w:szCs w:val="31"/>
          <w:highlight w:val="none"/>
          <w:lang w:val="zh-CN"/>
        </w:rPr>
      </w:pPr>
      <w:r>
        <w:rPr>
          <w:rFonts w:hint="eastAsia" w:cs="宋体"/>
          <w:b/>
          <w:color w:val="auto"/>
          <w:sz w:val="31"/>
          <w:szCs w:val="31"/>
          <w:highlight w:val="none"/>
          <w:lang w:val="zh-CN"/>
        </w:rPr>
        <w:t>附件</w:t>
      </w:r>
      <w:r>
        <w:rPr>
          <w:rFonts w:hint="eastAsia" w:cs="宋体"/>
          <w:b/>
          <w:color w:val="auto"/>
          <w:sz w:val="31"/>
          <w:szCs w:val="31"/>
          <w:highlight w:val="none"/>
        </w:rPr>
        <w:t>七</w:t>
      </w:r>
      <w:r>
        <w:rPr>
          <w:rFonts w:hint="eastAsia" w:cs="宋体"/>
          <w:b/>
          <w:color w:val="auto"/>
          <w:sz w:val="31"/>
          <w:szCs w:val="31"/>
          <w:highlight w:val="none"/>
          <w:lang w:val="zh-CN"/>
        </w:rPr>
        <w:t>、</w:t>
      </w:r>
      <w:r>
        <w:rPr>
          <w:rFonts w:hint="eastAsia" w:ascii="宋体" w:hAnsi="宋体" w:cs="宋体"/>
          <w:b/>
          <w:color w:val="auto"/>
          <w:sz w:val="31"/>
          <w:szCs w:val="31"/>
          <w:highlight w:val="none"/>
          <w:lang w:val="zh-CN"/>
        </w:rPr>
        <w:t>供应商类似业绩情况表</w:t>
      </w:r>
    </w:p>
    <w:p w14:paraId="532EAE04">
      <w:pPr>
        <w:spacing w:line="360" w:lineRule="auto"/>
        <w:ind w:firstLine="480"/>
        <w:rPr>
          <w:rFonts w:hint="eastAsia" w:ascii="宋体" w:hAnsi="宋体"/>
          <w:color w:val="auto"/>
          <w:sz w:val="24"/>
          <w:highlight w:val="none"/>
          <w:lang w:val="zh-CN"/>
        </w:rPr>
      </w:pPr>
    </w:p>
    <w:tbl>
      <w:tblPr>
        <w:tblStyle w:val="13"/>
        <w:tblW w:w="8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240"/>
        <w:gridCol w:w="1572"/>
        <w:gridCol w:w="1164"/>
        <w:gridCol w:w="1395"/>
      </w:tblGrid>
      <w:tr w14:paraId="6FFB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703" w:type="dxa"/>
            <w:vAlign w:val="center"/>
          </w:tcPr>
          <w:p w14:paraId="3DF9B847">
            <w:pPr>
              <w:jc w:val="center"/>
              <w:rPr>
                <w:rFonts w:ascii="宋体"/>
                <w:b/>
                <w:bCs/>
                <w:color w:val="auto"/>
                <w:highlight w:val="none"/>
                <w:lang w:val="zh-CN"/>
              </w:rPr>
            </w:pPr>
            <w:r>
              <w:rPr>
                <w:rFonts w:hint="eastAsia" w:ascii="宋体" w:hAnsi="宋体" w:cs="宋体"/>
                <w:b/>
                <w:bCs/>
                <w:color w:val="auto"/>
                <w:highlight w:val="none"/>
                <w:lang w:val="zh-CN"/>
              </w:rPr>
              <w:t>序号</w:t>
            </w:r>
          </w:p>
        </w:tc>
        <w:tc>
          <w:tcPr>
            <w:tcW w:w="3240" w:type="dxa"/>
            <w:vAlign w:val="center"/>
          </w:tcPr>
          <w:p w14:paraId="245F7FAD">
            <w:pPr>
              <w:jc w:val="center"/>
              <w:rPr>
                <w:rFonts w:ascii="宋体"/>
                <w:b/>
                <w:bCs/>
                <w:color w:val="auto"/>
                <w:highlight w:val="none"/>
                <w:lang w:val="zh-CN"/>
              </w:rPr>
            </w:pPr>
            <w:r>
              <w:rPr>
                <w:rFonts w:hint="eastAsia" w:ascii="宋体" w:hAnsi="宋体" w:cs="宋体"/>
                <w:b/>
                <w:bCs/>
                <w:color w:val="auto"/>
                <w:highlight w:val="none"/>
                <w:lang w:val="zh-CN"/>
              </w:rPr>
              <w:t>项目名称</w:t>
            </w:r>
          </w:p>
        </w:tc>
        <w:tc>
          <w:tcPr>
            <w:tcW w:w="1572" w:type="dxa"/>
            <w:vAlign w:val="center"/>
          </w:tcPr>
          <w:p w14:paraId="398CE826">
            <w:pPr>
              <w:jc w:val="center"/>
              <w:rPr>
                <w:rFonts w:ascii="宋体"/>
                <w:b/>
                <w:bCs/>
                <w:color w:val="auto"/>
                <w:highlight w:val="none"/>
                <w:lang w:val="zh-CN"/>
              </w:rPr>
            </w:pPr>
            <w:r>
              <w:rPr>
                <w:rFonts w:hint="eastAsia" w:ascii="宋体" w:hAnsi="宋体" w:cs="宋体"/>
                <w:b/>
                <w:bCs/>
                <w:color w:val="auto"/>
                <w:highlight w:val="none"/>
              </w:rPr>
              <w:t>采购人</w:t>
            </w:r>
            <w:r>
              <w:rPr>
                <w:rFonts w:hint="eastAsia" w:ascii="宋体" w:hAnsi="宋体" w:cs="宋体"/>
                <w:b/>
                <w:bCs/>
                <w:color w:val="auto"/>
                <w:highlight w:val="none"/>
                <w:lang w:val="zh-CN"/>
              </w:rPr>
              <w:t>单位</w:t>
            </w:r>
          </w:p>
        </w:tc>
        <w:tc>
          <w:tcPr>
            <w:tcW w:w="1164" w:type="dxa"/>
            <w:vAlign w:val="center"/>
          </w:tcPr>
          <w:p w14:paraId="0CD27B3B">
            <w:pPr>
              <w:jc w:val="center"/>
              <w:rPr>
                <w:rFonts w:ascii="宋体"/>
                <w:b/>
                <w:bCs/>
                <w:color w:val="auto"/>
                <w:highlight w:val="none"/>
              </w:rPr>
            </w:pPr>
            <w:r>
              <w:rPr>
                <w:rFonts w:hint="eastAsia" w:ascii="宋体" w:hAnsi="宋体" w:cs="宋体"/>
                <w:b/>
                <w:bCs/>
                <w:color w:val="auto"/>
                <w:highlight w:val="none"/>
              </w:rPr>
              <w:t>合同签订时间</w:t>
            </w:r>
          </w:p>
        </w:tc>
        <w:tc>
          <w:tcPr>
            <w:tcW w:w="1395" w:type="dxa"/>
            <w:vAlign w:val="center"/>
          </w:tcPr>
          <w:p w14:paraId="5ED17D84">
            <w:pPr>
              <w:jc w:val="center"/>
              <w:rPr>
                <w:rFonts w:ascii="宋体"/>
                <w:b/>
                <w:bCs/>
                <w:color w:val="auto"/>
                <w:highlight w:val="none"/>
                <w:lang w:val="zh-CN"/>
              </w:rPr>
            </w:pPr>
            <w:r>
              <w:rPr>
                <w:rFonts w:hint="eastAsia" w:ascii="宋体" w:hAnsi="宋体" w:cs="宋体"/>
                <w:b/>
                <w:bCs/>
                <w:color w:val="auto"/>
                <w:highlight w:val="none"/>
                <w:lang w:val="zh-CN"/>
              </w:rPr>
              <w:t>备注</w:t>
            </w:r>
          </w:p>
        </w:tc>
      </w:tr>
      <w:tr w14:paraId="42DC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03" w:type="dxa"/>
          </w:tcPr>
          <w:p w14:paraId="748E73F9">
            <w:pPr>
              <w:rPr>
                <w:rFonts w:ascii="宋体"/>
                <w:color w:val="auto"/>
                <w:highlight w:val="none"/>
                <w:lang w:val="zh-CN"/>
              </w:rPr>
            </w:pPr>
          </w:p>
        </w:tc>
        <w:tc>
          <w:tcPr>
            <w:tcW w:w="3240" w:type="dxa"/>
          </w:tcPr>
          <w:p w14:paraId="57973030">
            <w:pPr>
              <w:rPr>
                <w:rFonts w:ascii="宋体"/>
                <w:color w:val="auto"/>
                <w:highlight w:val="none"/>
                <w:lang w:val="zh-CN"/>
              </w:rPr>
            </w:pPr>
          </w:p>
        </w:tc>
        <w:tc>
          <w:tcPr>
            <w:tcW w:w="1572" w:type="dxa"/>
          </w:tcPr>
          <w:p w14:paraId="045E761E">
            <w:pPr>
              <w:rPr>
                <w:rFonts w:ascii="宋体"/>
                <w:color w:val="auto"/>
                <w:highlight w:val="none"/>
                <w:lang w:val="zh-CN"/>
              </w:rPr>
            </w:pPr>
          </w:p>
        </w:tc>
        <w:tc>
          <w:tcPr>
            <w:tcW w:w="1164" w:type="dxa"/>
          </w:tcPr>
          <w:p w14:paraId="238E58A0">
            <w:pPr>
              <w:rPr>
                <w:rFonts w:ascii="宋体"/>
                <w:color w:val="auto"/>
                <w:highlight w:val="none"/>
                <w:lang w:val="zh-CN"/>
              </w:rPr>
            </w:pPr>
          </w:p>
        </w:tc>
        <w:tc>
          <w:tcPr>
            <w:tcW w:w="1395" w:type="dxa"/>
          </w:tcPr>
          <w:p w14:paraId="36D791FC">
            <w:pPr>
              <w:rPr>
                <w:rFonts w:ascii="宋体"/>
                <w:color w:val="auto"/>
                <w:highlight w:val="none"/>
                <w:lang w:val="zh-CN"/>
              </w:rPr>
            </w:pPr>
          </w:p>
        </w:tc>
      </w:tr>
      <w:tr w14:paraId="0FF4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03" w:type="dxa"/>
          </w:tcPr>
          <w:p w14:paraId="6677C98D">
            <w:pPr>
              <w:rPr>
                <w:rFonts w:ascii="宋体"/>
                <w:color w:val="auto"/>
                <w:highlight w:val="none"/>
                <w:lang w:val="zh-CN"/>
              </w:rPr>
            </w:pPr>
          </w:p>
        </w:tc>
        <w:tc>
          <w:tcPr>
            <w:tcW w:w="3240" w:type="dxa"/>
          </w:tcPr>
          <w:p w14:paraId="43A5C285">
            <w:pPr>
              <w:rPr>
                <w:rFonts w:ascii="宋体"/>
                <w:color w:val="auto"/>
                <w:sz w:val="21"/>
                <w:szCs w:val="22"/>
                <w:highlight w:val="none"/>
                <w:lang w:val="zh-CN"/>
              </w:rPr>
            </w:pPr>
          </w:p>
        </w:tc>
        <w:tc>
          <w:tcPr>
            <w:tcW w:w="1572" w:type="dxa"/>
          </w:tcPr>
          <w:p w14:paraId="56B9187F">
            <w:pPr>
              <w:rPr>
                <w:rFonts w:ascii="宋体"/>
                <w:color w:val="auto"/>
                <w:highlight w:val="none"/>
                <w:lang w:val="zh-CN"/>
              </w:rPr>
            </w:pPr>
          </w:p>
        </w:tc>
        <w:tc>
          <w:tcPr>
            <w:tcW w:w="1164" w:type="dxa"/>
          </w:tcPr>
          <w:p w14:paraId="593BF5C2">
            <w:pPr>
              <w:rPr>
                <w:rFonts w:ascii="宋体"/>
                <w:color w:val="auto"/>
                <w:highlight w:val="none"/>
                <w:lang w:val="zh-CN"/>
              </w:rPr>
            </w:pPr>
          </w:p>
        </w:tc>
        <w:tc>
          <w:tcPr>
            <w:tcW w:w="1395" w:type="dxa"/>
          </w:tcPr>
          <w:p w14:paraId="70DA4EC8">
            <w:pPr>
              <w:rPr>
                <w:rFonts w:ascii="宋体"/>
                <w:color w:val="auto"/>
                <w:highlight w:val="none"/>
                <w:lang w:val="zh-CN"/>
              </w:rPr>
            </w:pPr>
          </w:p>
        </w:tc>
      </w:tr>
      <w:tr w14:paraId="1E53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03" w:type="dxa"/>
          </w:tcPr>
          <w:p w14:paraId="27D1AA1F">
            <w:pPr>
              <w:rPr>
                <w:rFonts w:ascii="宋体"/>
                <w:color w:val="auto"/>
                <w:highlight w:val="none"/>
                <w:lang w:val="zh-CN"/>
              </w:rPr>
            </w:pPr>
          </w:p>
        </w:tc>
        <w:tc>
          <w:tcPr>
            <w:tcW w:w="3240" w:type="dxa"/>
          </w:tcPr>
          <w:p w14:paraId="08CA8261">
            <w:pPr>
              <w:rPr>
                <w:rFonts w:ascii="宋体"/>
                <w:color w:val="auto"/>
                <w:highlight w:val="none"/>
                <w:lang w:val="zh-CN"/>
              </w:rPr>
            </w:pPr>
          </w:p>
        </w:tc>
        <w:tc>
          <w:tcPr>
            <w:tcW w:w="1572" w:type="dxa"/>
          </w:tcPr>
          <w:p w14:paraId="628CDA4E">
            <w:pPr>
              <w:rPr>
                <w:rFonts w:ascii="宋体"/>
                <w:color w:val="auto"/>
                <w:highlight w:val="none"/>
                <w:lang w:val="zh-CN"/>
              </w:rPr>
            </w:pPr>
          </w:p>
        </w:tc>
        <w:tc>
          <w:tcPr>
            <w:tcW w:w="1164" w:type="dxa"/>
          </w:tcPr>
          <w:p w14:paraId="33BEACB9">
            <w:pPr>
              <w:rPr>
                <w:rFonts w:ascii="宋体"/>
                <w:color w:val="auto"/>
                <w:highlight w:val="none"/>
                <w:lang w:val="zh-CN"/>
              </w:rPr>
            </w:pPr>
          </w:p>
        </w:tc>
        <w:tc>
          <w:tcPr>
            <w:tcW w:w="1395" w:type="dxa"/>
          </w:tcPr>
          <w:p w14:paraId="5BA80DD3">
            <w:pPr>
              <w:rPr>
                <w:rFonts w:ascii="宋体"/>
                <w:color w:val="auto"/>
                <w:highlight w:val="none"/>
                <w:lang w:val="zh-CN"/>
              </w:rPr>
            </w:pPr>
          </w:p>
        </w:tc>
      </w:tr>
      <w:tr w14:paraId="0573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03" w:type="dxa"/>
          </w:tcPr>
          <w:p w14:paraId="7AD04150">
            <w:pPr>
              <w:rPr>
                <w:rFonts w:ascii="宋体"/>
                <w:color w:val="auto"/>
                <w:highlight w:val="none"/>
                <w:lang w:val="zh-CN"/>
              </w:rPr>
            </w:pPr>
          </w:p>
        </w:tc>
        <w:tc>
          <w:tcPr>
            <w:tcW w:w="3240" w:type="dxa"/>
          </w:tcPr>
          <w:p w14:paraId="740E4271">
            <w:pPr>
              <w:rPr>
                <w:rFonts w:ascii="宋体"/>
                <w:color w:val="auto"/>
                <w:highlight w:val="none"/>
                <w:lang w:val="zh-CN"/>
              </w:rPr>
            </w:pPr>
          </w:p>
        </w:tc>
        <w:tc>
          <w:tcPr>
            <w:tcW w:w="1572" w:type="dxa"/>
          </w:tcPr>
          <w:p w14:paraId="6A57FFD5">
            <w:pPr>
              <w:rPr>
                <w:rFonts w:ascii="宋体"/>
                <w:color w:val="auto"/>
                <w:highlight w:val="none"/>
                <w:lang w:val="zh-CN"/>
              </w:rPr>
            </w:pPr>
          </w:p>
        </w:tc>
        <w:tc>
          <w:tcPr>
            <w:tcW w:w="1164" w:type="dxa"/>
          </w:tcPr>
          <w:p w14:paraId="6F7FC4BA">
            <w:pPr>
              <w:rPr>
                <w:rFonts w:ascii="宋体"/>
                <w:color w:val="auto"/>
                <w:highlight w:val="none"/>
                <w:lang w:val="zh-CN"/>
              </w:rPr>
            </w:pPr>
          </w:p>
        </w:tc>
        <w:tc>
          <w:tcPr>
            <w:tcW w:w="1395" w:type="dxa"/>
          </w:tcPr>
          <w:p w14:paraId="40D65F79">
            <w:pPr>
              <w:rPr>
                <w:rFonts w:ascii="宋体"/>
                <w:color w:val="auto"/>
                <w:highlight w:val="none"/>
                <w:lang w:val="zh-CN"/>
              </w:rPr>
            </w:pPr>
          </w:p>
        </w:tc>
      </w:tr>
    </w:tbl>
    <w:p w14:paraId="6124FA68">
      <w:pPr>
        <w:spacing w:line="360" w:lineRule="auto"/>
        <w:ind w:firstLine="420"/>
        <w:rPr>
          <w:rFonts w:ascii="宋体"/>
          <w:color w:val="auto"/>
          <w:sz w:val="21"/>
          <w:szCs w:val="21"/>
          <w:highlight w:val="none"/>
          <w:lang w:val="zh-CN"/>
        </w:rPr>
      </w:pPr>
      <w:r>
        <w:rPr>
          <w:rFonts w:hint="eastAsia" w:ascii="宋体" w:hAnsi="宋体" w:cs="宋体"/>
          <w:color w:val="auto"/>
          <w:sz w:val="21"/>
          <w:szCs w:val="21"/>
          <w:highlight w:val="none"/>
          <w:lang w:val="zh-CN"/>
        </w:rPr>
        <w:t>说明：</w:t>
      </w:r>
    </w:p>
    <w:p w14:paraId="1D819126">
      <w:pPr>
        <w:spacing w:line="360" w:lineRule="auto"/>
        <w:ind w:firstLine="420"/>
        <w:rPr>
          <w:rFonts w:ascii="宋体"/>
          <w:b/>
          <w:bCs/>
          <w:color w:val="auto"/>
          <w:sz w:val="21"/>
          <w:szCs w:val="21"/>
          <w:highlight w:val="none"/>
        </w:rPr>
      </w:pPr>
      <w:r>
        <w:rPr>
          <w:rFonts w:ascii="宋体" w:hAnsi="宋体" w:cs="宋体"/>
          <w:color w:val="auto"/>
          <w:sz w:val="21"/>
          <w:szCs w:val="21"/>
          <w:highlight w:val="none"/>
          <w:lang w:val="zh-CN"/>
        </w:rPr>
        <w:t>1</w:t>
      </w:r>
      <w:r>
        <w:rPr>
          <w:rFonts w:hint="eastAsia" w:ascii="宋体" w:hAnsi="宋体" w:cs="宋体"/>
          <w:color w:val="auto"/>
          <w:sz w:val="21"/>
          <w:szCs w:val="21"/>
          <w:highlight w:val="none"/>
          <w:lang w:val="zh-CN"/>
        </w:rPr>
        <w:t>、如果行、列数不够，请自行增加。</w:t>
      </w:r>
    </w:p>
    <w:p w14:paraId="0123F971">
      <w:pPr>
        <w:spacing w:line="360" w:lineRule="auto"/>
        <w:ind w:firstLine="422"/>
        <w:rPr>
          <w:rFonts w:ascii="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、请供应商根据本格式要求如实填写业绩情况表，并附</w:t>
      </w:r>
      <w:r>
        <w:rPr>
          <w:rFonts w:hint="eastAsia" w:ascii="宋体" w:hAnsi="宋体" w:cs="宋体"/>
          <w:color w:val="auto"/>
          <w:sz w:val="21"/>
          <w:szCs w:val="22"/>
          <w:highlight w:val="none"/>
        </w:rPr>
        <w:t>相应的相应证明材料</w:t>
      </w:r>
      <w:r>
        <w:rPr>
          <w:rFonts w:hint="eastAsia" w:ascii="宋体" w:hAnsi="宋体" w:cs="宋体"/>
          <w:color w:val="auto"/>
          <w:sz w:val="21"/>
          <w:szCs w:val="21"/>
          <w:highlight w:val="none"/>
        </w:rPr>
        <w:t>。</w:t>
      </w:r>
    </w:p>
    <w:p w14:paraId="0530DD99">
      <w:pPr>
        <w:spacing w:line="360" w:lineRule="auto"/>
        <w:ind w:right="9"/>
        <w:rPr>
          <w:rFonts w:hint="eastAsia" w:ascii="宋体" w:hAnsi="宋体" w:cs="宋体"/>
          <w:color w:val="auto"/>
          <w:sz w:val="21"/>
          <w:szCs w:val="21"/>
          <w:highlight w:val="none"/>
        </w:rPr>
      </w:pPr>
    </w:p>
    <w:p w14:paraId="60525024">
      <w:pPr>
        <w:spacing w:line="360" w:lineRule="auto"/>
        <w:ind w:right="9" w:firstLine="609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供应商名称：</w:t>
      </w:r>
      <w:r>
        <w:rPr>
          <w:rFonts w:hint="eastAsia" w:ascii="宋体" w:hAnsi="宋体" w:cs="宋体"/>
          <w:color w:val="auto"/>
          <w:sz w:val="21"/>
          <w:szCs w:val="21"/>
          <w:highlight w:val="none"/>
          <w:u w:val="single"/>
        </w:rPr>
        <w:t>（加盖公章）</w:t>
      </w:r>
    </w:p>
    <w:p w14:paraId="4ABDAC9F">
      <w:pPr>
        <w:spacing w:line="360" w:lineRule="auto"/>
        <w:ind w:right="9" w:firstLine="462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法定代表人或其授权代理人：</w:t>
      </w:r>
      <w:r>
        <w:rPr>
          <w:rFonts w:hint="eastAsia" w:ascii="宋体" w:hAnsi="宋体" w:cs="宋体"/>
          <w:color w:val="auto"/>
          <w:sz w:val="21"/>
          <w:szCs w:val="21"/>
          <w:highlight w:val="none"/>
          <w:u w:val="single"/>
        </w:rPr>
        <w:t>（签字或盖章）</w:t>
      </w:r>
    </w:p>
    <w:p w14:paraId="798420D9">
      <w:pPr>
        <w:pStyle w:val="20"/>
        <w:widowControl w:val="0"/>
        <w:ind w:firstLine="5880"/>
        <w:rPr>
          <w:rFonts w:hint="eastAsia" w:cs="宋体"/>
          <w:b/>
          <w:color w:val="auto"/>
          <w:sz w:val="31"/>
          <w:szCs w:val="31"/>
          <w:highlight w:val="none"/>
        </w:rPr>
      </w:pPr>
      <w:r>
        <w:rPr>
          <w:rFonts w:hint="eastAsia" w:cs="宋体"/>
          <w:color w:val="auto"/>
          <w:sz w:val="21"/>
          <w:szCs w:val="21"/>
          <w:highlight w:val="none"/>
        </w:rPr>
        <w:t>日期：   年   月   日</w:t>
      </w:r>
    </w:p>
    <w:p w14:paraId="2DB9E64B">
      <w:pPr>
        <w:shd w:val="clear" w:color="auto" w:fill="FFFFFF"/>
        <w:spacing w:line="360" w:lineRule="auto"/>
        <w:rPr>
          <w:rFonts w:hint="eastAsia" w:ascii="宋体" w:hAnsi="宋体" w:cs="宋体"/>
          <w:b/>
          <w:color w:val="auto"/>
          <w:sz w:val="31"/>
          <w:szCs w:val="31"/>
          <w:highlight w:val="none"/>
        </w:rPr>
      </w:pPr>
      <w:r>
        <w:rPr>
          <w:rFonts w:hint="eastAsia" w:ascii="宋体" w:hAnsi="宋体" w:cs="宋体"/>
          <w:b/>
          <w:color w:val="auto"/>
          <w:sz w:val="31"/>
          <w:szCs w:val="31"/>
          <w:highlight w:val="none"/>
        </w:rPr>
        <w:br w:type="page" w:clear="all"/>
      </w:r>
      <w:r>
        <w:rPr>
          <w:rFonts w:hint="eastAsia" w:ascii="宋体" w:hAnsi="宋体" w:cs="宋体"/>
          <w:b/>
          <w:color w:val="auto"/>
          <w:sz w:val="31"/>
          <w:szCs w:val="31"/>
          <w:highlight w:val="none"/>
        </w:rPr>
        <w:t>附件八、拟投入人员一览</w:t>
      </w:r>
      <w:r>
        <w:rPr>
          <w:rFonts w:hint="eastAsia" w:ascii="宋体" w:hAnsi="宋体" w:cs="宋体"/>
          <w:b/>
          <w:color w:val="auto"/>
          <w:sz w:val="31"/>
          <w:szCs w:val="31"/>
          <w:highlight w:val="none"/>
          <w:lang w:val="zh-CN"/>
        </w:rPr>
        <w:t>表</w:t>
      </w:r>
    </w:p>
    <w:p w14:paraId="7E3AC368">
      <w:pPr>
        <w:shd w:val="clear" w:color="auto" w:fill="FFFFFF"/>
        <w:spacing w:line="360" w:lineRule="auto"/>
        <w:jc w:val="center"/>
        <w:rPr>
          <w:rFonts w:hint="eastAsia" w:ascii="宋体" w:hAnsi="宋体" w:cs="宋体"/>
          <w:b/>
          <w:color w:val="auto"/>
          <w:sz w:val="31"/>
          <w:szCs w:val="31"/>
          <w:highlight w:val="none"/>
        </w:rPr>
      </w:pPr>
    </w:p>
    <w:p w14:paraId="174C02FA">
      <w:pPr>
        <w:shd w:val="clear" w:color="auto" w:fill="FFFFFF"/>
        <w:spacing w:line="360" w:lineRule="auto"/>
        <w:jc w:val="center"/>
        <w:rPr>
          <w:rFonts w:hint="eastAsia" w:ascii="宋体" w:hAnsi="宋体" w:cs="宋体"/>
          <w:b/>
          <w:color w:val="auto"/>
          <w:sz w:val="31"/>
          <w:szCs w:val="31"/>
          <w:highlight w:val="none"/>
        </w:rPr>
      </w:pPr>
      <w:r>
        <w:rPr>
          <w:rFonts w:hint="eastAsia" w:ascii="宋体" w:hAnsi="宋体" w:cs="宋体"/>
          <w:b/>
          <w:color w:val="auto"/>
          <w:sz w:val="31"/>
          <w:szCs w:val="31"/>
          <w:highlight w:val="none"/>
        </w:rPr>
        <w:t>拟投入人员一览</w:t>
      </w:r>
      <w:r>
        <w:rPr>
          <w:rFonts w:hint="eastAsia" w:ascii="宋体" w:hAnsi="宋体" w:cs="宋体"/>
          <w:b/>
          <w:color w:val="auto"/>
          <w:sz w:val="31"/>
          <w:szCs w:val="31"/>
          <w:highlight w:val="none"/>
          <w:lang w:val="zh-CN"/>
        </w:rPr>
        <w:t>表</w:t>
      </w:r>
    </w:p>
    <w:tbl>
      <w:tblPr>
        <w:tblStyle w:val="13"/>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485"/>
        <w:gridCol w:w="1286"/>
        <w:gridCol w:w="3214"/>
        <w:gridCol w:w="1450"/>
        <w:gridCol w:w="1721"/>
      </w:tblGrid>
      <w:tr w14:paraId="60C5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00" w:type="dxa"/>
            <w:noWrap/>
            <w:vAlign w:val="center"/>
          </w:tcPr>
          <w:p w14:paraId="6B9BAA8D">
            <w:pPr>
              <w:jc w:val="center"/>
              <w:rPr>
                <w:rFonts w:hint="eastAsia" w:ascii="宋体" w:hAnsi="宋体" w:cs="宋体"/>
                <w:b/>
                <w:bCs/>
                <w:color w:val="auto"/>
                <w:highlight w:val="none"/>
              </w:rPr>
            </w:pPr>
            <w:r>
              <w:rPr>
                <w:rFonts w:hint="eastAsia" w:ascii="宋体" w:hAnsi="宋体" w:cs="宋体"/>
                <w:b/>
                <w:bCs/>
                <w:color w:val="auto"/>
                <w:highlight w:val="none"/>
                <w:lang w:val="zh-CN"/>
              </w:rPr>
              <w:t>序号</w:t>
            </w:r>
          </w:p>
        </w:tc>
        <w:tc>
          <w:tcPr>
            <w:tcW w:w="1485" w:type="dxa"/>
            <w:noWrap/>
            <w:vAlign w:val="center"/>
          </w:tcPr>
          <w:p w14:paraId="275EFCF9">
            <w:pPr>
              <w:jc w:val="center"/>
              <w:rPr>
                <w:rFonts w:hint="eastAsia" w:ascii="宋体" w:hAnsi="宋体" w:cs="宋体"/>
                <w:b/>
                <w:bCs/>
                <w:color w:val="auto"/>
                <w:highlight w:val="none"/>
              </w:rPr>
            </w:pPr>
            <w:r>
              <w:rPr>
                <w:rFonts w:hint="eastAsia" w:ascii="宋体" w:hAnsi="宋体" w:cs="宋体"/>
                <w:b/>
                <w:bCs/>
                <w:color w:val="auto"/>
                <w:highlight w:val="none"/>
              </w:rPr>
              <w:t>岗位</w:t>
            </w:r>
          </w:p>
        </w:tc>
        <w:tc>
          <w:tcPr>
            <w:tcW w:w="1286" w:type="dxa"/>
            <w:noWrap/>
            <w:vAlign w:val="center"/>
          </w:tcPr>
          <w:p w14:paraId="073B3093">
            <w:pPr>
              <w:jc w:val="center"/>
              <w:rPr>
                <w:rFonts w:hint="eastAsia" w:ascii="宋体" w:hAnsi="宋体" w:cs="宋体"/>
                <w:b/>
                <w:bCs/>
                <w:color w:val="auto"/>
                <w:highlight w:val="none"/>
              </w:rPr>
            </w:pPr>
            <w:r>
              <w:rPr>
                <w:rFonts w:hint="eastAsia" w:ascii="宋体" w:hAnsi="宋体" w:cs="宋体"/>
                <w:b/>
                <w:bCs/>
                <w:color w:val="auto"/>
                <w:highlight w:val="none"/>
              </w:rPr>
              <w:t>姓名</w:t>
            </w:r>
          </w:p>
        </w:tc>
        <w:tc>
          <w:tcPr>
            <w:tcW w:w="3214" w:type="dxa"/>
            <w:noWrap/>
            <w:vAlign w:val="center"/>
          </w:tcPr>
          <w:p w14:paraId="115858A8">
            <w:pPr>
              <w:jc w:val="center"/>
              <w:rPr>
                <w:rFonts w:hint="eastAsia" w:ascii="宋体" w:hAnsi="宋体" w:cs="宋体"/>
                <w:b/>
                <w:bCs/>
                <w:color w:val="auto"/>
                <w:highlight w:val="none"/>
              </w:rPr>
            </w:pPr>
            <w:r>
              <w:rPr>
                <w:rFonts w:hint="eastAsia" w:ascii="宋体" w:hAnsi="宋体" w:cs="宋体"/>
                <w:b/>
                <w:bCs/>
                <w:color w:val="auto"/>
                <w:highlight w:val="none"/>
              </w:rPr>
              <w:t>身份证号</w:t>
            </w:r>
          </w:p>
        </w:tc>
        <w:tc>
          <w:tcPr>
            <w:tcW w:w="1450" w:type="dxa"/>
            <w:noWrap/>
            <w:vAlign w:val="center"/>
          </w:tcPr>
          <w:p w14:paraId="7B854FA1">
            <w:pPr>
              <w:jc w:val="center"/>
              <w:rPr>
                <w:rFonts w:hint="eastAsia" w:ascii="宋体" w:hAnsi="宋体" w:cs="宋体"/>
                <w:b/>
                <w:bCs/>
                <w:color w:val="auto"/>
                <w:highlight w:val="none"/>
              </w:rPr>
            </w:pPr>
            <w:r>
              <w:rPr>
                <w:rFonts w:hint="eastAsia" w:ascii="宋体" w:hAnsi="宋体" w:cs="宋体"/>
                <w:b/>
                <w:bCs/>
                <w:color w:val="auto"/>
                <w:highlight w:val="none"/>
              </w:rPr>
              <w:t>职称</w:t>
            </w:r>
          </w:p>
        </w:tc>
        <w:tc>
          <w:tcPr>
            <w:tcW w:w="1721" w:type="dxa"/>
            <w:noWrap/>
            <w:vAlign w:val="center"/>
          </w:tcPr>
          <w:p w14:paraId="19C18B4B">
            <w:pPr>
              <w:jc w:val="center"/>
              <w:rPr>
                <w:rFonts w:hint="eastAsia" w:ascii="宋体" w:hAnsi="宋体" w:cs="宋体"/>
                <w:b/>
                <w:bCs/>
                <w:color w:val="auto"/>
                <w:highlight w:val="none"/>
              </w:rPr>
            </w:pPr>
            <w:r>
              <w:rPr>
                <w:rFonts w:hint="eastAsia" w:ascii="宋体" w:hAnsi="宋体" w:cs="宋体"/>
                <w:b/>
                <w:bCs/>
                <w:color w:val="auto"/>
                <w:highlight w:val="none"/>
                <w:lang w:val="zh-CN"/>
              </w:rPr>
              <w:t>备注</w:t>
            </w:r>
          </w:p>
        </w:tc>
      </w:tr>
      <w:tr w14:paraId="549E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00" w:type="dxa"/>
            <w:noWrap/>
          </w:tcPr>
          <w:p w14:paraId="57DE0595">
            <w:pPr>
              <w:rPr>
                <w:rFonts w:hint="eastAsia" w:ascii="宋体" w:hAnsi="宋体" w:cs="宋体"/>
                <w:color w:val="auto"/>
                <w:highlight w:val="none"/>
              </w:rPr>
            </w:pPr>
          </w:p>
        </w:tc>
        <w:tc>
          <w:tcPr>
            <w:tcW w:w="1485" w:type="dxa"/>
            <w:noWrap/>
          </w:tcPr>
          <w:p w14:paraId="16225972">
            <w:pPr>
              <w:rPr>
                <w:rFonts w:hint="eastAsia" w:ascii="宋体" w:hAnsi="宋体" w:cs="宋体"/>
                <w:color w:val="auto"/>
                <w:highlight w:val="none"/>
              </w:rPr>
            </w:pPr>
          </w:p>
        </w:tc>
        <w:tc>
          <w:tcPr>
            <w:tcW w:w="1286" w:type="dxa"/>
            <w:noWrap/>
          </w:tcPr>
          <w:p w14:paraId="730EED01">
            <w:pPr>
              <w:rPr>
                <w:rFonts w:hint="eastAsia" w:ascii="宋体" w:hAnsi="宋体" w:cs="宋体"/>
                <w:color w:val="auto"/>
                <w:highlight w:val="none"/>
              </w:rPr>
            </w:pPr>
          </w:p>
        </w:tc>
        <w:tc>
          <w:tcPr>
            <w:tcW w:w="3214" w:type="dxa"/>
            <w:noWrap/>
          </w:tcPr>
          <w:p w14:paraId="22A4ABE7">
            <w:pPr>
              <w:rPr>
                <w:rFonts w:hint="eastAsia" w:ascii="宋体" w:hAnsi="宋体" w:cs="宋体"/>
                <w:color w:val="auto"/>
                <w:highlight w:val="none"/>
              </w:rPr>
            </w:pPr>
          </w:p>
        </w:tc>
        <w:tc>
          <w:tcPr>
            <w:tcW w:w="1450" w:type="dxa"/>
            <w:noWrap/>
          </w:tcPr>
          <w:p w14:paraId="213D4D9B">
            <w:pPr>
              <w:rPr>
                <w:rFonts w:hint="eastAsia" w:ascii="宋体" w:hAnsi="宋体" w:cs="宋体"/>
                <w:color w:val="auto"/>
                <w:highlight w:val="none"/>
              </w:rPr>
            </w:pPr>
          </w:p>
        </w:tc>
        <w:tc>
          <w:tcPr>
            <w:tcW w:w="1721" w:type="dxa"/>
            <w:noWrap/>
          </w:tcPr>
          <w:p w14:paraId="76D1DEDF">
            <w:pPr>
              <w:rPr>
                <w:rFonts w:hint="eastAsia" w:ascii="宋体" w:hAnsi="宋体" w:cs="宋体"/>
                <w:color w:val="auto"/>
                <w:highlight w:val="none"/>
              </w:rPr>
            </w:pPr>
          </w:p>
        </w:tc>
      </w:tr>
      <w:tr w14:paraId="771E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00" w:type="dxa"/>
            <w:noWrap/>
          </w:tcPr>
          <w:p w14:paraId="64338A6C">
            <w:pPr>
              <w:rPr>
                <w:rFonts w:hint="eastAsia" w:ascii="宋体" w:hAnsi="宋体" w:cs="宋体"/>
                <w:color w:val="auto"/>
                <w:highlight w:val="none"/>
              </w:rPr>
            </w:pPr>
          </w:p>
        </w:tc>
        <w:tc>
          <w:tcPr>
            <w:tcW w:w="1485" w:type="dxa"/>
            <w:noWrap/>
          </w:tcPr>
          <w:p w14:paraId="7BF0EBC0">
            <w:pPr>
              <w:rPr>
                <w:rFonts w:hint="eastAsia" w:ascii="宋体" w:hAnsi="宋体" w:cs="宋体"/>
                <w:color w:val="auto"/>
                <w:szCs w:val="22"/>
                <w:highlight w:val="none"/>
              </w:rPr>
            </w:pPr>
          </w:p>
        </w:tc>
        <w:tc>
          <w:tcPr>
            <w:tcW w:w="1286" w:type="dxa"/>
            <w:noWrap/>
          </w:tcPr>
          <w:p w14:paraId="69030065">
            <w:pPr>
              <w:rPr>
                <w:rFonts w:hint="eastAsia" w:ascii="宋体" w:hAnsi="宋体" w:cs="宋体"/>
                <w:color w:val="auto"/>
                <w:highlight w:val="none"/>
              </w:rPr>
            </w:pPr>
          </w:p>
        </w:tc>
        <w:tc>
          <w:tcPr>
            <w:tcW w:w="3214" w:type="dxa"/>
            <w:noWrap/>
          </w:tcPr>
          <w:p w14:paraId="64C82D87">
            <w:pPr>
              <w:rPr>
                <w:rFonts w:hint="eastAsia" w:ascii="宋体" w:hAnsi="宋体" w:cs="宋体"/>
                <w:color w:val="auto"/>
                <w:highlight w:val="none"/>
              </w:rPr>
            </w:pPr>
          </w:p>
        </w:tc>
        <w:tc>
          <w:tcPr>
            <w:tcW w:w="1450" w:type="dxa"/>
            <w:noWrap/>
          </w:tcPr>
          <w:p w14:paraId="0BC19853">
            <w:pPr>
              <w:rPr>
                <w:rFonts w:hint="eastAsia" w:ascii="宋体" w:hAnsi="宋体" w:cs="宋体"/>
                <w:color w:val="auto"/>
                <w:highlight w:val="none"/>
              </w:rPr>
            </w:pPr>
          </w:p>
        </w:tc>
        <w:tc>
          <w:tcPr>
            <w:tcW w:w="1721" w:type="dxa"/>
            <w:noWrap/>
          </w:tcPr>
          <w:p w14:paraId="75D95EA5">
            <w:pPr>
              <w:rPr>
                <w:rFonts w:hint="eastAsia" w:ascii="宋体" w:hAnsi="宋体" w:cs="宋体"/>
                <w:color w:val="auto"/>
                <w:highlight w:val="none"/>
              </w:rPr>
            </w:pPr>
          </w:p>
        </w:tc>
      </w:tr>
      <w:tr w14:paraId="4363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00" w:type="dxa"/>
            <w:noWrap/>
          </w:tcPr>
          <w:p w14:paraId="38B677F3">
            <w:pPr>
              <w:rPr>
                <w:rFonts w:hint="eastAsia" w:ascii="宋体" w:hAnsi="宋体" w:cs="宋体"/>
                <w:color w:val="auto"/>
                <w:highlight w:val="none"/>
              </w:rPr>
            </w:pPr>
          </w:p>
        </w:tc>
        <w:tc>
          <w:tcPr>
            <w:tcW w:w="1485" w:type="dxa"/>
            <w:noWrap/>
          </w:tcPr>
          <w:p w14:paraId="6D2BC90F">
            <w:pPr>
              <w:rPr>
                <w:rFonts w:hint="eastAsia" w:ascii="宋体" w:hAnsi="宋体" w:cs="宋体"/>
                <w:color w:val="auto"/>
                <w:highlight w:val="none"/>
              </w:rPr>
            </w:pPr>
          </w:p>
        </w:tc>
        <w:tc>
          <w:tcPr>
            <w:tcW w:w="1286" w:type="dxa"/>
            <w:noWrap/>
          </w:tcPr>
          <w:p w14:paraId="2E6B82EA">
            <w:pPr>
              <w:rPr>
                <w:rFonts w:hint="eastAsia" w:ascii="宋体" w:hAnsi="宋体" w:cs="宋体"/>
                <w:color w:val="auto"/>
                <w:highlight w:val="none"/>
              </w:rPr>
            </w:pPr>
          </w:p>
        </w:tc>
        <w:tc>
          <w:tcPr>
            <w:tcW w:w="3214" w:type="dxa"/>
            <w:noWrap/>
          </w:tcPr>
          <w:p w14:paraId="2E197E38">
            <w:pPr>
              <w:rPr>
                <w:rFonts w:hint="eastAsia" w:ascii="宋体" w:hAnsi="宋体" w:cs="宋体"/>
                <w:color w:val="auto"/>
                <w:highlight w:val="none"/>
              </w:rPr>
            </w:pPr>
          </w:p>
        </w:tc>
        <w:tc>
          <w:tcPr>
            <w:tcW w:w="1450" w:type="dxa"/>
            <w:noWrap/>
          </w:tcPr>
          <w:p w14:paraId="48C86134">
            <w:pPr>
              <w:rPr>
                <w:rFonts w:hint="eastAsia" w:ascii="宋体" w:hAnsi="宋体" w:cs="宋体"/>
                <w:color w:val="auto"/>
                <w:highlight w:val="none"/>
              </w:rPr>
            </w:pPr>
          </w:p>
        </w:tc>
        <w:tc>
          <w:tcPr>
            <w:tcW w:w="1721" w:type="dxa"/>
            <w:noWrap/>
          </w:tcPr>
          <w:p w14:paraId="06ED98A6">
            <w:pPr>
              <w:rPr>
                <w:rFonts w:hint="eastAsia" w:ascii="宋体" w:hAnsi="宋体" w:cs="宋体"/>
                <w:color w:val="auto"/>
                <w:highlight w:val="none"/>
              </w:rPr>
            </w:pPr>
          </w:p>
        </w:tc>
      </w:tr>
      <w:tr w14:paraId="6E19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00" w:type="dxa"/>
            <w:noWrap/>
          </w:tcPr>
          <w:p w14:paraId="3CDA4CC6">
            <w:pPr>
              <w:rPr>
                <w:rFonts w:hint="eastAsia" w:ascii="宋体" w:hAnsi="宋体" w:cs="宋体"/>
                <w:color w:val="auto"/>
                <w:highlight w:val="none"/>
              </w:rPr>
            </w:pPr>
          </w:p>
        </w:tc>
        <w:tc>
          <w:tcPr>
            <w:tcW w:w="1485" w:type="dxa"/>
            <w:noWrap/>
          </w:tcPr>
          <w:p w14:paraId="7560C99E">
            <w:pPr>
              <w:rPr>
                <w:rFonts w:hint="eastAsia" w:ascii="宋体" w:hAnsi="宋体" w:cs="宋体"/>
                <w:color w:val="auto"/>
                <w:highlight w:val="none"/>
              </w:rPr>
            </w:pPr>
          </w:p>
        </w:tc>
        <w:tc>
          <w:tcPr>
            <w:tcW w:w="1286" w:type="dxa"/>
            <w:noWrap/>
          </w:tcPr>
          <w:p w14:paraId="166C5610">
            <w:pPr>
              <w:rPr>
                <w:rFonts w:hint="eastAsia" w:ascii="宋体" w:hAnsi="宋体" w:cs="宋体"/>
                <w:color w:val="auto"/>
                <w:highlight w:val="none"/>
              </w:rPr>
            </w:pPr>
          </w:p>
        </w:tc>
        <w:tc>
          <w:tcPr>
            <w:tcW w:w="3214" w:type="dxa"/>
            <w:noWrap/>
          </w:tcPr>
          <w:p w14:paraId="481AF51E">
            <w:pPr>
              <w:rPr>
                <w:rFonts w:hint="eastAsia" w:ascii="宋体" w:hAnsi="宋体" w:cs="宋体"/>
                <w:color w:val="auto"/>
                <w:highlight w:val="none"/>
              </w:rPr>
            </w:pPr>
          </w:p>
        </w:tc>
        <w:tc>
          <w:tcPr>
            <w:tcW w:w="1450" w:type="dxa"/>
            <w:noWrap/>
          </w:tcPr>
          <w:p w14:paraId="144D2DBB">
            <w:pPr>
              <w:rPr>
                <w:rFonts w:hint="eastAsia" w:ascii="宋体" w:hAnsi="宋体" w:cs="宋体"/>
                <w:color w:val="auto"/>
                <w:highlight w:val="none"/>
              </w:rPr>
            </w:pPr>
          </w:p>
        </w:tc>
        <w:tc>
          <w:tcPr>
            <w:tcW w:w="1721" w:type="dxa"/>
            <w:noWrap/>
          </w:tcPr>
          <w:p w14:paraId="58765472">
            <w:pPr>
              <w:rPr>
                <w:rFonts w:hint="eastAsia" w:ascii="宋体" w:hAnsi="宋体" w:cs="宋体"/>
                <w:color w:val="auto"/>
                <w:highlight w:val="none"/>
              </w:rPr>
            </w:pPr>
          </w:p>
        </w:tc>
      </w:tr>
      <w:tr w14:paraId="2670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00" w:type="dxa"/>
            <w:noWrap/>
          </w:tcPr>
          <w:p w14:paraId="2584BF8D">
            <w:pPr>
              <w:rPr>
                <w:rFonts w:hint="eastAsia" w:ascii="宋体" w:hAnsi="宋体" w:cs="宋体"/>
                <w:color w:val="auto"/>
                <w:highlight w:val="none"/>
              </w:rPr>
            </w:pPr>
          </w:p>
        </w:tc>
        <w:tc>
          <w:tcPr>
            <w:tcW w:w="1485" w:type="dxa"/>
            <w:noWrap/>
          </w:tcPr>
          <w:p w14:paraId="78749CE3">
            <w:pPr>
              <w:rPr>
                <w:rFonts w:hint="eastAsia" w:ascii="宋体" w:hAnsi="宋体" w:cs="宋体"/>
                <w:color w:val="auto"/>
                <w:highlight w:val="none"/>
              </w:rPr>
            </w:pPr>
          </w:p>
        </w:tc>
        <w:tc>
          <w:tcPr>
            <w:tcW w:w="1286" w:type="dxa"/>
            <w:noWrap/>
          </w:tcPr>
          <w:p w14:paraId="069C7541">
            <w:pPr>
              <w:rPr>
                <w:rFonts w:hint="eastAsia" w:ascii="宋体" w:hAnsi="宋体" w:cs="宋体"/>
                <w:color w:val="auto"/>
                <w:highlight w:val="none"/>
              </w:rPr>
            </w:pPr>
          </w:p>
        </w:tc>
        <w:tc>
          <w:tcPr>
            <w:tcW w:w="3214" w:type="dxa"/>
            <w:noWrap/>
          </w:tcPr>
          <w:p w14:paraId="5CAC44E9">
            <w:pPr>
              <w:rPr>
                <w:rFonts w:hint="eastAsia" w:ascii="宋体" w:hAnsi="宋体" w:cs="宋体"/>
                <w:color w:val="auto"/>
                <w:highlight w:val="none"/>
              </w:rPr>
            </w:pPr>
          </w:p>
        </w:tc>
        <w:tc>
          <w:tcPr>
            <w:tcW w:w="1450" w:type="dxa"/>
            <w:noWrap/>
          </w:tcPr>
          <w:p w14:paraId="1836AC96">
            <w:pPr>
              <w:rPr>
                <w:rFonts w:hint="eastAsia" w:ascii="宋体" w:hAnsi="宋体" w:cs="宋体"/>
                <w:color w:val="auto"/>
                <w:highlight w:val="none"/>
              </w:rPr>
            </w:pPr>
          </w:p>
        </w:tc>
        <w:tc>
          <w:tcPr>
            <w:tcW w:w="1721" w:type="dxa"/>
            <w:noWrap/>
          </w:tcPr>
          <w:p w14:paraId="13A48A0A">
            <w:pPr>
              <w:rPr>
                <w:rFonts w:hint="eastAsia" w:ascii="宋体" w:hAnsi="宋体" w:cs="宋体"/>
                <w:color w:val="auto"/>
                <w:highlight w:val="none"/>
              </w:rPr>
            </w:pPr>
          </w:p>
        </w:tc>
      </w:tr>
      <w:tr w14:paraId="4325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00" w:type="dxa"/>
            <w:noWrap/>
          </w:tcPr>
          <w:p w14:paraId="1B583437">
            <w:pPr>
              <w:rPr>
                <w:rFonts w:hint="eastAsia" w:ascii="宋体" w:hAnsi="宋体" w:cs="宋体"/>
                <w:color w:val="auto"/>
                <w:highlight w:val="none"/>
              </w:rPr>
            </w:pPr>
          </w:p>
        </w:tc>
        <w:tc>
          <w:tcPr>
            <w:tcW w:w="1485" w:type="dxa"/>
            <w:noWrap/>
          </w:tcPr>
          <w:p w14:paraId="5BB51AB5">
            <w:pPr>
              <w:rPr>
                <w:rFonts w:hint="eastAsia" w:ascii="宋体" w:hAnsi="宋体" w:cs="宋体"/>
                <w:color w:val="auto"/>
                <w:highlight w:val="none"/>
              </w:rPr>
            </w:pPr>
          </w:p>
        </w:tc>
        <w:tc>
          <w:tcPr>
            <w:tcW w:w="1286" w:type="dxa"/>
            <w:noWrap/>
          </w:tcPr>
          <w:p w14:paraId="41CB74AB">
            <w:pPr>
              <w:rPr>
                <w:rFonts w:hint="eastAsia" w:ascii="宋体" w:hAnsi="宋体" w:cs="宋体"/>
                <w:color w:val="auto"/>
                <w:highlight w:val="none"/>
              </w:rPr>
            </w:pPr>
          </w:p>
        </w:tc>
        <w:tc>
          <w:tcPr>
            <w:tcW w:w="3214" w:type="dxa"/>
            <w:noWrap/>
          </w:tcPr>
          <w:p w14:paraId="10E3870D">
            <w:pPr>
              <w:rPr>
                <w:rFonts w:hint="eastAsia" w:ascii="宋体" w:hAnsi="宋体" w:cs="宋体"/>
                <w:color w:val="auto"/>
                <w:highlight w:val="none"/>
              </w:rPr>
            </w:pPr>
          </w:p>
        </w:tc>
        <w:tc>
          <w:tcPr>
            <w:tcW w:w="1450" w:type="dxa"/>
            <w:noWrap/>
          </w:tcPr>
          <w:p w14:paraId="2DC6F5E8">
            <w:pPr>
              <w:rPr>
                <w:rFonts w:hint="eastAsia" w:ascii="宋体" w:hAnsi="宋体" w:cs="宋体"/>
                <w:color w:val="auto"/>
                <w:highlight w:val="none"/>
              </w:rPr>
            </w:pPr>
          </w:p>
        </w:tc>
        <w:tc>
          <w:tcPr>
            <w:tcW w:w="1721" w:type="dxa"/>
            <w:noWrap/>
          </w:tcPr>
          <w:p w14:paraId="3D9E7E42">
            <w:pPr>
              <w:rPr>
                <w:rFonts w:hint="eastAsia" w:ascii="宋体" w:hAnsi="宋体" w:cs="宋体"/>
                <w:color w:val="auto"/>
                <w:highlight w:val="none"/>
              </w:rPr>
            </w:pPr>
          </w:p>
        </w:tc>
      </w:tr>
    </w:tbl>
    <w:p w14:paraId="00847CCA">
      <w:pPr>
        <w:ind w:firstLine="420"/>
        <w:rPr>
          <w:rFonts w:hint="eastAsia" w:ascii="宋体" w:hAnsi="宋体" w:cs="宋体"/>
          <w:color w:val="auto"/>
          <w:szCs w:val="21"/>
          <w:highlight w:val="none"/>
        </w:rPr>
      </w:pPr>
      <w:r>
        <w:rPr>
          <w:rFonts w:hint="eastAsia" w:ascii="宋体" w:hAnsi="宋体" w:cs="宋体"/>
          <w:color w:val="auto"/>
          <w:szCs w:val="21"/>
          <w:highlight w:val="none"/>
          <w:lang w:val="zh-CN"/>
        </w:rPr>
        <w:t>说明：</w:t>
      </w:r>
    </w:p>
    <w:p w14:paraId="39E2F93A">
      <w:pPr>
        <w:spacing w:line="360" w:lineRule="auto"/>
        <w:ind w:firstLine="420"/>
        <w:rPr>
          <w:rFonts w:hint="eastAsia" w:ascii="宋体" w:hAnsi="宋体" w:cs="宋体"/>
          <w:b/>
          <w:bCs/>
          <w:color w:val="auto"/>
          <w:szCs w:val="21"/>
          <w:highlight w:val="none"/>
        </w:rPr>
      </w:pPr>
      <w:r>
        <w:rPr>
          <w:rFonts w:hint="eastAsia" w:ascii="宋体" w:hAnsi="宋体" w:cs="宋体"/>
          <w:color w:val="auto"/>
          <w:szCs w:val="21"/>
          <w:highlight w:val="none"/>
          <w:lang w:val="zh-CN"/>
        </w:rPr>
        <w:t>1、如果行、列数不够，请自行增加。</w:t>
      </w:r>
    </w:p>
    <w:p w14:paraId="5ECDAECB">
      <w:pPr>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2、请供应商根据本格式要求如实填写人员一览表，并附相关证明材料复印件。</w:t>
      </w:r>
    </w:p>
    <w:p w14:paraId="3F7EDB40">
      <w:pPr>
        <w:spacing w:line="240" w:lineRule="atLeast"/>
        <w:rPr>
          <w:rFonts w:hint="eastAsia" w:ascii="宋体" w:hAnsi="宋体" w:cs="宋体"/>
          <w:b/>
          <w:bCs/>
          <w:color w:val="auto"/>
          <w:highlight w:val="none"/>
        </w:rPr>
      </w:pPr>
    </w:p>
    <w:p w14:paraId="2EDD997E">
      <w:pPr>
        <w:spacing w:line="360" w:lineRule="auto"/>
        <w:ind w:right="9" w:firstLine="609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供应商名称：</w:t>
      </w:r>
      <w:r>
        <w:rPr>
          <w:rFonts w:hint="eastAsia" w:ascii="宋体" w:hAnsi="宋体" w:cs="宋体"/>
          <w:color w:val="auto"/>
          <w:sz w:val="21"/>
          <w:szCs w:val="21"/>
          <w:highlight w:val="none"/>
          <w:u w:val="single"/>
        </w:rPr>
        <w:t>（加盖公章）</w:t>
      </w:r>
    </w:p>
    <w:p w14:paraId="6E7FAEDD">
      <w:pPr>
        <w:spacing w:line="360" w:lineRule="auto"/>
        <w:ind w:right="9" w:firstLine="462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法定代表人或其授权代理人：</w:t>
      </w:r>
      <w:r>
        <w:rPr>
          <w:rFonts w:hint="eastAsia" w:ascii="宋体" w:hAnsi="宋体" w:cs="宋体"/>
          <w:color w:val="auto"/>
          <w:sz w:val="21"/>
          <w:szCs w:val="21"/>
          <w:highlight w:val="none"/>
          <w:u w:val="single"/>
        </w:rPr>
        <w:t>（签字或盖章）</w:t>
      </w:r>
    </w:p>
    <w:p w14:paraId="066701D5">
      <w:pPr>
        <w:pStyle w:val="20"/>
        <w:widowControl w:val="0"/>
        <w:ind w:firstLine="5880"/>
        <w:rPr>
          <w:rFonts w:hint="eastAsia" w:cs="宋体"/>
          <w:b/>
          <w:color w:val="auto"/>
          <w:sz w:val="31"/>
          <w:szCs w:val="31"/>
          <w:highlight w:val="none"/>
        </w:rPr>
      </w:pPr>
      <w:r>
        <w:rPr>
          <w:rFonts w:hint="eastAsia" w:cs="宋体"/>
          <w:color w:val="auto"/>
          <w:sz w:val="21"/>
          <w:szCs w:val="21"/>
          <w:highlight w:val="none"/>
        </w:rPr>
        <w:t>日期：   年   月   日</w:t>
      </w:r>
    </w:p>
    <w:p w14:paraId="08D8A299">
      <w:pPr>
        <w:rPr>
          <w:rFonts w:hint="eastAsia" w:ascii="宋体" w:hAnsi="宋体" w:cs="宋体"/>
          <w:b/>
          <w:color w:val="auto"/>
          <w:sz w:val="31"/>
          <w:szCs w:val="31"/>
          <w:highlight w:val="none"/>
        </w:rPr>
      </w:pPr>
      <w:r>
        <w:rPr>
          <w:rFonts w:hint="eastAsia" w:ascii="宋体" w:hAnsi="宋体" w:cs="宋体"/>
          <w:b/>
          <w:color w:val="auto"/>
          <w:sz w:val="31"/>
          <w:szCs w:val="31"/>
          <w:highlight w:val="none"/>
        </w:rPr>
        <w:br w:type="page" w:clear="all"/>
      </w:r>
    </w:p>
    <w:p w14:paraId="7BA1DF3B">
      <w:pPr>
        <w:rPr>
          <w:rFonts w:hint="eastAsia" w:ascii="宋体" w:hAnsi="宋体" w:cs="宋体"/>
          <w:b/>
          <w:color w:val="auto"/>
          <w:sz w:val="31"/>
          <w:szCs w:val="31"/>
          <w:highlight w:val="none"/>
        </w:rPr>
      </w:pPr>
      <w:r>
        <w:rPr>
          <w:rFonts w:hint="eastAsia" w:ascii="宋体" w:hAnsi="宋体" w:cs="宋体"/>
          <w:b/>
          <w:color w:val="auto"/>
          <w:sz w:val="31"/>
          <w:szCs w:val="31"/>
          <w:highlight w:val="none"/>
        </w:rPr>
        <w:t>附件九、声明函</w:t>
      </w:r>
    </w:p>
    <w:p w14:paraId="14D2068E">
      <w:pPr>
        <w:spacing w:line="239" w:lineRule="auto"/>
        <w:jc w:val="center"/>
        <w:rPr>
          <w:rFonts w:hint="eastAsia" w:ascii="宋体" w:hAnsi="宋体" w:cs="宋体"/>
          <w:b/>
          <w:color w:val="auto"/>
          <w:sz w:val="24"/>
          <w:highlight w:val="none"/>
        </w:rPr>
      </w:pPr>
      <w:r>
        <w:rPr>
          <w:rFonts w:hint="eastAsia" w:ascii="宋体" w:hAnsi="宋体" w:cs="宋体"/>
          <w:b/>
          <w:color w:val="auto"/>
          <w:sz w:val="36"/>
          <w:szCs w:val="36"/>
          <w:highlight w:val="none"/>
        </w:rPr>
        <w:t>（一）无重大违法记录声明</w:t>
      </w:r>
    </w:p>
    <w:p w14:paraId="03D15A34">
      <w:pPr>
        <w:spacing w:line="360" w:lineRule="auto"/>
        <w:rPr>
          <w:rFonts w:hint="eastAsia" w:ascii="宋体" w:hAnsi="宋体" w:cs="宋体"/>
          <w:color w:val="auto"/>
          <w:sz w:val="24"/>
          <w:highlight w:val="none"/>
        </w:rPr>
      </w:pPr>
    </w:p>
    <w:p w14:paraId="677E2CC6">
      <w:pPr>
        <w:spacing w:line="360" w:lineRule="auto"/>
        <w:rPr>
          <w:rFonts w:hint="eastAsia" w:ascii="宋体" w:hAnsi="宋体" w:cs="宋体"/>
          <w:color w:val="auto"/>
          <w:spacing w:val="-8"/>
          <w:sz w:val="24"/>
          <w:highlight w:val="none"/>
        </w:rPr>
      </w:pPr>
      <w:r>
        <w:rPr>
          <w:rFonts w:hint="eastAsia" w:ascii="宋体" w:hAnsi="宋体" w:cs="宋体"/>
          <w:color w:val="auto"/>
          <w:sz w:val="24"/>
          <w:highlight w:val="none"/>
        </w:rPr>
        <w:t>南京市栖霞区人民政府迈皋桥街道办事处：</w:t>
      </w:r>
    </w:p>
    <w:p w14:paraId="70DBCB38">
      <w:pPr>
        <w:spacing w:line="360" w:lineRule="auto"/>
        <w:ind w:firstLine="672"/>
        <w:rPr>
          <w:rFonts w:hint="eastAsia" w:ascii="宋体" w:hAnsi="宋体" w:cs="宋体"/>
          <w:color w:val="auto"/>
          <w:spacing w:val="-8"/>
          <w:sz w:val="24"/>
          <w:highlight w:val="none"/>
        </w:rPr>
      </w:pPr>
      <w:r>
        <w:rPr>
          <w:rFonts w:hint="eastAsia" w:ascii="宋体" w:hAnsi="宋体" w:cs="宋体"/>
          <w:color w:val="auto"/>
          <w:spacing w:val="-8"/>
          <w:sz w:val="24"/>
          <w:highlight w:val="none"/>
        </w:rPr>
        <w:t xml:space="preserve">我单位 </w:t>
      </w:r>
      <w:r>
        <w:rPr>
          <w:rFonts w:hint="eastAsia" w:ascii="宋体" w:hAnsi="宋体" w:cs="宋体"/>
          <w:color w:val="auto"/>
          <w:spacing w:val="-8"/>
          <w:sz w:val="24"/>
          <w:highlight w:val="none"/>
          <w:u w:val="single"/>
        </w:rPr>
        <w:t xml:space="preserve">            </w:t>
      </w:r>
      <w:r>
        <w:rPr>
          <w:rFonts w:hint="eastAsia" w:ascii="宋体" w:hAnsi="宋体" w:cs="宋体"/>
          <w:color w:val="auto"/>
          <w:spacing w:val="-8"/>
          <w:sz w:val="24"/>
          <w:highlight w:val="none"/>
        </w:rPr>
        <w:t>（供应商名称）郑重声明：</w:t>
      </w:r>
    </w:p>
    <w:p w14:paraId="387C67B8">
      <w:pPr>
        <w:spacing w:line="360" w:lineRule="auto"/>
        <w:ind w:firstLine="690"/>
        <w:rPr>
          <w:rFonts w:hint="eastAsia" w:ascii="宋体" w:hAnsi="宋体" w:cs="宋体"/>
          <w:b/>
          <w:color w:val="auto"/>
          <w:sz w:val="24"/>
          <w:highlight w:val="none"/>
        </w:rPr>
      </w:pPr>
      <w:r>
        <w:rPr>
          <w:rFonts w:hint="eastAsia" w:ascii="宋体" w:hAnsi="宋体" w:cs="宋体"/>
          <w:color w:val="auto"/>
          <w:spacing w:val="-5"/>
          <w:sz w:val="24"/>
          <w:highlight w:val="none"/>
        </w:rPr>
        <w:t>我单位参加政府采购活动前3</w:t>
      </w:r>
      <w:r>
        <w:rPr>
          <w:rFonts w:hint="eastAsia" w:ascii="宋体" w:hAnsi="宋体" w:cs="宋体"/>
          <w:color w:val="auto"/>
          <w:spacing w:val="-8"/>
          <w:sz w:val="24"/>
          <w:highlight w:val="none"/>
        </w:rPr>
        <w:t xml:space="preserve"> 年内在经营活动中</w:t>
      </w:r>
      <w:r>
        <w:rPr>
          <w:rFonts w:hint="eastAsia" w:ascii="宋体" w:hAnsi="宋体" w:cs="宋体"/>
          <w:color w:val="auto"/>
          <w:spacing w:val="-8"/>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b/>
          <w:color w:val="auto"/>
          <w:sz w:val="24"/>
          <w:highlight w:val="none"/>
          <w:u w:val="single"/>
        </w:rPr>
        <w:t>在下划线上如实填写：有或没有</w:t>
      </w:r>
      <w:r>
        <w:rPr>
          <w:rFonts w:hint="eastAsia" w:ascii="宋体" w:hAnsi="宋体" w:cs="宋体"/>
          <w:color w:val="auto"/>
          <w:spacing w:val="-3"/>
          <w:sz w:val="24"/>
          <w:highlight w:val="none"/>
        </w:rPr>
        <w:t>）</w:t>
      </w:r>
      <w:r>
        <w:rPr>
          <w:rFonts w:hint="eastAsia" w:ascii="宋体" w:hAnsi="宋体" w:cs="宋体"/>
          <w:b/>
          <w:bCs/>
          <w:color w:val="auto"/>
          <w:sz w:val="24"/>
          <w:highlight w:val="none"/>
        </w:rPr>
        <w:t>重大违法记录，且不是失信被执行人、重大税收违法案件当事人名单、严重违法失信行为记录名单的供应商</w:t>
      </w:r>
      <w:r>
        <w:rPr>
          <w:rFonts w:hint="eastAsia" w:ascii="宋体" w:hAnsi="宋体" w:cs="宋体"/>
          <w:b/>
          <w:color w:val="auto"/>
          <w:spacing w:val="1"/>
          <w:sz w:val="24"/>
          <w:highlight w:val="none"/>
        </w:rPr>
        <w:t>。</w:t>
      </w:r>
    </w:p>
    <w:p w14:paraId="7C3DFB6F">
      <w:pPr>
        <w:spacing w:line="360" w:lineRule="auto"/>
        <w:rPr>
          <w:rFonts w:hint="eastAsia" w:ascii="宋体" w:hAnsi="宋体" w:cs="宋体"/>
          <w:color w:val="auto"/>
          <w:szCs w:val="21"/>
          <w:highlight w:val="none"/>
        </w:rPr>
      </w:pPr>
      <w:r>
        <w:rPr>
          <w:rFonts w:hint="eastAsia" w:ascii="宋体" w:hAnsi="宋体" w:cs="宋体"/>
          <w:color w:val="auto"/>
          <w:sz w:val="24"/>
          <w:szCs w:val="21"/>
          <w:highlight w:val="none"/>
        </w:rPr>
        <w:t>（说明：政府采购法第二十二条第一款第五项所称重大违法记录，是指供应商因违法经营受到刑事处罚或者责令停产停业、吊销许可证或者执照、较大数额罚款等行政处罚。）</w:t>
      </w:r>
    </w:p>
    <w:p w14:paraId="3FA20E37">
      <w:pPr>
        <w:tabs>
          <w:tab w:val="left" w:pos="5860"/>
        </w:tabs>
        <w:spacing w:line="360" w:lineRule="auto"/>
        <w:ind w:firstLine="3990"/>
        <w:jc w:val="right"/>
        <w:rPr>
          <w:rFonts w:hint="eastAsia" w:ascii="宋体" w:hAnsi="宋体" w:cs="宋体"/>
          <w:color w:val="auto"/>
          <w:szCs w:val="21"/>
          <w:highlight w:val="none"/>
        </w:rPr>
      </w:pPr>
    </w:p>
    <w:p w14:paraId="66D4AF39">
      <w:pPr>
        <w:tabs>
          <w:tab w:val="left" w:pos="5860"/>
        </w:tabs>
        <w:spacing w:line="360" w:lineRule="auto"/>
        <w:ind w:firstLine="3990"/>
        <w:jc w:val="right"/>
        <w:rPr>
          <w:rFonts w:hint="eastAsia" w:ascii="宋体" w:hAnsi="宋体" w:cs="宋体"/>
          <w:color w:val="auto"/>
          <w:sz w:val="24"/>
          <w:highlight w:val="none"/>
        </w:rPr>
      </w:pPr>
      <w:r>
        <w:rPr>
          <w:rFonts w:hint="eastAsia" w:ascii="宋体" w:hAnsi="宋体" w:cs="宋体"/>
          <w:color w:val="auto"/>
          <w:sz w:val="24"/>
          <w:highlight w:val="none"/>
        </w:rPr>
        <w:t>声明人：</w:t>
      </w:r>
      <w:r>
        <w:rPr>
          <w:rFonts w:hint="eastAsia" w:ascii="宋体" w:hAnsi="宋体" w:cs="宋体"/>
          <w:color w:val="auto"/>
          <w:sz w:val="24"/>
          <w:highlight w:val="none"/>
        </w:rPr>
        <w:tab/>
      </w:r>
      <w:r>
        <w:rPr>
          <w:rFonts w:hint="eastAsia" w:ascii="宋体" w:hAnsi="宋体" w:cs="宋体"/>
          <w:color w:val="auto"/>
          <w:sz w:val="24"/>
          <w:highlight w:val="none"/>
        </w:rPr>
        <w:t>（加盖公章）</w:t>
      </w:r>
    </w:p>
    <w:p w14:paraId="3351AF45">
      <w:pPr>
        <w:tabs>
          <w:tab w:val="left" w:pos="4620"/>
          <w:tab w:val="left" w:pos="5340"/>
          <w:tab w:val="left" w:pos="5760"/>
          <w:tab w:val="left" w:pos="6180"/>
        </w:tabs>
        <w:spacing w:line="360" w:lineRule="auto"/>
        <w:ind w:left="4000"/>
        <w:jc w:val="right"/>
        <w:rPr>
          <w:rFonts w:hint="eastAsia" w:ascii="宋体" w:hAnsi="宋体" w:cs="宋体"/>
          <w:color w:val="auto"/>
          <w:sz w:val="24"/>
          <w:highlight w:val="none"/>
        </w:rPr>
      </w:pPr>
      <w:r>
        <w:rPr>
          <w:rFonts w:hint="eastAsia" w:ascii="宋体" w:hAnsi="宋体" w:cs="宋体"/>
          <w:color w:val="auto"/>
          <w:sz w:val="24"/>
          <w:highlight w:val="none"/>
        </w:rPr>
        <w:t>日</w:t>
      </w:r>
      <w:r>
        <w:rPr>
          <w:rFonts w:hint="eastAsia" w:ascii="宋体" w:hAnsi="宋体" w:cs="宋体"/>
          <w:color w:val="auto"/>
          <w:sz w:val="24"/>
          <w:highlight w:val="none"/>
        </w:rPr>
        <w:tab/>
      </w:r>
      <w:r>
        <w:rPr>
          <w:rFonts w:hint="eastAsia" w:ascii="宋体" w:hAnsi="宋体" w:cs="宋体"/>
          <w:color w:val="auto"/>
          <w:sz w:val="24"/>
          <w:highlight w:val="none"/>
        </w:rPr>
        <w:t>期：</w:t>
      </w:r>
      <w:r>
        <w:rPr>
          <w:rFonts w:hint="eastAsia" w:ascii="宋体" w:hAnsi="宋体" w:cs="宋体"/>
          <w:color w:val="auto"/>
          <w:sz w:val="24"/>
          <w:highlight w:val="none"/>
        </w:rPr>
        <w:tab/>
      </w:r>
      <w:r>
        <w:rPr>
          <w:rFonts w:hint="eastAsia" w:ascii="宋体" w:hAnsi="宋体" w:cs="宋体"/>
          <w:color w:val="auto"/>
          <w:sz w:val="24"/>
          <w:highlight w:val="none"/>
        </w:rPr>
        <w:t>年</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p>
    <w:p w14:paraId="5EE54FE7">
      <w:pPr>
        <w:jc w:val="center"/>
        <w:rPr>
          <w:rFonts w:hint="eastAsia" w:ascii="宋体" w:hAnsi="宋体" w:cs="宋体"/>
          <w:b/>
          <w:color w:val="auto"/>
          <w:sz w:val="31"/>
          <w:szCs w:val="31"/>
          <w:highlight w:val="none"/>
        </w:rPr>
      </w:pPr>
      <w:r>
        <w:rPr>
          <w:rFonts w:hint="eastAsia" w:ascii="宋体" w:hAnsi="宋体" w:cs="宋体"/>
          <w:b/>
          <w:color w:val="auto"/>
          <w:sz w:val="31"/>
          <w:szCs w:val="31"/>
          <w:highlight w:val="none"/>
        </w:rPr>
        <w:t>（二）承诺函</w:t>
      </w:r>
    </w:p>
    <w:p w14:paraId="62AB38DA">
      <w:pPr>
        <w:rPr>
          <w:rFonts w:hint="eastAsia" w:ascii="宋体" w:hAnsi="宋体" w:cs="宋体"/>
          <w:b/>
          <w:color w:val="auto"/>
          <w:sz w:val="31"/>
          <w:szCs w:val="31"/>
          <w:highlight w:val="none"/>
        </w:rPr>
      </w:pPr>
    </w:p>
    <w:p w14:paraId="46E79D20">
      <w:pPr>
        <w:spacing w:line="360" w:lineRule="auto"/>
        <w:rPr>
          <w:color w:val="auto"/>
          <w:spacing w:val="-8"/>
          <w:sz w:val="24"/>
          <w:highlight w:val="none"/>
        </w:rPr>
      </w:pPr>
      <w:r>
        <w:rPr>
          <w:rFonts w:hint="eastAsia"/>
          <w:color w:val="auto"/>
          <w:sz w:val="24"/>
          <w:highlight w:val="none"/>
        </w:rPr>
        <w:t>南京市栖霞区人民政府迈皋桥街道办事处：</w:t>
      </w:r>
    </w:p>
    <w:p w14:paraId="77B3268D">
      <w:pPr>
        <w:spacing w:line="360" w:lineRule="auto"/>
        <w:ind w:firstLine="480"/>
        <w:rPr>
          <w:rFonts w:hint="eastAsia" w:ascii="宋体" w:hAnsi="宋体" w:cs="宋体"/>
          <w:bCs/>
          <w:color w:val="auto"/>
          <w:sz w:val="24"/>
          <w:highlight w:val="none"/>
        </w:rPr>
      </w:pPr>
      <w:r>
        <w:rPr>
          <w:rFonts w:hint="eastAsia" w:ascii="宋体" w:hAnsi="宋体" w:cs="宋体"/>
          <w:bCs/>
          <w:color w:val="auto"/>
          <w:sz w:val="24"/>
          <w:highlight w:val="none"/>
        </w:rPr>
        <w:t>我单位</w:t>
      </w:r>
      <w:r>
        <w:rPr>
          <w:rFonts w:hint="eastAsia" w:ascii="宋体" w:hAnsi="宋体" w:cs="宋体"/>
          <w:color w:val="auto"/>
          <w:sz w:val="24"/>
          <w:szCs w:val="21"/>
          <w:highlight w:val="none"/>
          <w:u w:val="single"/>
        </w:rPr>
        <w:t xml:space="preserve">        （供应商名称）</w:t>
      </w:r>
      <w:r>
        <w:rPr>
          <w:rFonts w:hint="eastAsia" w:ascii="宋体" w:hAnsi="宋体" w:cs="宋体"/>
          <w:bCs/>
          <w:color w:val="auto"/>
          <w:sz w:val="24"/>
          <w:highlight w:val="none"/>
        </w:rPr>
        <w:t>郑重承诺以下事项，若有虚假承诺愿承担一切相关责任：</w:t>
      </w:r>
    </w:p>
    <w:p w14:paraId="613A62EC">
      <w:pPr>
        <w:spacing w:line="360" w:lineRule="auto"/>
        <w:ind w:firstLine="240"/>
        <w:rPr>
          <w:rFonts w:hint="eastAsia"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（1）单位负责人为同一人或者存在直接控股、管理关系的不同供应商，不得参加同一合同项下的采购活动。</w:t>
      </w:r>
    </w:p>
    <w:p w14:paraId="4F6F4103">
      <w:pPr>
        <w:spacing w:line="360" w:lineRule="auto"/>
        <w:ind w:firstLine="240"/>
        <w:rPr>
          <w:rFonts w:hint="eastAsia" w:ascii="宋体" w:hAnsi="宋体" w:cs="宋体"/>
          <w:color w:val="auto"/>
          <w:sz w:val="24"/>
          <w:highlight w:val="none"/>
        </w:rPr>
      </w:pPr>
      <w:r>
        <w:rPr>
          <w:rFonts w:hint="eastAsia" w:ascii="宋体" w:hAnsi="宋体" w:cs="宋体"/>
          <w:color w:val="auto"/>
          <w:sz w:val="24"/>
          <w:highlight w:val="none"/>
        </w:rPr>
        <w:t>（2）凡为采购项目提供整体设计、规范编制或者项目管理、监理、检测等服务的供应商，不得再参加本项目的采购活动。</w:t>
      </w:r>
    </w:p>
    <w:p w14:paraId="025EB745">
      <w:pPr>
        <w:spacing w:line="360" w:lineRule="auto"/>
        <w:ind w:firstLine="240"/>
        <w:rPr>
          <w:rFonts w:hint="eastAsia" w:ascii="宋体" w:hAnsi="宋体" w:cs="宋体"/>
          <w:color w:val="auto"/>
          <w:sz w:val="24"/>
          <w:highlight w:val="none"/>
        </w:rPr>
      </w:pPr>
      <w:r>
        <w:rPr>
          <w:rFonts w:hint="eastAsia" w:ascii="宋体" w:hAnsi="宋体" w:cs="宋体"/>
          <w:color w:val="auto"/>
          <w:sz w:val="24"/>
          <w:highlight w:val="none"/>
        </w:rPr>
        <w:t>（3）未被“信用中国”网站、“中国政府采购网”网站、“信用江苏”列入失信被执行人、重大税收违法案件当事人名单、政府采购严重违法失信行为记录名单。</w:t>
      </w:r>
    </w:p>
    <w:p w14:paraId="61A4E15D">
      <w:pPr>
        <w:spacing w:line="360" w:lineRule="auto"/>
        <w:ind w:firstLine="240"/>
        <w:rPr>
          <w:rFonts w:hint="eastAsia" w:ascii="宋体" w:hAnsi="宋体" w:cs="宋体"/>
          <w:color w:val="auto"/>
          <w:sz w:val="24"/>
          <w:highlight w:val="none"/>
        </w:rPr>
      </w:pPr>
      <w:r>
        <w:rPr>
          <w:rFonts w:hint="eastAsia" w:ascii="宋体" w:hAnsi="宋体" w:cs="宋体"/>
          <w:color w:val="auto"/>
          <w:sz w:val="24"/>
          <w:highlight w:val="none"/>
        </w:rPr>
        <w:t>（4）我单位为非联合体。</w:t>
      </w:r>
    </w:p>
    <w:p w14:paraId="48BEBF39">
      <w:pPr>
        <w:spacing w:line="360" w:lineRule="auto"/>
        <w:ind w:right="9"/>
        <w:rPr>
          <w:rFonts w:hint="eastAsia" w:ascii="宋体" w:hAnsi="宋体" w:cs="宋体"/>
          <w:color w:val="auto"/>
          <w:highlight w:val="none"/>
        </w:rPr>
      </w:pPr>
    </w:p>
    <w:p w14:paraId="7F32FC3C">
      <w:pPr>
        <w:spacing w:line="360" w:lineRule="auto"/>
        <w:ind w:right="9" w:firstLine="609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u w:val="single"/>
        </w:rPr>
        <w:t>（加盖公章）</w:t>
      </w:r>
    </w:p>
    <w:p w14:paraId="1A4C260E">
      <w:pPr>
        <w:spacing w:line="360" w:lineRule="auto"/>
        <w:ind w:right="9" w:firstLine="462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法定代表人或其授权代理人：</w:t>
      </w:r>
      <w:r>
        <w:rPr>
          <w:rFonts w:hint="eastAsia" w:ascii="宋体" w:hAnsi="宋体" w:cs="宋体"/>
          <w:color w:val="auto"/>
          <w:sz w:val="24"/>
          <w:szCs w:val="24"/>
          <w:highlight w:val="none"/>
          <w:u w:val="single"/>
        </w:rPr>
        <w:t>（签字或盖章）</w:t>
      </w:r>
    </w:p>
    <w:p w14:paraId="5B33F619">
      <w:pPr>
        <w:jc w:val="center"/>
        <w:rPr>
          <w:rFonts w:hint="eastAsia" w:ascii="宋体" w:hAnsi="宋体" w:cs="宋体"/>
          <w:b/>
          <w:color w:val="auto"/>
          <w:sz w:val="24"/>
          <w:szCs w:val="24"/>
          <w:highlight w:val="none"/>
        </w:rPr>
      </w:pPr>
      <w:r>
        <w:rPr>
          <w:rFonts w:hint="eastAsia" w:cs="宋体"/>
          <w:color w:val="auto"/>
          <w:sz w:val="24"/>
          <w:szCs w:val="24"/>
          <w:highlight w:val="none"/>
        </w:rPr>
        <w:t xml:space="preserve">                                           日期：   年   月   日</w:t>
      </w:r>
    </w:p>
    <w:p w14:paraId="0FDB5F52">
      <w:pPr>
        <w:widowControl w:val="0"/>
        <w:rPr>
          <w:b/>
          <w:color w:val="auto"/>
          <w:sz w:val="31"/>
          <w:szCs w:val="31"/>
          <w:highlight w:val="none"/>
        </w:rPr>
      </w:pPr>
    </w:p>
    <w:p w14:paraId="2FDC6F50">
      <w:pPr>
        <w:widowControl w:val="0"/>
        <w:rPr>
          <w:rFonts w:hint="eastAsia" w:ascii="宋体" w:hAnsi="宋体" w:cs="宋体"/>
          <w:b/>
          <w:color w:val="auto"/>
          <w:sz w:val="31"/>
          <w:szCs w:val="31"/>
          <w:highlight w:val="none"/>
        </w:rPr>
      </w:pPr>
      <w:r>
        <w:rPr>
          <w:rFonts w:hint="eastAsia"/>
          <w:b/>
          <w:color w:val="auto"/>
          <w:sz w:val="31"/>
          <w:szCs w:val="31"/>
          <w:highlight w:val="none"/>
        </w:rPr>
        <w:t>附件十、</w:t>
      </w:r>
      <w:r>
        <w:rPr>
          <w:rFonts w:ascii="宋体" w:hAnsi="宋体" w:cs="宋体"/>
          <w:b/>
          <w:color w:val="auto"/>
          <w:sz w:val="31"/>
          <w:szCs w:val="31"/>
          <w:highlight w:val="none"/>
        </w:rPr>
        <w:t>《</w:t>
      </w:r>
      <w:r>
        <w:rPr>
          <w:rFonts w:hint="eastAsia" w:ascii="宋体" w:hAnsi="宋体" w:cs="宋体"/>
          <w:b/>
          <w:color w:val="auto"/>
          <w:sz w:val="31"/>
          <w:szCs w:val="31"/>
          <w:highlight w:val="none"/>
        </w:rPr>
        <w:t>南京市政府采购供应商信用记录表暨信用承诺书</w:t>
      </w:r>
      <w:r>
        <w:rPr>
          <w:rFonts w:ascii="宋体" w:hAnsi="宋体" w:cs="宋体"/>
          <w:b/>
          <w:color w:val="auto"/>
          <w:sz w:val="31"/>
          <w:szCs w:val="31"/>
          <w:highlight w:val="none"/>
        </w:rPr>
        <w:t xml:space="preserve">》 </w:t>
      </w:r>
    </w:p>
    <w:p w14:paraId="4A782F2E">
      <w:pPr>
        <w:widowControl w:val="0"/>
        <w:ind w:firstLine="1890"/>
        <w:rPr>
          <w:rFonts w:hint="eastAsia" w:ascii="宋体" w:hAnsi="宋体"/>
          <w:color w:val="auto"/>
          <w:sz w:val="21"/>
          <w:szCs w:val="21"/>
          <w:highlight w:val="none"/>
        </w:rPr>
      </w:pPr>
      <w:r>
        <w:rPr>
          <w:rFonts w:ascii="宋体" w:hAnsi="宋体"/>
          <w:color w:val="auto"/>
          <w:sz w:val="21"/>
          <w:szCs w:val="21"/>
          <w:highlight w:val="none"/>
        </w:rPr>
        <w:t>（网站在线打印并盖章）</w:t>
      </w:r>
    </w:p>
    <w:p w14:paraId="253B4E14">
      <w:pPr>
        <w:pStyle w:val="20"/>
        <w:widowControl w:val="0"/>
        <w:ind w:firstLine="0"/>
        <w:jc w:val="both"/>
        <w:rPr>
          <w:rFonts w:hint="eastAsia" w:cs="宋体"/>
          <w:color w:val="auto"/>
          <w:sz w:val="21"/>
          <w:szCs w:val="21"/>
          <w:highlight w:val="none"/>
        </w:rPr>
      </w:pPr>
    </w:p>
    <w:p w14:paraId="6207E646">
      <w:pPr>
        <w:pStyle w:val="20"/>
        <w:rPr>
          <w:rFonts w:hint="eastAsia"/>
          <w:color w:val="auto"/>
          <w:highlight w:val="none"/>
        </w:rPr>
      </w:pPr>
    </w:p>
    <w:p w14:paraId="4B2026B6">
      <w:pPr>
        <w:rPr>
          <w:rFonts w:hint="eastAsia" w:ascii="宋体" w:hAnsi="宋体" w:cs="宋体"/>
          <w:b/>
          <w:color w:val="auto"/>
          <w:sz w:val="31"/>
          <w:szCs w:val="31"/>
          <w:highlight w:val="none"/>
        </w:rPr>
      </w:pPr>
      <w:r>
        <w:rPr>
          <w:rFonts w:hint="eastAsia" w:ascii="宋体" w:hAnsi="宋体" w:cs="宋体"/>
          <w:b/>
          <w:color w:val="auto"/>
          <w:sz w:val="31"/>
          <w:szCs w:val="31"/>
          <w:highlight w:val="none"/>
        </w:rPr>
        <w:t>附件十一、企业声明函格式</w:t>
      </w:r>
    </w:p>
    <w:p w14:paraId="3C57A3B2">
      <w:pPr>
        <w:widowControl w:val="0"/>
        <w:spacing w:line="339" w:lineRule="exact"/>
        <w:rPr>
          <w:rFonts w:eastAsia="Times New Roman"/>
          <w:color w:val="auto"/>
          <w:highlight w:val="none"/>
        </w:rPr>
      </w:pPr>
    </w:p>
    <w:p w14:paraId="53DA01F2">
      <w:pPr>
        <w:spacing w:line="360" w:lineRule="auto"/>
        <w:jc w:val="center"/>
        <w:rPr>
          <w:rFonts w:hint="eastAsia" w:ascii="宋体" w:hAnsi="宋体"/>
          <w:color w:val="auto"/>
          <w:sz w:val="32"/>
          <w:szCs w:val="21"/>
          <w:highlight w:val="none"/>
        </w:rPr>
      </w:pPr>
      <w:r>
        <w:rPr>
          <w:rFonts w:hint="eastAsia" w:ascii="宋体" w:hAnsi="宋体"/>
          <w:color w:val="auto"/>
          <w:sz w:val="32"/>
          <w:szCs w:val="21"/>
          <w:highlight w:val="none"/>
        </w:rPr>
        <w:t>中小企业声明函（工程、服务）</w:t>
      </w:r>
    </w:p>
    <w:p w14:paraId="56B72331">
      <w:pPr>
        <w:spacing w:line="360" w:lineRule="auto"/>
        <w:ind w:firstLine="480"/>
        <w:rPr>
          <w:rFonts w:hint="eastAsia" w:ascii="宋体" w:hAnsi="宋体"/>
          <w:color w:val="auto"/>
          <w:sz w:val="24"/>
          <w:szCs w:val="18"/>
          <w:highlight w:val="none"/>
        </w:rPr>
      </w:pPr>
      <w:r>
        <w:rPr>
          <w:rFonts w:hint="eastAsia" w:ascii="宋体" w:hAnsi="宋体"/>
          <w:color w:val="auto"/>
          <w:sz w:val="24"/>
          <w:szCs w:val="18"/>
          <w:highlight w:val="none"/>
        </w:rPr>
        <w:t>本公司（联合体）郑重声明，根据《政府采购促进中小企业发展管理办法》（财库﹝2020﹞46 号）的规定，本公司 （联合体）参加</w:t>
      </w:r>
      <w:r>
        <w:rPr>
          <w:rFonts w:hint="eastAsia" w:ascii="宋体" w:hAnsi="宋体"/>
          <w:color w:val="auto"/>
          <w:sz w:val="24"/>
          <w:szCs w:val="18"/>
          <w:highlight w:val="none"/>
          <w:u w:val="single"/>
        </w:rPr>
        <w:t xml:space="preserve">      </w:t>
      </w:r>
      <w:r>
        <w:rPr>
          <w:rFonts w:hint="eastAsia" w:ascii="宋体" w:hAnsi="宋体"/>
          <w:color w:val="auto"/>
          <w:sz w:val="24"/>
          <w:szCs w:val="18"/>
          <w:highlight w:val="none"/>
        </w:rPr>
        <w:t xml:space="preserve">（单位名称）的 </w:t>
      </w:r>
      <w:r>
        <w:rPr>
          <w:rFonts w:hint="eastAsia" w:ascii="宋体" w:hAnsi="宋体"/>
          <w:color w:val="auto"/>
          <w:sz w:val="24"/>
          <w:szCs w:val="18"/>
          <w:highlight w:val="none"/>
          <w:u w:val="single"/>
        </w:rPr>
        <w:t xml:space="preserve">      </w:t>
      </w:r>
      <w:r>
        <w:rPr>
          <w:rFonts w:hint="eastAsia" w:ascii="宋体" w:hAnsi="宋体"/>
          <w:color w:val="auto"/>
          <w:sz w:val="24"/>
          <w:szCs w:val="18"/>
          <w:highlight w:val="none"/>
        </w:rPr>
        <w:t>（项目名称）采购活动，工程的施工单位全部为符合政策要求的中小企业（或者：服务全部由符合政策要求的中小企业承接）。相关企业 （含联合体中的中小企业、签订分包意向协议的中小企业） 的具体情况如下：</w:t>
      </w:r>
    </w:p>
    <w:p w14:paraId="463E483F">
      <w:pPr>
        <w:spacing w:line="360" w:lineRule="auto"/>
        <w:ind w:firstLine="480"/>
        <w:rPr>
          <w:rFonts w:hint="eastAsia" w:ascii="宋体" w:hAnsi="宋体"/>
          <w:color w:val="auto"/>
          <w:sz w:val="24"/>
          <w:szCs w:val="18"/>
          <w:highlight w:val="none"/>
        </w:rPr>
      </w:pPr>
      <w:r>
        <w:rPr>
          <w:rFonts w:hint="eastAsia" w:ascii="宋体" w:hAnsi="宋体"/>
          <w:color w:val="auto"/>
          <w:sz w:val="24"/>
          <w:szCs w:val="18"/>
          <w:highlight w:val="none"/>
        </w:rPr>
        <w:t>1、</w:t>
      </w:r>
      <w:r>
        <w:rPr>
          <w:rFonts w:hint="eastAsia" w:ascii="宋体" w:hAnsi="宋体"/>
          <w:color w:val="auto"/>
          <w:sz w:val="24"/>
          <w:szCs w:val="18"/>
          <w:highlight w:val="none"/>
          <w:u w:val="single"/>
        </w:rPr>
        <w:t xml:space="preserve">（标的名称） </w:t>
      </w:r>
      <w:r>
        <w:rPr>
          <w:rFonts w:hint="eastAsia" w:ascii="宋体" w:hAnsi="宋体"/>
          <w:color w:val="auto"/>
          <w:sz w:val="24"/>
          <w:szCs w:val="18"/>
          <w:highlight w:val="none"/>
        </w:rPr>
        <w:t>，属于</w:t>
      </w:r>
      <w:r>
        <w:rPr>
          <w:rFonts w:hint="eastAsia" w:ascii="宋体" w:hAnsi="宋体"/>
          <w:color w:val="auto"/>
          <w:sz w:val="24"/>
          <w:szCs w:val="18"/>
          <w:highlight w:val="none"/>
          <w:u w:val="single"/>
        </w:rPr>
        <w:t>（采购文件中明确的所属行业） 行业</w:t>
      </w:r>
      <w:r>
        <w:rPr>
          <w:rFonts w:hint="eastAsia" w:ascii="宋体" w:hAnsi="宋体"/>
          <w:color w:val="auto"/>
          <w:sz w:val="24"/>
          <w:szCs w:val="18"/>
          <w:highlight w:val="none"/>
        </w:rPr>
        <w:t>；承建（承接）企业为</w:t>
      </w:r>
      <w:r>
        <w:rPr>
          <w:rFonts w:hint="eastAsia" w:ascii="宋体" w:hAnsi="宋体"/>
          <w:color w:val="auto"/>
          <w:sz w:val="24"/>
          <w:szCs w:val="18"/>
          <w:highlight w:val="none"/>
          <w:u w:val="single"/>
        </w:rPr>
        <w:t>（企业名称）</w:t>
      </w:r>
      <w:r>
        <w:rPr>
          <w:rFonts w:hint="eastAsia" w:ascii="宋体" w:hAnsi="宋体"/>
          <w:color w:val="auto"/>
          <w:sz w:val="24"/>
          <w:szCs w:val="18"/>
          <w:highlight w:val="none"/>
        </w:rPr>
        <w:t>，从业人员</w:t>
      </w:r>
      <w:r>
        <w:rPr>
          <w:rFonts w:hint="eastAsia" w:ascii="宋体" w:hAnsi="宋体"/>
          <w:color w:val="auto"/>
          <w:sz w:val="24"/>
          <w:szCs w:val="18"/>
          <w:highlight w:val="none"/>
          <w:u w:val="single"/>
        </w:rPr>
        <w:t xml:space="preserve">   </w:t>
      </w:r>
      <w:r>
        <w:rPr>
          <w:rFonts w:hint="eastAsia" w:ascii="宋体" w:hAnsi="宋体"/>
          <w:color w:val="auto"/>
          <w:sz w:val="24"/>
          <w:szCs w:val="18"/>
          <w:highlight w:val="none"/>
        </w:rPr>
        <w:t>人，营业收入为</w:t>
      </w:r>
      <w:r>
        <w:rPr>
          <w:rFonts w:hint="eastAsia" w:ascii="宋体" w:hAnsi="宋体"/>
          <w:color w:val="auto"/>
          <w:sz w:val="24"/>
          <w:szCs w:val="18"/>
          <w:highlight w:val="none"/>
          <w:u w:val="single"/>
        </w:rPr>
        <w:t xml:space="preserve">    </w:t>
      </w:r>
      <w:r>
        <w:rPr>
          <w:rFonts w:hint="eastAsia" w:ascii="宋体" w:hAnsi="宋体"/>
          <w:color w:val="auto"/>
          <w:sz w:val="24"/>
          <w:szCs w:val="18"/>
          <w:highlight w:val="none"/>
        </w:rPr>
        <w:t>万元，资产总额为</w:t>
      </w:r>
      <w:r>
        <w:rPr>
          <w:rFonts w:hint="eastAsia" w:ascii="宋体" w:hAnsi="宋体"/>
          <w:color w:val="auto"/>
          <w:sz w:val="24"/>
          <w:szCs w:val="18"/>
          <w:highlight w:val="none"/>
          <w:u w:val="single"/>
        </w:rPr>
        <w:t xml:space="preserve">    </w:t>
      </w:r>
      <w:r>
        <w:rPr>
          <w:rFonts w:hint="eastAsia" w:ascii="宋体" w:hAnsi="宋体"/>
          <w:color w:val="auto"/>
          <w:sz w:val="24"/>
          <w:szCs w:val="18"/>
          <w:highlight w:val="none"/>
        </w:rPr>
        <w:t>万元，属于</w:t>
      </w:r>
      <w:r>
        <w:rPr>
          <w:rFonts w:hint="eastAsia" w:ascii="宋体" w:hAnsi="宋体"/>
          <w:color w:val="auto"/>
          <w:sz w:val="24"/>
          <w:szCs w:val="18"/>
          <w:highlight w:val="none"/>
          <w:u w:val="single"/>
        </w:rPr>
        <w:t>（中型企业、小 型企业、微型企业）</w:t>
      </w:r>
      <w:r>
        <w:rPr>
          <w:rFonts w:hint="eastAsia" w:ascii="宋体" w:hAnsi="宋体"/>
          <w:color w:val="auto"/>
          <w:sz w:val="24"/>
          <w:szCs w:val="18"/>
          <w:highlight w:val="none"/>
        </w:rPr>
        <w:t>；</w:t>
      </w:r>
    </w:p>
    <w:p w14:paraId="0414FB40">
      <w:pPr>
        <w:spacing w:line="360" w:lineRule="auto"/>
        <w:ind w:firstLine="480"/>
        <w:rPr>
          <w:rFonts w:hint="eastAsia" w:ascii="宋体" w:hAnsi="宋体"/>
          <w:color w:val="auto"/>
          <w:sz w:val="24"/>
          <w:szCs w:val="18"/>
          <w:highlight w:val="none"/>
        </w:rPr>
      </w:pPr>
      <w:r>
        <w:rPr>
          <w:rFonts w:hint="eastAsia" w:ascii="宋体" w:hAnsi="宋体"/>
          <w:color w:val="auto"/>
          <w:sz w:val="24"/>
          <w:szCs w:val="18"/>
          <w:highlight w:val="none"/>
        </w:rPr>
        <w:t>2、</w:t>
      </w:r>
      <w:r>
        <w:rPr>
          <w:rFonts w:hint="eastAsia" w:ascii="宋体" w:hAnsi="宋体"/>
          <w:color w:val="auto"/>
          <w:sz w:val="24"/>
          <w:szCs w:val="18"/>
          <w:highlight w:val="none"/>
          <w:u w:val="single"/>
        </w:rPr>
        <w:t xml:space="preserve">（标的名称） </w:t>
      </w:r>
      <w:r>
        <w:rPr>
          <w:rFonts w:hint="eastAsia" w:ascii="宋体" w:hAnsi="宋体"/>
          <w:color w:val="auto"/>
          <w:sz w:val="24"/>
          <w:szCs w:val="18"/>
          <w:highlight w:val="none"/>
        </w:rPr>
        <w:t>，属于</w:t>
      </w:r>
      <w:r>
        <w:rPr>
          <w:rFonts w:hint="eastAsia" w:ascii="宋体" w:hAnsi="宋体"/>
          <w:color w:val="auto"/>
          <w:sz w:val="24"/>
          <w:szCs w:val="18"/>
          <w:highlight w:val="none"/>
          <w:u w:val="single"/>
        </w:rPr>
        <w:t>（采购文件中明确的所属行业） 行业</w:t>
      </w:r>
      <w:r>
        <w:rPr>
          <w:rFonts w:hint="eastAsia" w:ascii="宋体" w:hAnsi="宋体"/>
          <w:color w:val="auto"/>
          <w:sz w:val="24"/>
          <w:szCs w:val="18"/>
          <w:highlight w:val="none"/>
        </w:rPr>
        <w:t>；承建（承接）企业为</w:t>
      </w:r>
      <w:r>
        <w:rPr>
          <w:rFonts w:hint="eastAsia" w:ascii="宋体" w:hAnsi="宋体"/>
          <w:color w:val="auto"/>
          <w:sz w:val="24"/>
          <w:szCs w:val="18"/>
          <w:highlight w:val="none"/>
          <w:u w:val="single"/>
        </w:rPr>
        <w:t>（企业名称）</w:t>
      </w:r>
      <w:r>
        <w:rPr>
          <w:rFonts w:hint="eastAsia" w:ascii="宋体" w:hAnsi="宋体"/>
          <w:color w:val="auto"/>
          <w:sz w:val="24"/>
          <w:szCs w:val="18"/>
          <w:highlight w:val="none"/>
        </w:rPr>
        <w:t>，从业人员</w:t>
      </w:r>
      <w:r>
        <w:rPr>
          <w:rFonts w:hint="eastAsia" w:ascii="宋体" w:hAnsi="宋体"/>
          <w:color w:val="auto"/>
          <w:sz w:val="24"/>
          <w:szCs w:val="18"/>
          <w:highlight w:val="none"/>
          <w:u w:val="single"/>
        </w:rPr>
        <w:t xml:space="preserve">   </w:t>
      </w:r>
      <w:r>
        <w:rPr>
          <w:rFonts w:hint="eastAsia" w:ascii="宋体" w:hAnsi="宋体"/>
          <w:color w:val="auto"/>
          <w:sz w:val="24"/>
          <w:szCs w:val="18"/>
          <w:highlight w:val="none"/>
        </w:rPr>
        <w:t>人，营业收入为</w:t>
      </w:r>
      <w:r>
        <w:rPr>
          <w:rFonts w:hint="eastAsia" w:ascii="宋体" w:hAnsi="宋体"/>
          <w:color w:val="auto"/>
          <w:sz w:val="24"/>
          <w:szCs w:val="18"/>
          <w:highlight w:val="none"/>
          <w:u w:val="single"/>
        </w:rPr>
        <w:t xml:space="preserve">    </w:t>
      </w:r>
      <w:r>
        <w:rPr>
          <w:rFonts w:hint="eastAsia" w:ascii="宋体" w:hAnsi="宋体"/>
          <w:color w:val="auto"/>
          <w:sz w:val="24"/>
          <w:szCs w:val="18"/>
          <w:highlight w:val="none"/>
        </w:rPr>
        <w:t>万元，资产总额为</w:t>
      </w:r>
      <w:r>
        <w:rPr>
          <w:rFonts w:hint="eastAsia" w:ascii="宋体" w:hAnsi="宋体"/>
          <w:color w:val="auto"/>
          <w:sz w:val="24"/>
          <w:szCs w:val="18"/>
          <w:highlight w:val="none"/>
          <w:u w:val="single"/>
        </w:rPr>
        <w:t xml:space="preserve">    </w:t>
      </w:r>
      <w:r>
        <w:rPr>
          <w:rFonts w:hint="eastAsia" w:ascii="宋体" w:hAnsi="宋体"/>
          <w:color w:val="auto"/>
          <w:sz w:val="24"/>
          <w:szCs w:val="18"/>
          <w:highlight w:val="none"/>
        </w:rPr>
        <w:t>万元，属于</w:t>
      </w:r>
      <w:r>
        <w:rPr>
          <w:rFonts w:hint="eastAsia" w:ascii="宋体" w:hAnsi="宋体"/>
          <w:color w:val="auto"/>
          <w:sz w:val="24"/>
          <w:szCs w:val="18"/>
          <w:highlight w:val="none"/>
          <w:u w:val="single"/>
        </w:rPr>
        <w:t>（中型企业、小 型企业、微型企业）</w:t>
      </w:r>
      <w:r>
        <w:rPr>
          <w:rFonts w:hint="eastAsia" w:ascii="宋体" w:hAnsi="宋体"/>
          <w:color w:val="auto"/>
          <w:sz w:val="24"/>
          <w:szCs w:val="18"/>
          <w:highlight w:val="none"/>
        </w:rPr>
        <w:t>；</w:t>
      </w:r>
    </w:p>
    <w:p w14:paraId="4D61A5DD">
      <w:pPr>
        <w:spacing w:line="360" w:lineRule="auto"/>
        <w:ind w:firstLine="480"/>
        <w:rPr>
          <w:rFonts w:hint="eastAsia" w:ascii="宋体" w:hAnsi="宋体"/>
          <w:color w:val="auto"/>
          <w:sz w:val="24"/>
          <w:szCs w:val="18"/>
          <w:highlight w:val="none"/>
        </w:rPr>
      </w:pPr>
      <w:r>
        <w:rPr>
          <w:rFonts w:hint="eastAsia" w:ascii="宋体" w:hAnsi="宋体"/>
          <w:color w:val="auto"/>
          <w:sz w:val="24"/>
          <w:szCs w:val="18"/>
          <w:highlight w:val="none"/>
        </w:rPr>
        <w:t>....</w:t>
      </w:r>
    </w:p>
    <w:p w14:paraId="6D3A19AC">
      <w:pPr>
        <w:spacing w:line="360" w:lineRule="auto"/>
        <w:ind w:firstLine="480"/>
        <w:rPr>
          <w:rFonts w:hint="eastAsia" w:ascii="宋体" w:hAnsi="宋体"/>
          <w:color w:val="auto"/>
          <w:sz w:val="24"/>
          <w:szCs w:val="18"/>
          <w:highlight w:val="none"/>
        </w:rPr>
      </w:pPr>
      <w:r>
        <w:rPr>
          <w:rFonts w:hint="eastAsia" w:ascii="宋体" w:hAnsi="宋体"/>
          <w:color w:val="auto"/>
          <w:sz w:val="24"/>
          <w:szCs w:val="18"/>
          <w:highlight w:val="none"/>
        </w:rPr>
        <w:t>以上企业，不属于大企业的分支机构，不存在控股股东为大企业的情形，也不存在与大企业的负责人为同一人的情形。</w:t>
      </w:r>
    </w:p>
    <w:p w14:paraId="2B4CACA9">
      <w:pPr>
        <w:spacing w:line="360" w:lineRule="auto"/>
        <w:ind w:firstLine="480"/>
        <w:rPr>
          <w:rFonts w:hint="eastAsia" w:ascii="宋体" w:hAnsi="宋体"/>
          <w:color w:val="auto"/>
          <w:sz w:val="24"/>
          <w:szCs w:val="18"/>
          <w:highlight w:val="none"/>
        </w:rPr>
      </w:pPr>
      <w:r>
        <w:rPr>
          <w:rFonts w:hint="eastAsia" w:ascii="宋体" w:hAnsi="宋体"/>
          <w:color w:val="auto"/>
          <w:sz w:val="24"/>
          <w:szCs w:val="18"/>
          <w:highlight w:val="none"/>
        </w:rPr>
        <w:t>本企业对上述声明内容的真实性负责。如有虚假，将依法承担相应责任。</w:t>
      </w:r>
    </w:p>
    <w:p w14:paraId="1637A880">
      <w:pPr>
        <w:widowControl w:val="0"/>
        <w:spacing w:line="360" w:lineRule="auto"/>
        <w:ind w:left="210" w:right="210" w:firstLine="480"/>
        <w:jc w:val="both"/>
        <w:rPr>
          <w:rFonts w:hint="eastAsia" w:ascii="宋体" w:hAnsi="宋体" w:eastAsia="仿宋_GB2312"/>
          <w:color w:val="auto"/>
          <w:sz w:val="24"/>
          <w:szCs w:val="24"/>
          <w:highlight w:val="none"/>
        </w:rPr>
      </w:pPr>
    </w:p>
    <w:p w14:paraId="087A5228">
      <w:pPr>
        <w:spacing w:line="360" w:lineRule="auto"/>
        <w:ind w:firstLine="480"/>
        <w:jc w:val="right"/>
        <w:rPr>
          <w:rFonts w:hint="eastAsia" w:ascii="宋体" w:hAnsi="宋体"/>
          <w:color w:val="auto"/>
          <w:sz w:val="24"/>
          <w:szCs w:val="18"/>
          <w:highlight w:val="none"/>
        </w:rPr>
      </w:pPr>
      <w:r>
        <w:rPr>
          <w:rFonts w:hint="eastAsia" w:ascii="宋体" w:hAnsi="宋体"/>
          <w:color w:val="auto"/>
          <w:sz w:val="24"/>
          <w:szCs w:val="18"/>
          <w:highlight w:val="none"/>
        </w:rPr>
        <w:t>企业名称（</w:t>
      </w:r>
      <w:r>
        <w:rPr>
          <w:rFonts w:hint="eastAsia" w:ascii="宋体" w:hAnsi="宋体" w:cs="宋体"/>
          <w:color w:val="auto"/>
          <w:sz w:val="21"/>
          <w:szCs w:val="21"/>
          <w:highlight w:val="none"/>
        </w:rPr>
        <w:t>加盖公章</w:t>
      </w:r>
      <w:r>
        <w:rPr>
          <w:rFonts w:hint="eastAsia" w:ascii="宋体" w:hAnsi="宋体"/>
          <w:color w:val="auto"/>
          <w:sz w:val="24"/>
          <w:szCs w:val="18"/>
          <w:highlight w:val="none"/>
        </w:rPr>
        <w:t>）：</w:t>
      </w:r>
    </w:p>
    <w:p w14:paraId="7FCB6BB3">
      <w:pPr>
        <w:spacing w:line="360" w:lineRule="auto"/>
        <w:ind w:firstLine="480"/>
        <w:jc w:val="center"/>
        <w:rPr>
          <w:rFonts w:ascii="Arial" w:hAnsi="Arial" w:eastAsia="微软雅黑"/>
          <w:b/>
          <w:color w:val="auto"/>
          <w:sz w:val="24"/>
          <w:szCs w:val="22"/>
          <w:highlight w:val="none"/>
        </w:rPr>
      </w:pPr>
      <w:r>
        <w:rPr>
          <w:rFonts w:hint="eastAsia" w:ascii="宋体" w:hAnsi="宋体"/>
          <w:color w:val="auto"/>
          <w:sz w:val="24"/>
          <w:szCs w:val="18"/>
          <w:highlight w:val="none"/>
        </w:rPr>
        <w:t xml:space="preserve">                                        日 期：</w:t>
      </w:r>
    </w:p>
    <w:p w14:paraId="74B4E302">
      <w:pPr>
        <w:rPr>
          <w:rFonts w:hint="eastAsia" w:ascii="宋体" w:hAnsi="宋体"/>
          <w:color w:val="auto"/>
          <w:sz w:val="24"/>
          <w:szCs w:val="18"/>
          <w:highlight w:val="none"/>
        </w:rPr>
      </w:pPr>
      <w:r>
        <w:rPr>
          <w:rFonts w:hint="eastAsia" w:ascii="宋体" w:hAnsi="宋体"/>
          <w:color w:val="auto"/>
          <w:sz w:val="24"/>
          <w:szCs w:val="18"/>
          <w:highlight w:val="none"/>
        </w:rPr>
        <w:t>(1)从业人员、营业收入、资产总额填报上一年度数据，无上一年度数据的新成立企业可不填报。</w:t>
      </w:r>
    </w:p>
    <w:p w14:paraId="559113EB">
      <w:pPr>
        <w:rPr>
          <w:rFonts w:hint="eastAsia" w:ascii="宋体" w:hAnsi="宋体"/>
          <w:color w:val="auto"/>
          <w:sz w:val="24"/>
          <w:szCs w:val="18"/>
          <w:highlight w:val="none"/>
        </w:rPr>
      </w:pPr>
      <w:r>
        <w:rPr>
          <w:rFonts w:hint="eastAsia" w:ascii="宋体" w:hAnsi="宋体"/>
          <w:color w:val="auto"/>
          <w:sz w:val="24"/>
          <w:szCs w:val="18"/>
          <w:highlight w:val="none"/>
        </w:rPr>
        <w:t>(2)本项目采购标的对应的中小企业划分标准所属行业为</w:t>
      </w:r>
      <w:r>
        <w:rPr>
          <w:rFonts w:hint="eastAsia" w:ascii="宋体" w:hAnsi="宋体"/>
          <w:b/>
          <w:bCs/>
          <w:color w:val="auto"/>
          <w:sz w:val="24"/>
          <w:szCs w:val="18"/>
          <w:highlight w:val="none"/>
          <w:u w:val="single"/>
        </w:rPr>
        <w:t>其他未列明行业</w:t>
      </w:r>
      <w:r>
        <w:rPr>
          <w:rFonts w:hint="eastAsia" w:ascii="宋体" w:hAnsi="宋体"/>
          <w:color w:val="auto"/>
          <w:sz w:val="24"/>
          <w:szCs w:val="18"/>
          <w:highlight w:val="none"/>
        </w:rPr>
        <w:t>。</w:t>
      </w:r>
    </w:p>
    <w:p w14:paraId="6C1097EC">
      <w:pPr>
        <w:widowControl w:val="0"/>
        <w:spacing w:line="200" w:lineRule="exact"/>
        <w:rPr>
          <w:rFonts w:eastAsiaTheme="minorEastAsia"/>
          <w:color w:val="auto"/>
          <w:highlight w:val="none"/>
        </w:rPr>
      </w:pPr>
    </w:p>
    <w:p w14:paraId="54EF5596">
      <w:pPr>
        <w:pStyle w:val="2"/>
        <w:rPr>
          <w:color w:val="auto"/>
          <w:highlight w:val="none"/>
        </w:rPr>
      </w:pPr>
    </w:p>
    <w:p w14:paraId="0489A4C4">
      <w:pPr>
        <w:widowControl w:val="0"/>
        <w:spacing w:line="200" w:lineRule="exact"/>
        <w:rPr>
          <w:rFonts w:eastAsia="Times New Roman"/>
          <w:color w:val="auto"/>
          <w:highlight w:val="none"/>
        </w:rPr>
      </w:pPr>
    </w:p>
    <w:p w14:paraId="35046EFA">
      <w:pPr>
        <w:widowControl w:val="0"/>
        <w:spacing w:line="0" w:lineRule="atLeast"/>
        <w:ind w:left="2700"/>
        <w:rPr>
          <w:rFonts w:hint="eastAsia" w:ascii="宋体" w:hAnsi="宋体"/>
          <w:color w:val="auto"/>
          <w:sz w:val="28"/>
          <w:highlight w:val="none"/>
        </w:rPr>
      </w:pPr>
    </w:p>
    <w:p w14:paraId="64FF5F34">
      <w:pPr>
        <w:widowControl w:val="0"/>
        <w:spacing w:line="0" w:lineRule="atLeast"/>
        <w:ind w:left="2700"/>
        <w:rPr>
          <w:rFonts w:hint="eastAsia" w:ascii="宋体" w:hAnsi="宋体"/>
          <w:color w:val="auto"/>
          <w:sz w:val="28"/>
          <w:highlight w:val="none"/>
        </w:rPr>
      </w:pPr>
      <w:r>
        <w:rPr>
          <w:rFonts w:ascii="宋体" w:hAnsi="宋体"/>
          <w:color w:val="auto"/>
          <w:sz w:val="28"/>
          <w:highlight w:val="none"/>
        </w:rPr>
        <w:t>残疾人福利性单位声明函</w:t>
      </w:r>
    </w:p>
    <w:p w14:paraId="1E2E6D88">
      <w:pPr>
        <w:widowControl w:val="0"/>
        <w:spacing w:line="312" w:lineRule="exact"/>
        <w:rPr>
          <w:rFonts w:eastAsia="Times New Roman"/>
          <w:color w:val="auto"/>
          <w:highlight w:val="none"/>
        </w:rPr>
      </w:pPr>
    </w:p>
    <w:p w14:paraId="4AECD2CF">
      <w:pPr>
        <w:widowControl w:val="0"/>
        <w:spacing w:line="240" w:lineRule="exact"/>
        <w:ind w:left="420"/>
        <w:rPr>
          <w:rFonts w:hint="eastAsia" w:ascii="宋体" w:hAnsi="宋体"/>
          <w:color w:val="auto"/>
          <w:sz w:val="21"/>
          <w:highlight w:val="none"/>
        </w:rPr>
      </w:pPr>
      <w:r>
        <w:rPr>
          <w:rFonts w:ascii="宋体" w:hAnsi="宋体"/>
          <w:color w:val="auto"/>
          <w:sz w:val="21"/>
          <w:highlight w:val="none"/>
        </w:rPr>
        <w:t>本单位郑重声明</w:t>
      </w:r>
      <w:r>
        <w:rPr>
          <w:rFonts w:ascii="MS PGothic" w:hAnsi="MS PGothic" w:eastAsia="MS PGothic"/>
          <w:color w:val="auto"/>
          <w:sz w:val="21"/>
          <w:highlight w:val="none"/>
        </w:rPr>
        <w:t>，</w:t>
      </w:r>
      <w:r>
        <w:rPr>
          <w:rFonts w:ascii="宋体" w:hAnsi="宋体"/>
          <w:color w:val="auto"/>
          <w:sz w:val="21"/>
          <w:highlight w:val="none"/>
        </w:rPr>
        <w:t>根据《财政部民政部中国残疾人联合会关于促进残疾人就业政府采购</w:t>
      </w:r>
    </w:p>
    <w:p w14:paraId="33E29043">
      <w:pPr>
        <w:widowControl w:val="0"/>
        <w:spacing w:line="183" w:lineRule="exact"/>
        <w:rPr>
          <w:rFonts w:eastAsia="Times New Roman"/>
          <w:color w:val="auto"/>
          <w:highlight w:val="none"/>
        </w:rPr>
      </w:pPr>
    </w:p>
    <w:p w14:paraId="22E10C08">
      <w:pPr>
        <w:widowControl w:val="0"/>
        <w:spacing w:line="253" w:lineRule="exact"/>
        <w:rPr>
          <w:rFonts w:hint="eastAsia" w:ascii="宋体" w:hAnsi="宋体"/>
          <w:color w:val="auto"/>
          <w:sz w:val="21"/>
          <w:highlight w:val="none"/>
        </w:rPr>
      </w:pPr>
      <w:r>
        <w:rPr>
          <w:rFonts w:ascii="宋体" w:hAnsi="宋体"/>
          <w:color w:val="auto"/>
          <w:sz w:val="21"/>
          <w:highlight w:val="none"/>
        </w:rPr>
        <w:t>政策的通知》</w:t>
      </w:r>
      <w:r>
        <w:rPr>
          <w:rFonts w:ascii="MS PGothic" w:hAnsi="MS PGothic" w:eastAsia="MS PGothic"/>
          <w:color w:val="auto"/>
          <w:sz w:val="21"/>
          <w:highlight w:val="none"/>
        </w:rPr>
        <w:t>（</w:t>
      </w:r>
      <w:r>
        <w:rPr>
          <w:rFonts w:ascii="宋体" w:hAnsi="宋体"/>
          <w:color w:val="auto"/>
          <w:sz w:val="21"/>
          <w:highlight w:val="none"/>
        </w:rPr>
        <w:t>财库〔</w:t>
      </w:r>
      <w:r>
        <w:rPr>
          <w:rFonts w:ascii="Arial" w:hAnsi="Arial" w:eastAsia="Arial"/>
          <w:color w:val="auto"/>
          <w:sz w:val="21"/>
          <w:highlight w:val="none"/>
        </w:rPr>
        <w:t>2017</w:t>
      </w:r>
      <w:r>
        <w:rPr>
          <w:rFonts w:ascii="宋体" w:hAnsi="宋体"/>
          <w:color w:val="auto"/>
          <w:sz w:val="21"/>
          <w:highlight w:val="none"/>
        </w:rPr>
        <w:t>〕</w:t>
      </w:r>
      <w:r>
        <w:rPr>
          <w:rFonts w:ascii="Arial" w:hAnsi="Arial" w:eastAsia="Arial"/>
          <w:color w:val="auto"/>
          <w:sz w:val="21"/>
          <w:highlight w:val="none"/>
        </w:rPr>
        <w:t>141</w:t>
      </w:r>
      <w:r>
        <w:rPr>
          <w:rFonts w:ascii="宋体" w:hAnsi="宋体"/>
          <w:color w:val="auto"/>
          <w:sz w:val="21"/>
          <w:highlight w:val="none"/>
        </w:rPr>
        <w:t>号</w:t>
      </w:r>
      <w:r>
        <w:rPr>
          <w:rFonts w:ascii="MS PGothic" w:hAnsi="MS PGothic" w:eastAsia="MS PGothic"/>
          <w:color w:val="auto"/>
          <w:sz w:val="21"/>
          <w:highlight w:val="none"/>
        </w:rPr>
        <w:t>）</w:t>
      </w:r>
      <w:r>
        <w:rPr>
          <w:rFonts w:ascii="宋体" w:hAnsi="宋体"/>
          <w:color w:val="auto"/>
          <w:sz w:val="21"/>
          <w:highlight w:val="none"/>
        </w:rPr>
        <w:t>的规定</w:t>
      </w:r>
      <w:r>
        <w:rPr>
          <w:rFonts w:ascii="MS PGothic" w:hAnsi="MS PGothic" w:eastAsia="MS PGothic"/>
          <w:color w:val="auto"/>
          <w:sz w:val="21"/>
          <w:highlight w:val="none"/>
        </w:rPr>
        <w:t>，</w:t>
      </w:r>
      <w:r>
        <w:rPr>
          <w:rFonts w:ascii="宋体" w:hAnsi="宋体"/>
          <w:color w:val="auto"/>
          <w:sz w:val="21"/>
          <w:highlight w:val="none"/>
        </w:rPr>
        <w:t>本单位为符合条件的残疾人福利性单位</w:t>
      </w:r>
      <w:r>
        <w:rPr>
          <w:rFonts w:ascii="MS PGothic" w:hAnsi="MS PGothic" w:eastAsia="MS PGothic"/>
          <w:color w:val="auto"/>
          <w:sz w:val="21"/>
          <w:highlight w:val="none"/>
        </w:rPr>
        <w:t>，</w:t>
      </w:r>
      <w:r>
        <w:rPr>
          <w:rFonts w:ascii="宋体" w:hAnsi="宋体"/>
          <w:color w:val="auto"/>
          <w:sz w:val="21"/>
          <w:highlight w:val="none"/>
        </w:rPr>
        <w:t>且</w:t>
      </w:r>
    </w:p>
    <w:p w14:paraId="2538DCD4">
      <w:pPr>
        <w:widowControl w:val="0"/>
        <w:spacing w:line="188" w:lineRule="exact"/>
        <w:rPr>
          <w:rFonts w:eastAsia="Times New Roman"/>
          <w:color w:val="auto"/>
          <w:highlight w:val="none"/>
        </w:rPr>
      </w:pPr>
    </w:p>
    <w:p w14:paraId="02D5CAF5">
      <w:pPr>
        <w:widowControl w:val="0"/>
        <w:spacing w:line="253" w:lineRule="exact"/>
        <w:rPr>
          <w:rFonts w:hint="eastAsia" w:ascii="宋体" w:hAnsi="宋体"/>
          <w:color w:val="auto"/>
          <w:sz w:val="21"/>
          <w:highlight w:val="none"/>
        </w:rPr>
      </w:pPr>
      <w:r>
        <w:rPr>
          <w:rFonts w:ascii="宋体" w:hAnsi="宋体"/>
          <w:color w:val="auto"/>
          <w:sz w:val="21"/>
          <w:highlight w:val="none"/>
        </w:rPr>
        <w:t>本单位参加</w:t>
      </w:r>
      <w:r>
        <w:rPr>
          <w:rFonts w:ascii="Arial" w:hAnsi="Arial" w:eastAsia="Arial"/>
          <w:color w:val="auto"/>
          <w:sz w:val="21"/>
          <w:highlight w:val="none"/>
        </w:rPr>
        <w:t>______</w:t>
      </w:r>
      <w:r>
        <w:rPr>
          <w:rFonts w:ascii="宋体" w:hAnsi="宋体"/>
          <w:color w:val="auto"/>
          <w:sz w:val="21"/>
          <w:highlight w:val="none"/>
        </w:rPr>
        <w:t>单位的</w:t>
      </w:r>
      <w:r>
        <w:rPr>
          <w:rFonts w:ascii="Arial" w:hAnsi="Arial" w:eastAsia="Arial"/>
          <w:color w:val="auto"/>
          <w:sz w:val="21"/>
          <w:highlight w:val="none"/>
        </w:rPr>
        <w:t>______</w:t>
      </w:r>
      <w:r>
        <w:rPr>
          <w:rFonts w:ascii="宋体" w:hAnsi="宋体"/>
          <w:color w:val="auto"/>
          <w:sz w:val="21"/>
          <w:highlight w:val="none"/>
        </w:rPr>
        <w:t>项目采购活动提供本单位制造的货物</w:t>
      </w:r>
      <w:r>
        <w:rPr>
          <w:rFonts w:ascii="MS PGothic" w:hAnsi="MS PGothic" w:eastAsia="MS PGothic"/>
          <w:color w:val="auto"/>
          <w:sz w:val="21"/>
          <w:highlight w:val="none"/>
        </w:rPr>
        <w:t>（</w:t>
      </w:r>
      <w:r>
        <w:rPr>
          <w:rFonts w:ascii="宋体" w:hAnsi="宋体"/>
          <w:color w:val="auto"/>
          <w:sz w:val="21"/>
          <w:highlight w:val="none"/>
        </w:rPr>
        <w:t>由本单位承担工程</w:t>
      </w:r>
      <w:r>
        <w:rPr>
          <w:rFonts w:ascii="Arial" w:hAnsi="Arial" w:eastAsia="Arial"/>
          <w:color w:val="auto"/>
          <w:sz w:val="21"/>
          <w:highlight w:val="none"/>
        </w:rPr>
        <w:t>/</w:t>
      </w:r>
      <w:r>
        <w:rPr>
          <w:rFonts w:ascii="宋体" w:hAnsi="宋体"/>
          <w:color w:val="auto"/>
          <w:sz w:val="21"/>
          <w:highlight w:val="none"/>
        </w:rPr>
        <w:t>提</w:t>
      </w:r>
    </w:p>
    <w:p w14:paraId="1964715D">
      <w:pPr>
        <w:widowControl w:val="0"/>
        <w:spacing w:line="203" w:lineRule="exact"/>
        <w:rPr>
          <w:rFonts w:eastAsia="Times New Roman"/>
          <w:color w:val="auto"/>
          <w:highlight w:val="none"/>
        </w:rPr>
      </w:pPr>
    </w:p>
    <w:p w14:paraId="3DA4CBCA">
      <w:pPr>
        <w:widowControl w:val="0"/>
        <w:spacing w:line="240" w:lineRule="exact"/>
        <w:rPr>
          <w:rFonts w:hint="eastAsia" w:ascii="宋体" w:hAnsi="宋体"/>
          <w:color w:val="auto"/>
          <w:sz w:val="21"/>
          <w:highlight w:val="none"/>
        </w:rPr>
      </w:pPr>
      <w:r>
        <w:rPr>
          <w:rFonts w:ascii="宋体" w:hAnsi="宋体"/>
          <w:color w:val="auto"/>
          <w:sz w:val="21"/>
          <w:highlight w:val="none"/>
        </w:rPr>
        <w:t>供服务</w:t>
      </w:r>
      <w:r>
        <w:rPr>
          <w:rFonts w:ascii="MS PGothic" w:hAnsi="MS PGothic" w:eastAsia="MS PGothic"/>
          <w:color w:val="auto"/>
          <w:sz w:val="21"/>
          <w:highlight w:val="none"/>
        </w:rPr>
        <w:t>），</w:t>
      </w:r>
      <w:r>
        <w:rPr>
          <w:rFonts w:ascii="宋体" w:hAnsi="宋体"/>
          <w:color w:val="auto"/>
          <w:sz w:val="21"/>
          <w:highlight w:val="none"/>
        </w:rPr>
        <w:t>或者提供其他残疾人福利性单位制造的货物</w:t>
      </w:r>
      <w:r>
        <w:rPr>
          <w:rFonts w:ascii="MS PGothic" w:hAnsi="MS PGothic" w:eastAsia="MS PGothic"/>
          <w:color w:val="auto"/>
          <w:sz w:val="21"/>
          <w:highlight w:val="none"/>
        </w:rPr>
        <w:t>（</w:t>
      </w:r>
      <w:r>
        <w:rPr>
          <w:rFonts w:ascii="宋体" w:hAnsi="宋体"/>
          <w:color w:val="auto"/>
          <w:sz w:val="21"/>
          <w:highlight w:val="none"/>
        </w:rPr>
        <w:t>不包括使用非残疾人福利性单位注册</w:t>
      </w:r>
    </w:p>
    <w:p w14:paraId="60192C84">
      <w:pPr>
        <w:widowControl w:val="0"/>
        <w:spacing w:line="197" w:lineRule="exact"/>
        <w:rPr>
          <w:rFonts w:eastAsia="Times New Roman"/>
          <w:color w:val="auto"/>
          <w:highlight w:val="none"/>
        </w:rPr>
      </w:pPr>
    </w:p>
    <w:p w14:paraId="0BE5F848">
      <w:pPr>
        <w:widowControl w:val="0"/>
        <w:spacing w:line="240" w:lineRule="exact"/>
        <w:rPr>
          <w:rFonts w:hint="eastAsia" w:ascii="宋体" w:hAnsi="宋体"/>
          <w:color w:val="auto"/>
          <w:sz w:val="21"/>
          <w:highlight w:val="none"/>
        </w:rPr>
      </w:pPr>
      <w:r>
        <w:rPr>
          <w:rFonts w:ascii="宋体" w:hAnsi="宋体"/>
          <w:color w:val="auto"/>
          <w:sz w:val="21"/>
          <w:highlight w:val="none"/>
        </w:rPr>
        <w:t>商标的货物</w:t>
      </w:r>
      <w:r>
        <w:rPr>
          <w:rFonts w:ascii="MS PGothic" w:hAnsi="MS PGothic" w:eastAsia="MS PGothic"/>
          <w:color w:val="auto"/>
          <w:sz w:val="21"/>
          <w:highlight w:val="none"/>
        </w:rPr>
        <w:t>）</w:t>
      </w:r>
      <w:r>
        <w:rPr>
          <w:rFonts w:ascii="宋体" w:hAnsi="宋体"/>
          <w:color w:val="auto"/>
          <w:sz w:val="21"/>
          <w:highlight w:val="none"/>
        </w:rPr>
        <w:t>。</w:t>
      </w:r>
    </w:p>
    <w:p w14:paraId="3C0ADFFD">
      <w:pPr>
        <w:widowControl w:val="0"/>
        <w:spacing w:line="203" w:lineRule="exact"/>
        <w:rPr>
          <w:rFonts w:eastAsia="Times New Roman"/>
          <w:color w:val="auto"/>
          <w:highlight w:val="none"/>
        </w:rPr>
      </w:pPr>
    </w:p>
    <w:p w14:paraId="021CFEC0">
      <w:pPr>
        <w:widowControl w:val="0"/>
        <w:spacing w:line="240" w:lineRule="exact"/>
        <w:ind w:left="420"/>
        <w:rPr>
          <w:rFonts w:hint="eastAsia" w:ascii="宋体" w:hAnsi="宋体"/>
          <w:color w:val="auto"/>
          <w:sz w:val="21"/>
          <w:highlight w:val="none"/>
        </w:rPr>
      </w:pPr>
      <w:r>
        <w:rPr>
          <w:rFonts w:ascii="宋体" w:hAnsi="宋体"/>
          <w:color w:val="auto"/>
          <w:sz w:val="21"/>
          <w:highlight w:val="none"/>
        </w:rPr>
        <w:t>本单位对上述声明的真实性负责。如有虚假</w:t>
      </w:r>
      <w:r>
        <w:rPr>
          <w:rFonts w:ascii="MS PGothic" w:hAnsi="MS PGothic" w:eastAsia="MS PGothic"/>
          <w:color w:val="auto"/>
          <w:sz w:val="21"/>
          <w:highlight w:val="none"/>
        </w:rPr>
        <w:t>，</w:t>
      </w:r>
      <w:r>
        <w:rPr>
          <w:rFonts w:ascii="宋体" w:hAnsi="宋体"/>
          <w:color w:val="auto"/>
          <w:sz w:val="21"/>
          <w:highlight w:val="none"/>
        </w:rPr>
        <w:t>将依法承担相应责任。</w:t>
      </w:r>
    </w:p>
    <w:p w14:paraId="7E7FE2D3">
      <w:pPr>
        <w:widowControl w:val="0"/>
        <w:spacing w:line="202" w:lineRule="exact"/>
        <w:rPr>
          <w:rFonts w:eastAsia="Times New Roman"/>
          <w:color w:val="auto"/>
          <w:highlight w:val="none"/>
        </w:rPr>
      </w:pPr>
    </w:p>
    <w:p w14:paraId="5995587C">
      <w:pPr>
        <w:widowControl w:val="0"/>
        <w:spacing w:line="240" w:lineRule="exact"/>
        <w:ind w:left="5040"/>
        <w:rPr>
          <w:rFonts w:hint="eastAsia" w:ascii="MS PGothic" w:hAnsi="MS PGothic" w:eastAsia="MS PGothic"/>
          <w:color w:val="auto"/>
          <w:sz w:val="21"/>
          <w:highlight w:val="none"/>
        </w:rPr>
      </w:pPr>
      <w:r>
        <w:rPr>
          <w:rFonts w:ascii="宋体" w:hAnsi="宋体"/>
          <w:color w:val="auto"/>
          <w:sz w:val="21"/>
          <w:highlight w:val="none"/>
        </w:rPr>
        <w:t>单位名称</w:t>
      </w:r>
      <w:r>
        <w:rPr>
          <w:rFonts w:ascii="MS PGothic" w:hAnsi="MS PGothic" w:eastAsia="MS PGothic"/>
          <w:color w:val="auto"/>
          <w:sz w:val="21"/>
          <w:highlight w:val="none"/>
        </w:rPr>
        <w:t>（</w:t>
      </w:r>
      <w:r>
        <w:rPr>
          <w:rFonts w:ascii="宋体" w:hAnsi="宋体"/>
          <w:color w:val="auto"/>
          <w:sz w:val="21"/>
          <w:highlight w:val="none"/>
        </w:rPr>
        <w:t>加盖电子公章</w:t>
      </w:r>
      <w:r>
        <w:rPr>
          <w:rFonts w:ascii="MS PGothic" w:hAnsi="MS PGothic" w:eastAsia="MS PGothic"/>
          <w:color w:val="auto"/>
          <w:sz w:val="21"/>
          <w:highlight w:val="none"/>
        </w:rPr>
        <w:t>）：</w:t>
      </w:r>
    </w:p>
    <w:p w14:paraId="2E172BDA">
      <w:pPr>
        <w:widowControl w:val="0"/>
        <w:spacing w:line="139" w:lineRule="exact"/>
        <w:rPr>
          <w:rFonts w:eastAsia="Times New Roman"/>
          <w:color w:val="auto"/>
          <w:highlight w:val="none"/>
        </w:rPr>
      </w:pPr>
      <w:bookmarkStart w:id="15" w:name="page43"/>
      <w:bookmarkEnd w:id="15"/>
    </w:p>
    <w:p w14:paraId="4F372177">
      <w:pPr>
        <w:widowControl w:val="0"/>
        <w:tabs>
          <w:tab w:val="left" w:pos="5440"/>
        </w:tabs>
        <w:spacing w:line="239" w:lineRule="exact"/>
        <w:ind w:left="5040"/>
        <w:rPr>
          <w:rFonts w:hint="eastAsia" w:ascii="MS PGothic" w:hAnsi="MS PGothic" w:eastAsiaTheme="minorEastAsia"/>
          <w:color w:val="auto"/>
          <w:sz w:val="21"/>
          <w:highlight w:val="none"/>
        </w:rPr>
      </w:pPr>
      <w:r>
        <w:rPr>
          <w:rFonts w:ascii="宋体" w:hAnsi="宋体"/>
          <w:color w:val="auto"/>
          <w:sz w:val="21"/>
          <w:highlight w:val="none"/>
        </w:rPr>
        <w:t>日</w:t>
      </w:r>
      <w:r>
        <w:rPr>
          <w:rFonts w:eastAsia="Times New Roman"/>
          <w:color w:val="auto"/>
          <w:highlight w:val="none"/>
        </w:rPr>
        <w:tab/>
      </w:r>
      <w:r>
        <w:rPr>
          <w:rFonts w:ascii="宋体" w:hAnsi="宋体"/>
          <w:color w:val="auto"/>
          <w:sz w:val="21"/>
          <w:highlight w:val="none"/>
        </w:rPr>
        <w:t>期</w:t>
      </w:r>
      <w:r>
        <w:rPr>
          <w:rFonts w:ascii="MS PGothic" w:hAnsi="MS PGothic" w:eastAsia="MS PGothic"/>
          <w:color w:val="auto"/>
          <w:sz w:val="21"/>
          <w:highlight w:val="none"/>
        </w:rPr>
        <w:t>：</w:t>
      </w:r>
    </w:p>
    <w:p w14:paraId="73A29C54">
      <w:pPr>
        <w:pStyle w:val="6"/>
        <w:widowControl w:val="0"/>
        <w:spacing w:after="0"/>
        <w:rPr>
          <w:rFonts w:eastAsiaTheme="minorEastAsia"/>
          <w:color w:val="auto"/>
          <w:highlight w:val="none"/>
        </w:rPr>
      </w:pPr>
    </w:p>
    <w:p w14:paraId="0D7D0815">
      <w:pPr>
        <w:pStyle w:val="6"/>
        <w:widowControl w:val="0"/>
        <w:spacing w:after="0"/>
        <w:rPr>
          <w:rFonts w:eastAsiaTheme="minorEastAsia"/>
          <w:color w:val="auto"/>
          <w:highlight w:val="none"/>
        </w:rPr>
      </w:pPr>
    </w:p>
    <w:p w14:paraId="3B4A2FF5">
      <w:pPr>
        <w:pStyle w:val="6"/>
        <w:widowControl w:val="0"/>
        <w:spacing w:after="0"/>
        <w:rPr>
          <w:rFonts w:eastAsiaTheme="minorEastAsia"/>
          <w:color w:val="auto"/>
          <w:highlight w:val="none"/>
        </w:rPr>
      </w:pPr>
    </w:p>
    <w:p w14:paraId="0E0C7793">
      <w:pPr>
        <w:pStyle w:val="6"/>
        <w:widowControl w:val="0"/>
        <w:spacing w:after="0"/>
        <w:rPr>
          <w:rFonts w:eastAsiaTheme="minorEastAsia"/>
          <w:color w:val="auto"/>
          <w:highlight w:val="none"/>
        </w:rPr>
      </w:pPr>
    </w:p>
    <w:p w14:paraId="6C77DE51">
      <w:pPr>
        <w:pStyle w:val="6"/>
        <w:widowControl w:val="0"/>
        <w:spacing w:after="0"/>
        <w:rPr>
          <w:color w:val="auto"/>
          <w:highlight w:val="none"/>
        </w:rPr>
      </w:pPr>
    </w:p>
    <w:p w14:paraId="47649C64">
      <w:pPr>
        <w:widowControl w:val="0"/>
        <w:spacing w:line="0" w:lineRule="atLeast"/>
        <w:ind w:left="2700"/>
        <w:rPr>
          <w:rFonts w:hint="eastAsia" w:ascii="宋体" w:hAnsi="宋体"/>
          <w:color w:val="auto"/>
          <w:sz w:val="28"/>
          <w:highlight w:val="none"/>
        </w:rPr>
      </w:pPr>
      <w:r>
        <w:rPr>
          <w:rFonts w:ascii="宋体" w:hAnsi="宋体"/>
          <w:color w:val="auto"/>
          <w:sz w:val="28"/>
          <w:highlight w:val="none"/>
        </w:rPr>
        <w:t>属于监狱企业的证明文件</w:t>
      </w:r>
    </w:p>
    <w:p w14:paraId="1A93287C">
      <w:pPr>
        <w:widowControl w:val="0"/>
        <w:spacing w:line="259" w:lineRule="exact"/>
        <w:rPr>
          <w:rFonts w:eastAsia="Times New Roman"/>
          <w:color w:val="auto"/>
          <w:highlight w:val="none"/>
        </w:rPr>
      </w:pPr>
    </w:p>
    <w:p w14:paraId="7C85E54C">
      <w:pPr>
        <w:widowControl w:val="0"/>
        <w:spacing w:line="255" w:lineRule="exact"/>
        <w:rPr>
          <w:rFonts w:hint="eastAsia" w:ascii="宋体" w:hAnsi="宋体"/>
          <w:color w:val="auto"/>
          <w:sz w:val="21"/>
          <w:highlight w:val="none"/>
        </w:rPr>
      </w:pPr>
      <w:r>
        <w:rPr>
          <w:rFonts w:ascii="MS PGothic" w:hAnsi="MS PGothic" w:eastAsia="MS PGothic"/>
          <w:color w:val="auto"/>
          <w:sz w:val="21"/>
          <w:highlight w:val="none"/>
        </w:rPr>
        <w:t>（</w:t>
      </w:r>
      <w:r>
        <w:rPr>
          <w:rFonts w:ascii="宋体" w:hAnsi="宋体"/>
          <w:color w:val="auto"/>
          <w:sz w:val="21"/>
          <w:highlight w:val="none"/>
        </w:rPr>
        <w:t>提供由省级以上监狱管理局、戒毒管理局</w:t>
      </w:r>
      <w:r>
        <w:rPr>
          <w:rFonts w:ascii="Arial" w:hAnsi="Arial" w:eastAsia="Arial"/>
          <w:color w:val="auto"/>
          <w:sz w:val="21"/>
          <w:highlight w:val="none"/>
        </w:rPr>
        <w:t>(</w:t>
      </w:r>
      <w:r>
        <w:rPr>
          <w:rFonts w:ascii="宋体" w:hAnsi="宋体"/>
          <w:color w:val="auto"/>
          <w:sz w:val="21"/>
          <w:highlight w:val="none"/>
        </w:rPr>
        <w:t>含新疆生产建设兵团</w:t>
      </w:r>
      <w:r>
        <w:rPr>
          <w:rFonts w:ascii="Arial" w:hAnsi="Arial" w:eastAsia="Arial"/>
          <w:color w:val="auto"/>
          <w:sz w:val="21"/>
          <w:highlight w:val="none"/>
        </w:rPr>
        <w:t>)</w:t>
      </w:r>
      <w:r>
        <w:rPr>
          <w:rFonts w:ascii="宋体" w:hAnsi="宋体"/>
          <w:color w:val="auto"/>
          <w:sz w:val="21"/>
          <w:highlight w:val="none"/>
        </w:rPr>
        <w:t>出具的属于监狱企业的证明</w:t>
      </w:r>
    </w:p>
    <w:p w14:paraId="06B9A701">
      <w:pPr>
        <w:widowControl w:val="0"/>
        <w:spacing w:line="231" w:lineRule="exact"/>
        <w:rPr>
          <w:rFonts w:eastAsia="Times New Roman"/>
          <w:color w:val="auto"/>
          <w:highlight w:val="none"/>
        </w:rPr>
      </w:pPr>
    </w:p>
    <w:p w14:paraId="53F6ABA5">
      <w:pPr>
        <w:widowControl w:val="0"/>
        <w:spacing w:line="239" w:lineRule="exact"/>
        <w:rPr>
          <w:rFonts w:hint="eastAsia" w:ascii="MS PGothic" w:hAnsi="MS PGothic" w:eastAsia="MS PGothic"/>
          <w:color w:val="auto"/>
          <w:sz w:val="21"/>
          <w:highlight w:val="none"/>
        </w:rPr>
      </w:pPr>
      <w:r>
        <w:rPr>
          <w:rFonts w:ascii="宋体" w:hAnsi="宋体"/>
          <w:color w:val="auto"/>
          <w:sz w:val="21"/>
          <w:highlight w:val="none"/>
        </w:rPr>
        <w:t>文件</w:t>
      </w:r>
      <w:r>
        <w:rPr>
          <w:rFonts w:ascii="MS PGothic" w:hAnsi="MS PGothic" w:eastAsia="MS PGothic"/>
          <w:color w:val="auto"/>
          <w:sz w:val="21"/>
          <w:highlight w:val="none"/>
        </w:rPr>
        <w:t>）</w:t>
      </w:r>
    </w:p>
    <w:p w14:paraId="2331BEBD">
      <w:pPr>
        <w:widowControl w:val="0"/>
        <w:spacing w:line="200" w:lineRule="exact"/>
        <w:rPr>
          <w:rFonts w:eastAsia="Times New Roman"/>
          <w:color w:val="auto"/>
          <w:highlight w:val="none"/>
        </w:rPr>
      </w:pPr>
    </w:p>
    <w:p w14:paraId="7C593E87">
      <w:pPr>
        <w:widowControl w:val="0"/>
        <w:spacing w:line="200" w:lineRule="exact"/>
        <w:rPr>
          <w:rFonts w:eastAsia="Times New Roman"/>
          <w:color w:val="auto"/>
          <w:highlight w:val="none"/>
        </w:rPr>
      </w:pPr>
    </w:p>
    <w:p w14:paraId="7B3A2124">
      <w:pPr>
        <w:widowControl w:val="0"/>
        <w:spacing w:line="200" w:lineRule="exact"/>
        <w:rPr>
          <w:rFonts w:eastAsia="Times New Roman"/>
          <w:color w:val="auto"/>
          <w:highlight w:val="none"/>
        </w:rPr>
      </w:pPr>
    </w:p>
    <w:p w14:paraId="4826C5C0">
      <w:pPr>
        <w:widowControl w:val="0"/>
        <w:spacing w:line="200" w:lineRule="exact"/>
        <w:rPr>
          <w:rFonts w:eastAsia="Times New Roman"/>
          <w:color w:val="auto"/>
          <w:highlight w:val="none"/>
        </w:rPr>
      </w:pPr>
    </w:p>
    <w:p w14:paraId="03B9FA9A">
      <w:pPr>
        <w:widowControl w:val="0"/>
        <w:spacing w:line="200" w:lineRule="exact"/>
        <w:rPr>
          <w:rFonts w:eastAsia="Times New Roman"/>
          <w:color w:val="auto"/>
          <w:highlight w:val="none"/>
        </w:rPr>
      </w:pPr>
    </w:p>
    <w:p w14:paraId="228C59C4">
      <w:pPr>
        <w:widowControl w:val="0"/>
        <w:spacing w:line="200" w:lineRule="exact"/>
        <w:rPr>
          <w:rFonts w:eastAsia="Times New Roman"/>
          <w:color w:val="auto"/>
          <w:highlight w:val="none"/>
        </w:rPr>
      </w:pPr>
    </w:p>
    <w:p w14:paraId="7C7EF778">
      <w:pPr>
        <w:widowControl w:val="0"/>
        <w:spacing w:line="200" w:lineRule="exact"/>
        <w:rPr>
          <w:rFonts w:eastAsia="Times New Roman"/>
          <w:color w:val="auto"/>
          <w:highlight w:val="none"/>
        </w:rPr>
      </w:pPr>
    </w:p>
    <w:p w14:paraId="6ED0E6CF">
      <w:pPr>
        <w:widowControl w:val="0"/>
        <w:spacing w:line="200" w:lineRule="exact"/>
        <w:rPr>
          <w:rFonts w:eastAsia="Times New Roman"/>
          <w:color w:val="auto"/>
          <w:highlight w:val="none"/>
        </w:rPr>
      </w:pPr>
    </w:p>
    <w:p w14:paraId="0FD7B282">
      <w:pPr>
        <w:widowControl w:val="0"/>
        <w:spacing w:line="200" w:lineRule="exact"/>
        <w:rPr>
          <w:rFonts w:eastAsia="Times New Roman"/>
          <w:color w:val="auto"/>
          <w:highlight w:val="none"/>
        </w:rPr>
      </w:pPr>
    </w:p>
    <w:p w14:paraId="700722CB">
      <w:pPr>
        <w:widowControl w:val="0"/>
        <w:spacing w:line="331" w:lineRule="exact"/>
        <w:rPr>
          <w:rFonts w:eastAsia="Times New Roman"/>
          <w:color w:val="auto"/>
          <w:highlight w:val="none"/>
        </w:rPr>
      </w:pPr>
    </w:p>
    <w:p w14:paraId="10E87889">
      <w:pPr>
        <w:widowControl w:val="0"/>
        <w:spacing w:line="0" w:lineRule="atLeast"/>
        <w:ind w:left="3140"/>
        <w:rPr>
          <w:rFonts w:hint="eastAsia" w:ascii="宋体" w:hAnsi="宋体"/>
          <w:color w:val="auto"/>
          <w:sz w:val="28"/>
          <w:highlight w:val="none"/>
        </w:rPr>
      </w:pPr>
      <w:r>
        <w:rPr>
          <w:rFonts w:ascii="宋体" w:hAnsi="宋体"/>
          <w:color w:val="auto"/>
          <w:sz w:val="28"/>
          <w:highlight w:val="none"/>
        </w:rPr>
        <w:t>节能产品认证证书</w:t>
      </w:r>
    </w:p>
    <w:p w14:paraId="13861C2A">
      <w:pPr>
        <w:widowControl w:val="0"/>
        <w:spacing w:line="274" w:lineRule="exact"/>
        <w:rPr>
          <w:rFonts w:eastAsia="Times New Roman"/>
          <w:color w:val="auto"/>
          <w:highlight w:val="none"/>
        </w:rPr>
      </w:pPr>
    </w:p>
    <w:p w14:paraId="10F82CBF">
      <w:pPr>
        <w:widowControl w:val="0"/>
        <w:spacing w:line="239" w:lineRule="exact"/>
        <w:rPr>
          <w:rFonts w:hint="eastAsia" w:ascii="MS PGothic" w:hAnsi="MS PGothic" w:eastAsia="MS PGothic"/>
          <w:color w:val="auto"/>
          <w:sz w:val="21"/>
          <w:highlight w:val="none"/>
        </w:rPr>
      </w:pPr>
      <w:r>
        <w:rPr>
          <w:rFonts w:ascii="MS PGothic" w:hAnsi="MS PGothic" w:eastAsia="MS PGothic"/>
          <w:color w:val="auto"/>
          <w:sz w:val="21"/>
          <w:highlight w:val="none"/>
        </w:rPr>
        <w:t>（</w:t>
      </w:r>
      <w:r>
        <w:rPr>
          <w:rFonts w:ascii="宋体" w:hAnsi="宋体"/>
          <w:color w:val="auto"/>
          <w:sz w:val="21"/>
          <w:highlight w:val="none"/>
        </w:rPr>
        <w:t>提供国家确定的认证机构出具的、处于有效期之内的产品认证证书</w:t>
      </w:r>
      <w:r>
        <w:rPr>
          <w:rFonts w:ascii="MS PGothic" w:hAnsi="MS PGothic" w:eastAsia="MS PGothic"/>
          <w:color w:val="auto"/>
          <w:sz w:val="21"/>
          <w:highlight w:val="none"/>
        </w:rPr>
        <w:t>）</w:t>
      </w:r>
    </w:p>
    <w:p w14:paraId="5D5C138E">
      <w:pPr>
        <w:widowControl w:val="0"/>
        <w:spacing w:line="200" w:lineRule="exact"/>
        <w:rPr>
          <w:rFonts w:eastAsia="Times New Roman"/>
          <w:color w:val="auto"/>
          <w:highlight w:val="none"/>
        </w:rPr>
      </w:pPr>
    </w:p>
    <w:p w14:paraId="1800B252">
      <w:pPr>
        <w:widowControl w:val="0"/>
        <w:spacing w:line="200" w:lineRule="exact"/>
        <w:rPr>
          <w:rFonts w:eastAsia="Times New Roman"/>
          <w:color w:val="auto"/>
          <w:highlight w:val="none"/>
        </w:rPr>
      </w:pPr>
    </w:p>
    <w:p w14:paraId="79389233">
      <w:pPr>
        <w:widowControl w:val="0"/>
        <w:spacing w:line="200" w:lineRule="exact"/>
        <w:rPr>
          <w:rFonts w:eastAsia="Times New Roman"/>
          <w:color w:val="auto"/>
          <w:highlight w:val="none"/>
        </w:rPr>
      </w:pPr>
    </w:p>
    <w:p w14:paraId="2FFF3C0D">
      <w:pPr>
        <w:widowControl w:val="0"/>
        <w:spacing w:line="200" w:lineRule="exact"/>
        <w:rPr>
          <w:rFonts w:eastAsia="Times New Roman"/>
          <w:color w:val="auto"/>
          <w:highlight w:val="none"/>
        </w:rPr>
      </w:pPr>
    </w:p>
    <w:p w14:paraId="568A9FEC">
      <w:pPr>
        <w:widowControl w:val="0"/>
        <w:spacing w:line="200" w:lineRule="exact"/>
        <w:rPr>
          <w:rFonts w:eastAsia="Times New Roman"/>
          <w:color w:val="auto"/>
          <w:highlight w:val="none"/>
        </w:rPr>
      </w:pPr>
    </w:p>
    <w:p w14:paraId="563F6A28">
      <w:pPr>
        <w:widowControl w:val="0"/>
        <w:spacing w:line="200" w:lineRule="exact"/>
        <w:rPr>
          <w:rFonts w:eastAsia="Times New Roman"/>
          <w:color w:val="auto"/>
          <w:highlight w:val="none"/>
        </w:rPr>
      </w:pPr>
    </w:p>
    <w:p w14:paraId="48ACD672">
      <w:pPr>
        <w:widowControl w:val="0"/>
        <w:spacing w:line="200" w:lineRule="exact"/>
        <w:rPr>
          <w:rFonts w:eastAsia="Times New Roman"/>
          <w:color w:val="auto"/>
          <w:highlight w:val="none"/>
        </w:rPr>
      </w:pPr>
    </w:p>
    <w:p w14:paraId="3CD3FD7B">
      <w:pPr>
        <w:widowControl w:val="0"/>
        <w:spacing w:line="335" w:lineRule="exact"/>
        <w:rPr>
          <w:rFonts w:eastAsia="Times New Roman"/>
          <w:color w:val="auto"/>
          <w:highlight w:val="none"/>
        </w:rPr>
      </w:pPr>
    </w:p>
    <w:p w14:paraId="7822CEFF">
      <w:pPr>
        <w:widowControl w:val="0"/>
        <w:spacing w:line="0" w:lineRule="atLeast"/>
        <w:ind w:left="2840"/>
        <w:rPr>
          <w:rFonts w:hint="eastAsia" w:ascii="宋体" w:hAnsi="宋体"/>
          <w:color w:val="auto"/>
          <w:sz w:val="28"/>
          <w:highlight w:val="none"/>
        </w:rPr>
      </w:pPr>
      <w:r>
        <w:rPr>
          <w:rFonts w:ascii="宋体" w:hAnsi="宋体"/>
          <w:color w:val="auto"/>
          <w:sz w:val="28"/>
          <w:highlight w:val="none"/>
        </w:rPr>
        <w:t>环境标志产品认证证书</w:t>
      </w:r>
    </w:p>
    <w:p w14:paraId="759DCA1C">
      <w:pPr>
        <w:widowControl w:val="0"/>
        <w:spacing w:line="274" w:lineRule="exact"/>
        <w:rPr>
          <w:rFonts w:eastAsia="Times New Roman"/>
          <w:color w:val="auto"/>
          <w:highlight w:val="none"/>
        </w:rPr>
      </w:pPr>
    </w:p>
    <w:p w14:paraId="209BDDD6">
      <w:pPr>
        <w:widowControl w:val="0"/>
        <w:spacing w:line="239" w:lineRule="exact"/>
        <w:rPr>
          <w:rFonts w:hint="eastAsia" w:ascii="MS PGothic" w:hAnsi="MS PGothic"/>
          <w:color w:val="auto"/>
          <w:sz w:val="21"/>
          <w:highlight w:val="none"/>
        </w:rPr>
      </w:pPr>
      <w:r>
        <w:rPr>
          <w:rFonts w:ascii="MS PGothic" w:hAnsi="MS PGothic" w:eastAsia="MS PGothic"/>
          <w:color w:val="auto"/>
          <w:sz w:val="21"/>
          <w:highlight w:val="none"/>
        </w:rPr>
        <w:t>（</w:t>
      </w:r>
      <w:r>
        <w:rPr>
          <w:rFonts w:ascii="宋体" w:hAnsi="宋体"/>
          <w:color w:val="auto"/>
          <w:sz w:val="21"/>
          <w:highlight w:val="none"/>
        </w:rPr>
        <w:t>提供国家确定的认证机构出具的、处于有效期之内的产品认证证书</w:t>
      </w:r>
      <w:r>
        <w:rPr>
          <w:rFonts w:ascii="MS PGothic" w:hAnsi="MS PGothic" w:eastAsia="MS PGothic"/>
          <w:color w:val="auto"/>
          <w:sz w:val="21"/>
          <w:highlight w:val="none"/>
        </w:rPr>
        <w:t>）</w:t>
      </w:r>
    </w:p>
    <w:p w14:paraId="208B09EC">
      <w:pPr>
        <w:rPr>
          <w:rFonts w:hint="eastAsia" w:ascii="宋体" w:hAnsi="宋体" w:cs="宋体"/>
          <w:b/>
          <w:color w:val="auto"/>
          <w:sz w:val="31"/>
          <w:szCs w:val="31"/>
          <w:highlight w:val="none"/>
        </w:rPr>
      </w:pPr>
      <w:r>
        <w:rPr>
          <w:rFonts w:ascii="宋体" w:hAnsi="宋体" w:cs="宋体"/>
          <w:b/>
          <w:color w:val="auto"/>
          <w:sz w:val="31"/>
          <w:szCs w:val="31"/>
          <w:highlight w:val="none"/>
        </w:rPr>
        <w:br w:type="page"/>
      </w:r>
    </w:p>
    <w:p w14:paraId="65C385D0">
      <w:pPr>
        <w:rPr>
          <w:rFonts w:hint="eastAsia" w:ascii="宋体" w:hAnsi="宋体"/>
          <w:color w:val="auto"/>
          <w:sz w:val="21"/>
          <w:szCs w:val="21"/>
          <w:highlight w:val="none"/>
        </w:rPr>
      </w:pPr>
      <w:r>
        <w:rPr>
          <w:rFonts w:ascii="宋体" w:hAnsi="宋体" w:cs="宋体"/>
          <w:b/>
          <w:color w:val="auto"/>
          <w:sz w:val="31"/>
          <w:szCs w:val="31"/>
          <w:highlight w:val="none"/>
        </w:rPr>
        <w:t>附件十</w:t>
      </w:r>
      <w:r>
        <w:rPr>
          <w:rFonts w:hint="eastAsia" w:ascii="宋体" w:hAnsi="宋体" w:cs="宋体"/>
          <w:b/>
          <w:color w:val="auto"/>
          <w:sz w:val="31"/>
          <w:szCs w:val="31"/>
          <w:highlight w:val="none"/>
        </w:rPr>
        <w:t>二</w:t>
      </w:r>
      <w:r>
        <w:rPr>
          <w:rFonts w:ascii="宋体" w:hAnsi="宋体" w:cs="宋体"/>
          <w:b/>
          <w:color w:val="auto"/>
          <w:sz w:val="31"/>
          <w:szCs w:val="31"/>
          <w:highlight w:val="none"/>
        </w:rPr>
        <w:t>、</w:t>
      </w:r>
      <w:r>
        <w:rPr>
          <w:rFonts w:cs="宋体"/>
          <w:b/>
          <w:color w:val="auto"/>
          <w:sz w:val="31"/>
          <w:szCs w:val="31"/>
          <w:highlight w:val="none"/>
        </w:rPr>
        <w:t>其他证明文件及材料</w:t>
      </w:r>
      <w:r>
        <w:rPr>
          <w:rFonts w:hint="eastAsia" w:cs="宋体"/>
          <w:b/>
          <w:color w:val="auto"/>
          <w:sz w:val="31"/>
          <w:szCs w:val="31"/>
          <w:highlight w:val="none"/>
        </w:rPr>
        <w:t>（若有）</w:t>
      </w:r>
    </w:p>
    <w:p w14:paraId="3576EFF6">
      <w:pPr>
        <w:rPr>
          <w:color w:val="auto"/>
          <w:highlight w:val="none"/>
        </w:rPr>
      </w:pPr>
    </w:p>
    <w:sectPr>
      <w:pgSz w:w="11906" w:h="16838"/>
      <w:pgMar w:top="1213" w:right="1066" w:bottom="1100" w:left="112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Neue">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 w:name="time">
    <w:altName w:val="Times New Roman"/>
    <w:panose1 w:val="00000000000000000000"/>
    <w:charset w:val="00"/>
    <w:family w:val="auto"/>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71396">
    <w:pPr>
      <w:pStyle w:val="9"/>
    </w:pPr>
  </w:p>
  <w:p w14:paraId="50AC6CF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64874">
    <w:pPr>
      <w:pStyle w:val="9"/>
      <w:tabs>
        <w:tab w:val="left" w:pos="7032"/>
        <w:tab w:val="clear" w:pos="4153"/>
      </w:tabs>
      <w:rPr>
        <w:rStyle w:val="27"/>
        <w:rFonts w:asci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22680" cy="147955"/>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122477" cy="14823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6CDD9">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2" o:spid="_x0000_s1026" o:spt="202" type="#_x0000_t202" style="position:absolute;left:0pt;margin-top:0pt;height:11.65pt;width:88.4pt;mso-position-horizontal:center;mso-position-horizontal-relative:margin;z-index:251660288;mso-width-relative:page;mso-height-relative:page;" filled="f" stroked="f" coordsize="21600,21600" o:gfxdata="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a2cyH0wAAAAQBAAAPAAAAAAAAAAEAIAAAACIAAABkcnMvZG93bnJl&#10;di54bWxQSwECFAAUAAAACACHTuJATBP7IzsCAABkBAAADgAAAAAAAAABACAAAAAiAQAAZHJzL2Uy&#10;b0RvYy54bWxQSwUGAAAAAAYABgBZAQAAzwUAAAAA&#10;">
              <v:fill on="f" focussize="0,0"/>
              <v:stroke on="f" weight="0.5pt"/>
              <v:imagedata o:title=""/>
              <o:lock v:ext="edit" aspectratio="f"/>
              <v:textbox inset="0mm,0mm,0mm,0mm">
                <w:txbxContent>
                  <w:p w14:paraId="2F26CDD9">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r>
      <w:rPr>
        <w:rStyle w:val="27"/>
        <w:rFonts w:hint="eastAsia" w:ascii="宋体"/>
        <w:sz w:val="24"/>
      </w:rPr>
      <w:tab/>
    </w:r>
  </w:p>
  <w:p w14:paraId="5C0F21CC">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2800B">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C1D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BmfhYg2AgAAYwQAAA4AAAAAAAAAAQAgAAAAHwEAAGRycy9lMm9Eb2MueG1s&#10;UEsFBgAAAAAGAAYAWQEAAMcFAAAAAA==&#10;">
              <v:fill on="f" focussize="0,0"/>
              <v:stroke on="f" weight="0.5pt"/>
              <v:imagedata o:title=""/>
              <o:lock v:ext="edit" aspectratio="f"/>
              <v:textbox inset="0mm,0mm,0mm,0mm" style="mso-fit-shape-to-text:t;">
                <w:txbxContent>
                  <w:p w14:paraId="0B8C1D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1049E">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57619">
                          <w:pPr>
                            <w:pStyle w:val="9"/>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Nx5Y3AgAAYwQAAA4AAABkcnMvZTJvRG9jLnhtbK1UwW4TMRC9I/EP&#10;lu900xaq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nPObPCoOH7b1/3&#10;33/uf3xhL5M8nQszRK0d4mL/mnoMzXgf0uWme0cV3oltpKxBX3uTtAA7hmhIvTtKrfrIZIKYnk2n&#10;E7gkfOMHshViNj53PsQ3igxLRsk9epnhxcMqxCF0DEnZLC1brXM/tWVdyS/OX03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TjceWNwIAAGMEAAAOAAAAAAAAAAEAIAAAAB8BAABkcnMvZTJvRG9jLnht&#10;bFBLBQYAAAAABgAGAFkBAADIBQAAAAA=&#10;">
              <v:fill on="f" focussize="0,0"/>
              <v:stroke on="f" weight="0.5pt"/>
              <v:imagedata o:title=""/>
              <o:lock v:ext="edit" aspectratio="f"/>
              <v:textbox inset="0mm,0mm,0mm,0mm" style="mso-fit-shape-to-text:t;">
                <w:txbxContent>
                  <w:p w14:paraId="2AA57619">
                    <w:pPr>
                      <w:pStyle w:val="9"/>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33ADECB1">
                          <w:pPr>
                            <w:pStyle w:val="9"/>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gIrEXNYBAACxAwAADgAAAAAAAAABACAAAAAe&#10;AQAAZHJzL2Uyb0RvYy54bWxQSwUGAAAAAAYABgBZAQAAZgUAAAAA&#10;">
              <v:fill on="f" focussize="0,0"/>
              <v:stroke on="f" joinstyle="miter"/>
              <v:imagedata o:title=""/>
              <o:lock v:ext="edit" aspectratio="f"/>
              <v:textbox inset="0mm,0mm,0mm,0mm" style="mso-fit-shape-to-text:t;">
                <w:txbxContent>
                  <w:p w14:paraId="33ADECB1">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DEBB8">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41983">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891C7">
    <w:pPr>
      <w:pStyle w:val="1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599D2">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suff w:val="nothing"/>
      <w:lvlText w:val="（%1）"/>
      <w:lvlJc w:val="left"/>
    </w:lvl>
    <w:lvl w:ilvl="1" w:tentative="0">
      <w:start w:val="1"/>
      <w:numFmt w:val="bullet"/>
      <w:lvlText w:val="o"/>
      <w:lvlJc w:val="left"/>
      <w:pPr>
        <w:ind w:left="1723" w:hanging="360"/>
      </w:pPr>
      <w:rPr>
        <w:rFonts w:hint="default" w:ascii="Courier New" w:hAnsi="Courier New" w:eastAsia="Courier New" w:cs="Courier New"/>
      </w:rPr>
    </w:lvl>
    <w:lvl w:ilvl="2" w:tentative="0">
      <w:start w:val="1"/>
      <w:numFmt w:val="bullet"/>
      <w:lvlText w:val="§"/>
      <w:lvlJc w:val="left"/>
      <w:pPr>
        <w:ind w:left="2443" w:hanging="360"/>
      </w:pPr>
      <w:rPr>
        <w:rFonts w:hint="default" w:ascii="Wingdings" w:hAnsi="Wingdings" w:eastAsia="Wingdings" w:cs="Wingdings"/>
      </w:rPr>
    </w:lvl>
    <w:lvl w:ilvl="3" w:tentative="0">
      <w:start w:val="1"/>
      <w:numFmt w:val="bullet"/>
      <w:lvlText w:val="·"/>
      <w:lvlJc w:val="left"/>
      <w:pPr>
        <w:ind w:left="3163" w:hanging="360"/>
      </w:pPr>
      <w:rPr>
        <w:rFonts w:hint="default" w:ascii="Symbol" w:hAnsi="Symbol" w:eastAsia="Symbol" w:cs="Symbol"/>
      </w:rPr>
    </w:lvl>
    <w:lvl w:ilvl="4" w:tentative="0">
      <w:start w:val="1"/>
      <w:numFmt w:val="bullet"/>
      <w:lvlText w:val="o"/>
      <w:lvlJc w:val="left"/>
      <w:pPr>
        <w:ind w:left="3883" w:hanging="360"/>
      </w:pPr>
      <w:rPr>
        <w:rFonts w:hint="default" w:ascii="Courier New" w:hAnsi="Courier New" w:eastAsia="Courier New" w:cs="Courier New"/>
      </w:rPr>
    </w:lvl>
    <w:lvl w:ilvl="5" w:tentative="0">
      <w:start w:val="1"/>
      <w:numFmt w:val="bullet"/>
      <w:lvlText w:val="§"/>
      <w:lvlJc w:val="left"/>
      <w:pPr>
        <w:ind w:left="4603" w:hanging="360"/>
      </w:pPr>
      <w:rPr>
        <w:rFonts w:hint="default" w:ascii="Wingdings" w:hAnsi="Wingdings" w:eastAsia="Wingdings" w:cs="Wingdings"/>
      </w:rPr>
    </w:lvl>
    <w:lvl w:ilvl="6" w:tentative="0">
      <w:start w:val="1"/>
      <w:numFmt w:val="bullet"/>
      <w:lvlText w:val="·"/>
      <w:lvlJc w:val="left"/>
      <w:pPr>
        <w:ind w:left="5323" w:hanging="360"/>
      </w:pPr>
      <w:rPr>
        <w:rFonts w:hint="default" w:ascii="Symbol" w:hAnsi="Symbol" w:eastAsia="Symbol" w:cs="Symbol"/>
      </w:rPr>
    </w:lvl>
    <w:lvl w:ilvl="7" w:tentative="0">
      <w:start w:val="1"/>
      <w:numFmt w:val="bullet"/>
      <w:lvlText w:val="o"/>
      <w:lvlJc w:val="left"/>
      <w:pPr>
        <w:ind w:left="6043" w:hanging="360"/>
      </w:pPr>
      <w:rPr>
        <w:rFonts w:hint="default" w:ascii="Courier New" w:hAnsi="Courier New" w:eastAsia="Courier New" w:cs="Courier New"/>
      </w:rPr>
    </w:lvl>
    <w:lvl w:ilvl="8" w:tentative="0">
      <w:start w:val="1"/>
      <w:numFmt w:val="bullet"/>
      <w:lvlText w:val="§"/>
      <w:lvlJc w:val="left"/>
      <w:pPr>
        <w:ind w:left="6763" w:hanging="360"/>
      </w:pPr>
      <w:rPr>
        <w:rFonts w:hint="default" w:ascii="Wingdings" w:hAnsi="Wingdings" w:eastAsia="Wingdings" w:cs="Wingdings"/>
      </w:rPr>
    </w:lvl>
  </w:abstractNum>
  <w:abstractNum w:abstractNumId="1">
    <w:nsid w:val="CF092B84"/>
    <w:multiLevelType w:val="multilevel"/>
    <w:tmpl w:val="CF092B84"/>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japaneseCounting"/>
      <w:lvlText w:val="第%1章"/>
      <w:lvlJc w:val="left"/>
      <w:pPr>
        <w:ind w:left="1440" w:hanging="1440"/>
      </w:pPr>
      <w:rPr>
        <w:rFonts w:hint="default" w:asci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48C179"/>
    <w:multiLevelType w:val="multilevel"/>
    <w:tmpl w:val="0248C179"/>
    <w:lvl w:ilvl="0" w:tentative="0">
      <w:start w:val="1"/>
      <w:numFmt w:val="decimal"/>
      <w:suff w:val="nothing"/>
      <w:lvlText w:val="%1、"/>
      <w:lvlJc w:val="left"/>
    </w:lvl>
    <w:lvl w:ilvl="1" w:tentative="0">
      <w:start w:val="1"/>
      <w:numFmt w:val="bullet"/>
      <w:lvlText w:val="o"/>
      <w:lvlJc w:val="left"/>
      <w:pPr>
        <w:ind w:left="2291" w:hanging="360"/>
      </w:pPr>
      <w:rPr>
        <w:rFonts w:hint="default" w:ascii="Courier New" w:hAnsi="Courier New" w:eastAsia="Courier New" w:cs="Courier New"/>
      </w:rPr>
    </w:lvl>
    <w:lvl w:ilvl="2" w:tentative="0">
      <w:start w:val="1"/>
      <w:numFmt w:val="bullet"/>
      <w:lvlText w:val="§"/>
      <w:lvlJc w:val="left"/>
      <w:pPr>
        <w:ind w:left="3011" w:hanging="360"/>
      </w:pPr>
      <w:rPr>
        <w:rFonts w:hint="default" w:ascii="Wingdings" w:hAnsi="Wingdings" w:eastAsia="Wingdings" w:cs="Wingdings"/>
      </w:rPr>
    </w:lvl>
    <w:lvl w:ilvl="3" w:tentative="0">
      <w:start w:val="1"/>
      <w:numFmt w:val="bullet"/>
      <w:lvlText w:val="·"/>
      <w:lvlJc w:val="left"/>
      <w:pPr>
        <w:ind w:left="3731" w:hanging="360"/>
      </w:pPr>
      <w:rPr>
        <w:rFonts w:hint="default" w:ascii="Symbol" w:hAnsi="Symbol" w:eastAsia="Symbol" w:cs="Symbol"/>
      </w:rPr>
    </w:lvl>
    <w:lvl w:ilvl="4" w:tentative="0">
      <w:start w:val="1"/>
      <w:numFmt w:val="bullet"/>
      <w:lvlText w:val="o"/>
      <w:lvlJc w:val="left"/>
      <w:pPr>
        <w:ind w:left="4451" w:hanging="360"/>
      </w:pPr>
      <w:rPr>
        <w:rFonts w:hint="default" w:ascii="Courier New" w:hAnsi="Courier New" w:eastAsia="Courier New" w:cs="Courier New"/>
      </w:rPr>
    </w:lvl>
    <w:lvl w:ilvl="5" w:tentative="0">
      <w:start w:val="1"/>
      <w:numFmt w:val="bullet"/>
      <w:lvlText w:val="§"/>
      <w:lvlJc w:val="left"/>
      <w:pPr>
        <w:ind w:left="5171" w:hanging="360"/>
      </w:pPr>
      <w:rPr>
        <w:rFonts w:hint="default" w:ascii="Wingdings" w:hAnsi="Wingdings" w:eastAsia="Wingdings" w:cs="Wingdings"/>
      </w:rPr>
    </w:lvl>
    <w:lvl w:ilvl="6" w:tentative="0">
      <w:start w:val="1"/>
      <w:numFmt w:val="bullet"/>
      <w:lvlText w:val="·"/>
      <w:lvlJc w:val="left"/>
      <w:pPr>
        <w:ind w:left="5891" w:hanging="360"/>
      </w:pPr>
      <w:rPr>
        <w:rFonts w:hint="default" w:ascii="Symbol" w:hAnsi="Symbol" w:eastAsia="Symbol" w:cs="Symbol"/>
      </w:rPr>
    </w:lvl>
    <w:lvl w:ilvl="7" w:tentative="0">
      <w:start w:val="1"/>
      <w:numFmt w:val="bullet"/>
      <w:lvlText w:val="o"/>
      <w:lvlJc w:val="left"/>
      <w:pPr>
        <w:ind w:left="6611" w:hanging="360"/>
      </w:pPr>
      <w:rPr>
        <w:rFonts w:hint="default" w:ascii="Courier New" w:hAnsi="Courier New" w:eastAsia="Courier New" w:cs="Courier New"/>
      </w:rPr>
    </w:lvl>
    <w:lvl w:ilvl="8" w:tentative="0">
      <w:start w:val="1"/>
      <w:numFmt w:val="bullet"/>
      <w:lvlText w:val="§"/>
      <w:lvlJc w:val="left"/>
      <w:pPr>
        <w:ind w:left="7331" w:hanging="360"/>
      </w:pPr>
      <w:rPr>
        <w:rFonts w:hint="default" w:ascii="Wingdings" w:hAnsi="Wingdings" w:eastAsia="Wingdings" w:cs="Wingdings"/>
      </w:rPr>
    </w:lvl>
  </w:abstractNum>
  <w:abstractNum w:abstractNumId="4">
    <w:nsid w:val="03D62ECE"/>
    <w:multiLevelType w:val="multilevel"/>
    <w:tmpl w:val="03D62ECE"/>
    <w:lvl w:ilvl="0" w:tentative="0">
      <w:start w:val="1"/>
      <w:numFmt w:val="decimal"/>
      <w:suff w:val="nothing"/>
      <w:lvlText w:val="（%1）"/>
      <w:lvlJc w:val="left"/>
      <w:pPr>
        <w:ind w:left="-2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59ADCABA"/>
    <w:multiLevelType w:val="multilevel"/>
    <w:tmpl w:val="59ADCABA"/>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182498"/>
    <w:rsid w:val="000C10C0"/>
    <w:rsid w:val="00101661"/>
    <w:rsid w:val="00174068"/>
    <w:rsid w:val="00205BB8"/>
    <w:rsid w:val="00217875"/>
    <w:rsid w:val="00313A0B"/>
    <w:rsid w:val="00406CED"/>
    <w:rsid w:val="004317A2"/>
    <w:rsid w:val="004716F9"/>
    <w:rsid w:val="004E0F32"/>
    <w:rsid w:val="005001A0"/>
    <w:rsid w:val="00557B6B"/>
    <w:rsid w:val="005A2AF7"/>
    <w:rsid w:val="006B3DD3"/>
    <w:rsid w:val="006D5CCD"/>
    <w:rsid w:val="00762AE6"/>
    <w:rsid w:val="00774EA8"/>
    <w:rsid w:val="0082560B"/>
    <w:rsid w:val="00894E20"/>
    <w:rsid w:val="008C744D"/>
    <w:rsid w:val="00977909"/>
    <w:rsid w:val="009A03CA"/>
    <w:rsid w:val="009A1415"/>
    <w:rsid w:val="009C337D"/>
    <w:rsid w:val="00A6550F"/>
    <w:rsid w:val="00AA5966"/>
    <w:rsid w:val="00B479DA"/>
    <w:rsid w:val="00B878C4"/>
    <w:rsid w:val="00C0741A"/>
    <w:rsid w:val="00D64F96"/>
    <w:rsid w:val="00DE6C24"/>
    <w:rsid w:val="00DF31BA"/>
    <w:rsid w:val="00DF63EE"/>
    <w:rsid w:val="00E020EE"/>
    <w:rsid w:val="00E06FAB"/>
    <w:rsid w:val="00E7093C"/>
    <w:rsid w:val="03597303"/>
    <w:rsid w:val="04E251F5"/>
    <w:rsid w:val="05412B75"/>
    <w:rsid w:val="054945C0"/>
    <w:rsid w:val="05BD1762"/>
    <w:rsid w:val="067505B8"/>
    <w:rsid w:val="074F1680"/>
    <w:rsid w:val="07F65A68"/>
    <w:rsid w:val="080F56F5"/>
    <w:rsid w:val="09432938"/>
    <w:rsid w:val="0B7078E0"/>
    <w:rsid w:val="0B982C81"/>
    <w:rsid w:val="0CAF7C88"/>
    <w:rsid w:val="0D9755F8"/>
    <w:rsid w:val="0E06452B"/>
    <w:rsid w:val="0E280AA0"/>
    <w:rsid w:val="0E8A6F0A"/>
    <w:rsid w:val="0FC972B2"/>
    <w:rsid w:val="10401F77"/>
    <w:rsid w:val="11040575"/>
    <w:rsid w:val="11E608FC"/>
    <w:rsid w:val="1329672A"/>
    <w:rsid w:val="134C478E"/>
    <w:rsid w:val="13E72709"/>
    <w:rsid w:val="14691370"/>
    <w:rsid w:val="15EC7278"/>
    <w:rsid w:val="168A5C89"/>
    <w:rsid w:val="1706734A"/>
    <w:rsid w:val="17D64F6F"/>
    <w:rsid w:val="188D1AD1"/>
    <w:rsid w:val="18934C0E"/>
    <w:rsid w:val="18981F1E"/>
    <w:rsid w:val="18D453AF"/>
    <w:rsid w:val="1A317FA7"/>
    <w:rsid w:val="1B1D4C62"/>
    <w:rsid w:val="1B5D0DAF"/>
    <w:rsid w:val="1BA55384"/>
    <w:rsid w:val="1BD143CB"/>
    <w:rsid w:val="1CAB6A1F"/>
    <w:rsid w:val="1CAD0FDF"/>
    <w:rsid w:val="1D8B3A26"/>
    <w:rsid w:val="1EDE7DEF"/>
    <w:rsid w:val="1FD004F5"/>
    <w:rsid w:val="1FED3F10"/>
    <w:rsid w:val="20427645"/>
    <w:rsid w:val="22251172"/>
    <w:rsid w:val="23885E4E"/>
    <w:rsid w:val="23A40E61"/>
    <w:rsid w:val="23DC390D"/>
    <w:rsid w:val="25FE4CF7"/>
    <w:rsid w:val="261A696E"/>
    <w:rsid w:val="26DC3C24"/>
    <w:rsid w:val="26E52A17"/>
    <w:rsid w:val="27202535"/>
    <w:rsid w:val="27F61D57"/>
    <w:rsid w:val="28CF206D"/>
    <w:rsid w:val="28DE3C83"/>
    <w:rsid w:val="29182498"/>
    <w:rsid w:val="296028EA"/>
    <w:rsid w:val="29A91559"/>
    <w:rsid w:val="29CD547A"/>
    <w:rsid w:val="2A057924"/>
    <w:rsid w:val="2A5C7555"/>
    <w:rsid w:val="2AC22630"/>
    <w:rsid w:val="2AE65071"/>
    <w:rsid w:val="2C884632"/>
    <w:rsid w:val="2CF717B7"/>
    <w:rsid w:val="2D482013"/>
    <w:rsid w:val="2D4B351A"/>
    <w:rsid w:val="2D7128EB"/>
    <w:rsid w:val="2E10369C"/>
    <w:rsid w:val="2F1321AD"/>
    <w:rsid w:val="2F594063"/>
    <w:rsid w:val="31903F88"/>
    <w:rsid w:val="32285FB4"/>
    <w:rsid w:val="32326DEE"/>
    <w:rsid w:val="32E36978"/>
    <w:rsid w:val="33A826B7"/>
    <w:rsid w:val="346F49B1"/>
    <w:rsid w:val="34C46423"/>
    <w:rsid w:val="35DB7EC8"/>
    <w:rsid w:val="36085DAB"/>
    <w:rsid w:val="362C03A9"/>
    <w:rsid w:val="369342FF"/>
    <w:rsid w:val="369E5B53"/>
    <w:rsid w:val="38D03858"/>
    <w:rsid w:val="3A217E73"/>
    <w:rsid w:val="3AA12D62"/>
    <w:rsid w:val="3BA775FE"/>
    <w:rsid w:val="3BD153C0"/>
    <w:rsid w:val="3C221C81"/>
    <w:rsid w:val="3C245D0D"/>
    <w:rsid w:val="3C53008C"/>
    <w:rsid w:val="3D393DA0"/>
    <w:rsid w:val="3DAA0EA0"/>
    <w:rsid w:val="3E0D2BA2"/>
    <w:rsid w:val="3EB21F3C"/>
    <w:rsid w:val="3F833841"/>
    <w:rsid w:val="3FB827BD"/>
    <w:rsid w:val="40867523"/>
    <w:rsid w:val="40CF0CEC"/>
    <w:rsid w:val="411950C4"/>
    <w:rsid w:val="41362456"/>
    <w:rsid w:val="419903F2"/>
    <w:rsid w:val="4282748F"/>
    <w:rsid w:val="431F1663"/>
    <w:rsid w:val="43850385"/>
    <w:rsid w:val="443E3333"/>
    <w:rsid w:val="44E6748C"/>
    <w:rsid w:val="44FC7513"/>
    <w:rsid w:val="45FD4C92"/>
    <w:rsid w:val="4740402F"/>
    <w:rsid w:val="49F509D5"/>
    <w:rsid w:val="4A2D4613"/>
    <w:rsid w:val="4BAE7DB3"/>
    <w:rsid w:val="4C2E5F80"/>
    <w:rsid w:val="4C363F95"/>
    <w:rsid w:val="4F560168"/>
    <w:rsid w:val="507B60D8"/>
    <w:rsid w:val="50CC06E1"/>
    <w:rsid w:val="50E377D9"/>
    <w:rsid w:val="52020133"/>
    <w:rsid w:val="52044249"/>
    <w:rsid w:val="522400A9"/>
    <w:rsid w:val="52297A2E"/>
    <w:rsid w:val="52972FCD"/>
    <w:rsid w:val="52B62184"/>
    <w:rsid w:val="533E56A0"/>
    <w:rsid w:val="54AA6F8B"/>
    <w:rsid w:val="54B325D8"/>
    <w:rsid w:val="55150C57"/>
    <w:rsid w:val="5774562F"/>
    <w:rsid w:val="57D32355"/>
    <w:rsid w:val="57F76B8D"/>
    <w:rsid w:val="59442077"/>
    <w:rsid w:val="5A1F4CBC"/>
    <w:rsid w:val="5B4C5A7D"/>
    <w:rsid w:val="5BE978C8"/>
    <w:rsid w:val="5E0A0A9B"/>
    <w:rsid w:val="604069F6"/>
    <w:rsid w:val="60FE0685"/>
    <w:rsid w:val="62477F0C"/>
    <w:rsid w:val="630730B5"/>
    <w:rsid w:val="63247D00"/>
    <w:rsid w:val="64002E23"/>
    <w:rsid w:val="642F4DB7"/>
    <w:rsid w:val="65C634F9"/>
    <w:rsid w:val="66A355E9"/>
    <w:rsid w:val="66A70843"/>
    <w:rsid w:val="67072601"/>
    <w:rsid w:val="69D867F9"/>
    <w:rsid w:val="69E31972"/>
    <w:rsid w:val="6A2D2656"/>
    <w:rsid w:val="6A56037D"/>
    <w:rsid w:val="6A682DD1"/>
    <w:rsid w:val="6AAB03AB"/>
    <w:rsid w:val="6B731A46"/>
    <w:rsid w:val="6C8A66C9"/>
    <w:rsid w:val="6D093BD8"/>
    <w:rsid w:val="6D8E2C9C"/>
    <w:rsid w:val="6FA11A4A"/>
    <w:rsid w:val="6FBF06CD"/>
    <w:rsid w:val="70293F38"/>
    <w:rsid w:val="70733B6A"/>
    <w:rsid w:val="707B23E6"/>
    <w:rsid w:val="70D75228"/>
    <w:rsid w:val="71956963"/>
    <w:rsid w:val="71F2176E"/>
    <w:rsid w:val="71FF1F4B"/>
    <w:rsid w:val="73106DD5"/>
    <w:rsid w:val="73330AB5"/>
    <w:rsid w:val="742F670E"/>
    <w:rsid w:val="75105709"/>
    <w:rsid w:val="75BE41ED"/>
    <w:rsid w:val="77B03CFF"/>
    <w:rsid w:val="788C2381"/>
    <w:rsid w:val="78C22246"/>
    <w:rsid w:val="78F62AEA"/>
    <w:rsid w:val="792122AD"/>
    <w:rsid w:val="792702FB"/>
    <w:rsid w:val="797A48CF"/>
    <w:rsid w:val="7A083C89"/>
    <w:rsid w:val="7A56379E"/>
    <w:rsid w:val="7B427D7A"/>
    <w:rsid w:val="7B7A6E08"/>
    <w:rsid w:val="7C06064D"/>
    <w:rsid w:val="7C5533D1"/>
    <w:rsid w:val="7D346E6B"/>
    <w:rsid w:val="7D7D6831"/>
    <w:rsid w:val="7EED5B43"/>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lang w:val="en-US" w:eastAsia="zh-CN" w:bidi="ar-SA"/>
    </w:rPr>
  </w:style>
  <w:style w:type="paragraph" w:styleId="3">
    <w:name w:val="heading 1"/>
    <w:basedOn w:val="1"/>
    <w:next w:val="1"/>
    <w:qFormat/>
    <w:uiPriority w:val="99"/>
    <w:pPr>
      <w:keepNext/>
      <w:keepLines/>
      <w:spacing w:line="360" w:lineRule="auto"/>
      <w:jc w:val="center"/>
      <w:outlineLvl w:val="0"/>
    </w:pPr>
    <w:rPr>
      <w:b/>
      <w:bCs/>
      <w:sz w:val="44"/>
      <w:szCs w:val="44"/>
    </w:rPr>
  </w:style>
  <w:style w:type="paragraph" w:styleId="4">
    <w:name w:val="heading 2"/>
    <w:basedOn w:val="1"/>
    <w:next w:val="1"/>
    <w:unhideWhenUsed/>
    <w:qFormat/>
    <w:uiPriority w:val="0"/>
    <w:pPr>
      <w:keepNext/>
      <w:keepLines/>
      <w:spacing w:line="360" w:lineRule="auto"/>
      <w:outlineLvl w:val="1"/>
    </w:pPr>
    <w:rPr>
      <w:rFonts w:ascii="Times New Roman" w:hAnsi="Times New Roman" w:cstheme="majorBidi"/>
      <w:b/>
      <w:bCs/>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spacing w:after="120"/>
      <w:ind w:left="420"/>
    </w:pPr>
    <w:rPr>
      <w:rFonts w:ascii="Times New Roman" w:hAnsi="Times New Roman"/>
      <w:sz w:val="24"/>
    </w:rPr>
  </w:style>
  <w:style w:type="paragraph" w:styleId="5">
    <w:name w:val="annotation text"/>
    <w:basedOn w:val="1"/>
    <w:qFormat/>
    <w:uiPriority w:val="0"/>
  </w:style>
  <w:style w:type="paragraph" w:styleId="6">
    <w:name w:val="Body Text"/>
    <w:basedOn w:val="1"/>
    <w:next w:val="1"/>
    <w:qFormat/>
    <w:uiPriority w:val="99"/>
    <w:pPr>
      <w:spacing w:after="120"/>
    </w:pPr>
    <w:rPr>
      <w:sz w:val="24"/>
      <w:szCs w:val="24"/>
    </w:rPr>
  </w:style>
  <w:style w:type="paragraph" w:styleId="7">
    <w:name w:val="Block Text"/>
    <w:basedOn w:val="1"/>
    <w:next w:val="6"/>
    <w:qFormat/>
    <w:uiPriority w:val="99"/>
    <w:pPr>
      <w:adjustRightInd w:val="0"/>
      <w:spacing w:line="360" w:lineRule="auto"/>
      <w:ind w:left="240" w:right="365" w:firstLine="480"/>
      <w:textAlignment w:val="baseline"/>
    </w:pPr>
    <w:rPr>
      <w:rFonts w:ascii="宋体" w:hAnsi="Times New Roman"/>
    </w:rPr>
  </w:style>
  <w:style w:type="paragraph" w:styleId="8">
    <w:name w:val="Plain Text"/>
    <w:basedOn w:val="1"/>
    <w:qFormat/>
    <w:uiPriority w:val="0"/>
    <w:rPr>
      <w:rFonts w:ascii="宋体" w:hAnsi="Courier New"/>
      <w:szCs w:val="22"/>
    </w:rPr>
  </w:style>
  <w:style w:type="paragraph" w:styleId="9">
    <w:name w:val="footer"/>
    <w:basedOn w:val="1"/>
    <w:unhideWhenUsed/>
    <w:qFormat/>
    <w:uiPriority w:val="99"/>
    <w:pPr>
      <w:tabs>
        <w:tab w:val="center" w:pos="4153"/>
        <w:tab w:val="right" w:pos="8306"/>
      </w:tabs>
    </w:pPr>
    <w:rPr>
      <w:sz w:val="18"/>
      <w:szCs w:val="18"/>
    </w:rPr>
  </w:style>
  <w:style w:type="paragraph" w:styleId="10">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11">
    <w:name w:val="Normal (Web)"/>
    <w:basedOn w:val="1"/>
    <w:unhideWhenUsed/>
    <w:qFormat/>
    <w:uiPriority w:val="99"/>
    <w:pPr>
      <w:spacing w:before="100" w:beforeAutospacing="1" w:after="100" w:afterAutospacing="1"/>
    </w:pPr>
    <w:rPr>
      <w:rFonts w:ascii="宋体" w:hAnsi="宋体" w:cs="宋体"/>
      <w:sz w:val="24"/>
      <w:szCs w:val="24"/>
    </w:rPr>
  </w:style>
  <w:style w:type="paragraph" w:styleId="12">
    <w:name w:val="Body Text First Indent 2"/>
    <w:basedOn w:val="2"/>
    <w:next w:val="1"/>
    <w:qFormat/>
    <w:uiPriority w:val="99"/>
    <w:pPr>
      <w:spacing w:after="0" w:line="360" w:lineRule="auto"/>
      <w:ind w:left="0" w:firstLine="420"/>
    </w:pPr>
    <w:rPr>
      <w:rFonts w:ascii="宋体" w:hAnsi="宋体"/>
      <w:sz w:val="20"/>
    </w:rPr>
  </w:style>
  <w:style w:type="character" w:styleId="15">
    <w:name w:val="Emphasis"/>
    <w:qFormat/>
    <w:uiPriority w:val="20"/>
    <w:rPr>
      <w:i/>
      <w:iCs/>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paragraph" w:customStyle="1" w:styleId="18">
    <w:name w:val="BodyText"/>
    <w:basedOn w:val="1"/>
    <w:qFormat/>
    <w:uiPriority w:val="0"/>
    <w:pPr>
      <w:spacing w:after="120"/>
      <w:jc w:val="both"/>
    </w:pPr>
    <w:rPr>
      <w:szCs w:val="24"/>
    </w:rPr>
  </w:style>
  <w:style w:type="paragraph" w:customStyle="1" w:styleId="19">
    <w:name w:val="正文文本1"/>
    <w:basedOn w:val="1"/>
    <w:qFormat/>
    <w:uiPriority w:val="0"/>
    <w:rPr>
      <w:rFonts w:ascii="仿宋_GB2312" w:eastAsia="仿宋_GB2312"/>
      <w:sz w:val="24"/>
    </w:rPr>
  </w:style>
  <w:style w:type="paragraph" w:customStyle="1" w:styleId="20">
    <w:name w:val="首行缩进"/>
    <w:basedOn w:val="1"/>
    <w:qFormat/>
    <w:uiPriority w:val="99"/>
    <w:pPr>
      <w:spacing w:line="360" w:lineRule="auto"/>
      <w:ind w:firstLine="480"/>
    </w:pPr>
    <w:rPr>
      <w:rFonts w:ascii="宋体" w:hAnsi="宋体"/>
      <w:sz w:val="24"/>
    </w:rPr>
  </w:style>
  <w:style w:type="paragraph" w:customStyle="1" w:styleId="21">
    <w:name w:val="footer1"/>
    <w:basedOn w:val="22"/>
    <w:qFormat/>
    <w:uiPriority w:val="0"/>
    <w:pPr>
      <w:tabs>
        <w:tab w:val="center" w:pos="4153"/>
        <w:tab w:val="right" w:pos="8306"/>
      </w:tabs>
      <w:snapToGrid w:val="0"/>
      <w:jc w:val="left"/>
    </w:pPr>
    <w:rPr>
      <w:sz w:val="18"/>
    </w:rPr>
  </w:style>
  <w:style w:type="paragraph" w:customStyle="1" w:styleId="22">
    <w:name w:val="正文111"/>
    <w:next w:val="23"/>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3">
    <w:name w:val="标题 41"/>
    <w:basedOn w:val="24"/>
    <w:next w:val="22"/>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customStyle="1" w:styleId="24">
    <w:name w:val="正文11"/>
    <w:next w:val="21"/>
    <w:qFormat/>
    <w:uiPriority w:val="0"/>
    <w:pPr>
      <w:spacing w:line="856" w:lineRule="atLeast"/>
      <w:jc w:val="both"/>
    </w:pPr>
    <w:rPr>
      <w:rFonts w:ascii="Times New Roman" w:hAnsi="Times New Roman" w:eastAsia="宋体" w:cs="Times New Roman"/>
      <w:color w:val="000000"/>
      <w:sz w:val="21"/>
      <w:lang w:val="en-US" w:eastAsia="zh-CN" w:bidi="ar-SA"/>
    </w:rPr>
  </w:style>
  <w:style w:type="paragraph" w:customStyle="1" w:styleId="25">
    <w:name w:val="正文2"/>
    <w:qFormat/>
    <w:uiPriority w:val="0"/>
    <w:rPr>
      <w:rFonts w:ascii="Times New Roman" w:hAnsi="Times New Roman" w:eastAsia="微软雅黑" w:cs="Times New Roman"/>
      <w:sz w:val="24"/>
      <w:szCs w:val="24"/>
      <w:lang w:val="en-US" w:eastAsia="zh-CN" w:bidi="ar-SA"/>
    </w:rPr>
  </w:style>
  <w:style w:type="paragraph" w:customStyle="1" w:styleId="26">
    <w:name w:val="默认"/>
    <w:qFormat/>
    <w:uiPriority w:val="0"/>
    <w:pPr>
      <w:framePr w:wrap="around" w:vAnchor="margin" w:hAnchor="text" w:yAlign="top"/>
    </w:pPr>
    <w:rPr>
      <w:rFonts w:ascii="Helvetica Neue" w:hAnsi="Helvetica Neue" w:eastAsia="Helvetica Neue" w:cs="Helvetica Neue"/>
      <w:color w:val="000000"/>
      <w:sz w:val="22"/>
      <w:szCs w:val="22"/>
      <w:lang w:val="en-US" w:eastAsia="zh-CN" w:bidi="ar-SA"/>
    </w:rPr>
  </w:style>
  <w:style w:type="character" w:customStyle="1" w:styleId="27">
    <w:name w:val="页码1"/>
    <w:basedOn w:val="14"/>
    <w:qFormat/>
    <w:uiPriority w:val="0"/>
    <w:rPr>
      <w:rFonts w:cs="Times New Roman"/>
    </w:rPr>
  </w:style>
  <w:style w:type="paragraph" w:customStyle="1" w:styleId="28">
    <w:name w:val="Table Paragraph"/>
    <w:basedOn w:val="1"/>
    <w:next w:val="1"/>
    <w:qFormat/>
    <w:uiPriority w:val="1"/>
    <w:pPr>
      <w:autoSpaceDE w:val="0"/>
      <w:autoSpaceDN w:val="0"/>
    </w:pPr>
    <w:rPr>
      <w:rFonts w:ascii="宋体" w:hAnsi="宋体" w:cs="宋体"/>
      <w:sz w:val="22"/>
      <w:szCs w:val="24"/>
      <w:lang w:eastAsia="en-US" w:bidi="en-US"/>
    </w:rPr>
  </w:style>
  <w:style w:type="paragraph" w:customStyle="1" w:styleId="29">
    <w:name w:val="BodyText1"/>
    <w:basedOn w:val="1"/>
    <w:qFormat/>
    <w:uiPriority w:val="0"/>
    <w:pPr>
      <w:spacing w:after="120"/>
      <w:jc w:val="both"/>
    </w:pPr>
    <w:rPr>
      <w:szCs w:val="24"/>
    </w:rPr>
  </w:style>
  <w:style w:type="paragraph" w:customStyle="1" w:styleId="30">
    <w:name w:val="Table Text"/>
    <w:basedOn w:val="1"/>
    <w:semiHidden/>
    <w:qFormat/>
    <w:uiPriority w:val="0"/>
    <w:rPr>
      <w:rFonts w:ascii="宋体" w:hAnsi="宋体" w:cs="宋体"/>
      <w:lang w:eastAsia="en-US"/>
    </w:rPr>
  </w:style>
  <w:style w:type="table" w:customStyle="1" w:styleId="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2361b5d4-a174-49fd-8c00-7de5437b4e41</errorID>
      <errorWord>(</errorWord>
      <group>L1_Format</group>
      <groupName>格式问题</groupName>
      <ability>L2_HalfPunc_CN</ability>
      <abilityName>全半角问题</abilityName>
      <candidateList>
        <item>（</item>
      </candidateList>
      <explain>文本全半角错误。</explain>
      <paraID>550E9E73</paraID>
      <start>16</start>
      <end>17</end>
      <status>unmodified</status>
      <modifiedWord/>
      <trackRevisions>false</trackRevisions>
    </reviewItem>
    <reviewItem>
      <errorID>6eba442e-140b-4192-b7f6-42bcaa8f49a7</errorID>
      <errorWord>)</errorWord>
      <group>L1_Format</group>
      <groupName>格式问题</groupName>
      <ability>L2_HalfPunc_CN</ability>
      <abilityName>全半角问题</abilityName>
      <candidateList>
        <item>）</item>
      </candidateList>
      <explain>文本全半角错误。</explain>
      <paraID>550E9E73</paraID>
      <start>49</start>
      <end>50</end>
      <status>unmodified</status>
      <modifiedWord/>
      <trackRevisions>false</trackRevisions>
    </reviewItem>
    <reviewItem>
      <errorID>f18c5ff5-b2e3-42fc-925a-a9398f63407e</errorID>
      <errorWord>(</errorWord>
      <group>L1_Format</group>
      <groupName>格式问题</groupName>
      <ability>L2_HalfPunc_CN</ability>
      <abilityName>全半角问题</abilityName>
      <candidateList>
        <item>（</item>
      </candidateList>
      <explain>文本全半角错误。</explain>
      <paraID>733DEE19</paraID>
      <start>22</start>
      <end>23</end>
      <status>unmodified</status>
      <modifiedWord/>
      <trackRevisions>false</trackRevisions>
    </reviewItem>
    <reviewItem>
      <errorID>e2a67141-71eb-4790-be2b-8bf59c3f08c8</errorID>
      <errorWord>)</errorWord>
      <group>L1_Format</group>
      <groupName>格式问题</groupName>
      <ability>L2_HalfPunc_CN</ability>
      <abilityName>全半角问题</abilityName>
      <candidateList>
        <item>）</item>
      </candidateList>
      <explain>文本全半角错误。</explain>
      <paraID>733DEE19</paraID>
      <start>96</start>
      <end>97</end>
      <status>unmodified</status>
      <modifiedWord/>
      <trackRevisions>false</trackRevisions>
    </reviewItem>
    <reviewItem>
      <errorID>d3cbb918-631d-41a6-9326-16fce57dd47f</errorID>
      <errorWord>（</errorWord>
      <group>L1_Punc</group>
      <groupName>标点问题</groupName>
      <ability>L2_Punc_CN</ability>
      <abilityName>标点符号问题</abilityName>
      <candidateList/>
      <explain>同一形式括号套用。</explain>
      <paraID> F27B122</paraID>
      <start>57</start>
      <end>58</end>
      <status>unmodified</status>
      <modifiedWord/>
      <trackRevisions>false</trackRevisions>
    </reviewItem>
    <reviewItem>
      <errorID>c3df7019-5876-44a3-9118-821775e045fa</errorID>
      <errorWord>）</errorWord>
      <group>L1_Punc</group>
      <groupName>标点问题</groupName>
      <ability>L2_Punc_CN</ability>
      <abilityName>标点符号问题</abilityName>
      <candidateList/>
      <explain>同一形式括号套用。</explain>
      <paraID> F27B122</paraID>
      <start>71</start>
      <end>72</end>
      <status>unmodified</status>
      <modifiedWord/>
      <trackRevisions>false</trackRevisions>
    </reviewItem>
    <reviewItem>
      <errorID>d6043d3f-962d-4023-82cb-0a891a2d0a82</errorID>
      <errorWord>日至2026年</errorWord>
      <group>L1_Word</group>
      <groupName>字词问题</groupName>
      <ability>L2_Typo</ability>
      <abilityName>字词错误</abilityName>
      <candidateList>
        <item>日起至2026年</item>
      </candidateList>
      <explain/>
      <paraID>3D307137</paraID>
      <start>14</start>
      <end>21</end>
      <status>unmodified</status>
      <modifiedWord/>
      <trackRevisions>false</trackRevisions>
    </reviewItem>
    <reviewItem>
      <errorID>0c5d8830-63cf-48cb-915d-d4314a1cbb11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226E463F</paraID>
      <start>0</start>
      <end>2</end>
      <status>unmodified</status>
      <modifiedWord/>
      <trackRevisions>false</trackRevisions>
    </reviewItem>
    <reviewItem>
      <errorID>652edd74-b6f1-41f5-85f9-b349b91769c5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21B11D3F</paraID>
      <start>0</start>
      <end>2</end>
      <status>unmodified</status>
      <modifiedWord/>
      <trackRevisions>false</trackRevisions>
    </reviewItem>
    <reviewItem>
      <errorID>11bbc507-9b8f-4b68-a6b1-483ccf2caf6a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69790EBA</paraID>
      <start>0</start>
      <end>2</end>
      <status>unmodified</status>
      <modifiedWord/>
      <trackRevisions>false</trackRevisions>
    </reviewItem>
    <reviewItem>
      <errorID>39ffb684-026c-4e30-ab4a-e70aeaf7074b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4A800B</paraID>
      <start>0</start>
      <end>2</end>
      <status>unmodified</status>
      <modifiedWord/>
      <trackRevisions>false</trackRevisions>
    </reviewItem>
    <reviewItem>
      <errorID>c11f6a70-9d6c-4889-a393-1fbbea5ba9e8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4DCEDF1F</paraID>
      <start>16</start>
      <end>19</end>
      <status>unmodified</status>
      <modifiedWord/>
      <trackRevisions>false</trackRevisions>
    </reviewItem>
    <reviewItem>
      <errorID>369e0ee5-5cf3-49b8-ba3a-3bb65aab3cc1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4DCEDF1F</paraID>
      <start>35</start>
      <end>38</end>
      <status>unmodified</status>
      <modifiedWord/>
      <trackRevisions>false</trackRevisions>
    </reviewItem>
    <reviewItem>
      <errorID>eb6c28b5-4ba7-4d32-ba8f-33154a175768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65B667A8</paraID>
      <start>0</start>
      <end>2</end>
      <status>unmodified</status>
      <modifiedWord/>
      <trackRevisions>false</trackRevisions>
    </reviewItem>
    <reviewItem>
      <errorID>9b69f1e1-c30c-4e83-a769-3e1440d25d1b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50DE91D1</paraID>
      <start>0</start>
      <end>2</end>
      <status>unmodified</status>
      <modifiedWord/>
      <trackRevisions>false</trackRevisions>
    </reviewItem>
    <reviewItem>
      <errorID>bbf3c1bd-76a7-43d3-8130-e55a2b4c52e0</errorID>
      <errorWord>，</errorWord>
      <group>L1_Word</group>
      <groupName>字词问题</groupName>
      <ability>L2_Typo</ability>
      <abilityName>字词错误</abilityName>
      <candidateList>
        <item>，中</item>
      </candidateList>
      <explain/>
      <paraID>6D2D384D</paraID>
      <start>15</start>
      <end>16</end>
      <status>unmodified</status>
      <modifiedWord/>
      <trackRevisions>false</trackRevisions>
    </reviewItem>
    <reviewItem>
      <errorID>7aeb9a74-aca6-45c2-829e-f4124b578894</errorID>
      <errorWord>（</errorWord>
      <group>L1_Punc</group>
      <groupName>标点问题</groupName>
      <ability>L2_Punc_CN</ability>
      <abilityName>标点符号问题</abilityName>
      <candidateList/>
      <explain>同一形式括号套用。</explain>
      <paraID>6D2D384D</paraID>
      <start>142</start>
      <end>143</end>
      <status>unmodified</status>
      <modifiedWord/>
      <trackRevisions>false</trackRevisions>
    </reviewItem>
    <reviewItem>
      <errorID>ae4a672a-b542-4024-89a6-c4ee8deba7a5</errorID>
      <errorWord>）</errorWord>
      <group>L1_Punc</group>
      <groupName>标点问题</groupName>
      <ability>L2_Punc_CN</ability>
      <abilityName>标点符号问题</abilityName>
      <candidateList/>
      <explain>同一形式括号套用。</explain>
      <paraID>6D2D384D</paraID>
      <start>147</start>
      <end>148</end>
      <status>unmodified</status>
      <modifiedWord/>
      <trackRevisions>false</trackRevisions>
    </reviewItem>
    <reviewItem>
      <errorID>37a2f066-9819-4406-867f-1be327019c02</errorID>
      <errorWord>,</errorWord>
      <group>L1_Format</group>
      <groupName>格式问题</groupName>
      <ability>L2_HalfPunc_CN</ability>
      <abilityName>全半角问题</abilityName>
      <candidateList>
        <item>，</item>
      </candidateList>
      <explain>文本全半角错误。</explain>
      <paraID>67326037</paraID>
      <start>17</start>
      <end>18</end>
      <status>unmodified</status>
      <modifiedWord/>
      <trackRevisions>false</trackRevisions>
    </reviewItem>
    <reviewItem>
      <errorID>3adc6932-aafe-44f3-9462-3516e212a654</errorID>
      <errorWord>,</errorWord>
      <group>L1_Format</group>
      <groupName>格式问题</groupName>
      <ability>L2_HalfPunc_CN</ability>
      <abilityName>全半角问题</abilityName>
      <candidateList>
        <item>，</item>
      </candidateList>
      <explain>文本全半角错误。</explain>
      <paraID>67326037</paraID>
      <start>38</start>
      <end>39</end>
      <status>unmodified</status>
      <modifiedWord/>
      <trackRevisions>false</trackRevisions>
    </reviewItem>
    <reviewItem>
      <errorID>33684d25-1ca4-466c-8475-3f18cb86d730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925D6CF</paraID>
      <start>0</start>
      <end>2</end>
      <status>unmodified</status>
      <modifiedWord/>
      <trackRevisions>false</trackRevisions>
    </reviewItem>
    <reviewItem>
      <errorID>12f80297-9a85-4d83-825b-2c791a6b7657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5328D4C1</paraID>
      <start>0</start>
      <end>2</end>
      <status>unmodified</status>
      <modifiedWord/>
      <trackRevisions>false</trackRevisions>
    </reviewItem>
    <reviewItem>
      <errorID>480de10a-1586-46df-8b55-d498c6628317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5273B6A6</paraID>
      <start>0</start>
      <end>2</end>
      <status>unmodified</status>
      <modifiedWord/>
      <trackRevisions>false</trackRevisions>
    </reviewItem>
    <reviewItem>
      <errorID>9ccd8b79-5b0e-47d6-af36-58878be96d01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4B3B1BE6</paraID>
      <start>0</start>
      <end>2</end>
      <status>unmodified</status>
      <modifiedWord/>
      <trackRevisions>false</trackRevisions>
    </reviewItem>
    <reviewItem>
      <errorID>1dc55a65-7468-4500-bdd9-938ba06c18c3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69A36C72</paraID>
      <start>0</start>
      <end>2</end>
      <status>unmodified</status>
      <modifiedWord/>
      <trackRevisions>false</trackRevisions>
    </reviewItem>
    <reviewItem>
      <errorID>9c10d256-0712-412a-b8fe-c8e20a32cea2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2FB53DA</paraID>
      <start>0</start>
      <end>2</end>
      <status>unmodified</status>
      <modifiedWord/>
      <trackRevisions>false</trackRevisions>
    </reviewItem>
    <reviewItem>
      <errorID>dc4c513c-d9c1-4364-9f78-ef6c584eefc5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50AC5E2B</paraID>
      <start>0</start>
      <end>3</end>
      <status>unmodified</status>
      <modifiedWord/>
      <trackRevisions>false</trackRevisions>
    </reviewItem>
    <reviewItem>
      <errorID>09560539-2fef-41eb-bcbc-c3bc12b645f9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1BA018C7</paraID>
      <start>0</start>
      <end>3</end>
      <status>unmodified</status>
      <modifiedWord/>
      <trackRevisions>false</trackRevisions>
    </reviewItem>
    <reviewItem>
      <errorID>4f0480b1-e699-4321-8301-bd261aa7e8d8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26CA0B83</paraID>
      <start>0</start>
      <end>3</end>
      <status>unmodified</status>
      <modifiedWord/>
      <trackRevisions>false</trackRevisions>
    </reviewItem>
    <reviewItem>
      <errorID>1375ccca-15e2-4396-9238-3415680fa5ef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7D56A1DB</paraID>
      <start>0</start>
      <end>3</end>
      <status>unmodified</status>
      <modifiedWord/>
      <trackRevisions>false</trackRevisions>
    </reviewItem>
    <reviewItem>
      <errorID>ae6a3cfb-5426-4ebf-9db0-20d9d75f765f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B2E40D4</paraID>
      <start>0</start>
      <end>3</end>
      <status>unmodified</status>
      <modifiedWord/>
      <trackRevisions>false</trackRevisions>
    </reviewItem>
    <reviewItem>
      <errorID>46183bb7-44cc-44bc-a0c2-6585f8d14337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18591E</paraID>
      <start>0</start>
      <end>3</end>
      <status>unmodified</status>
      <modifiedWord/>
      <trackRevisions>false</trackRevisions>
    </reviewItem>
    <reviewItem>
      <errorID>b16a62e1-d291-4e88-9356-bf869fe0fd96</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3B3B68EA</paraID>
      <start>0</start>
      <end>3</end>
      <status>unmodified</status>
      <modifiedWord/>
      <trackRevisions>false</trackRevisions>
    </reviewItem>
    <reviewItem>
      <errorID>a2fdf5b3-c679-4bf0-9d3e-ee54e4f5e983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1DB2015F</paraID>
      <start>0</start>
      <end>3</end>
      <status>unmodified</status>
      <modifiedWord/>
      <trackRevisions>false</trackRevisions>
    </reviewItem>
    <reviewItem>
      <errorID>9574a055-fd2c-47a6-9e5b-556d8f468e2d</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3EFD77C5</paraID>
      <start>0</start>
      <end>3</end>
      <status>unmodified</status>
      <modifiedWord/>
      <trackRevisions>false</trackRevisions>
    </reviewItem>
    <reviewItem>
      <errorID>85584f32-3fb1-4125-ba57-5a618c01b168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29098826</paraID>
      <start>0</start>
      <end>3</end>
      <status>unmodified</status>
      <modifiedWord/>
      <trackRevisions>false</trackRevisions>
    </reviewItem>
    <reviewItem>
      <errorID>af144c53-3f4a-47c8-ba1c-0b9f9a8094c0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63D4F89B</paraID>
      <start>0</start>
      <end>3</end>
      <status>unmodified</status>
      <modifiedWord/>
      <trackRevisions>false</trackRevisions>
    </reviewItem>
    <reviewItem>
      <errorID>bab64406-4b72-4271-bb30-d1f75859ddb5</errorID>
      <errorWord>,</errorWord>
      <group>L1_Format</group>
      <groupName>格式问题</groupName>
      <ability>L2_HalfPunc_CN</ability>
      <abilityName>全半角问题</abilityName>
      <candidateList>
        <item>，</item>
      </candidateList>
      <explain>文本全半角错误。</explain>
      <paraID>4A46427F</paraID>
      <start>42</start>
      <end>43</end>
      <status>unmodified</status>
      <modifiedWord/>
      <trackRevisions>false</trackRevisions>
    </reviewItem>
    <reviewItem>
      <errorID>3c72c537-5643-4d82-937f-ae2c8c2c3342</errorID>
      <errorWord>(</errorWord>
      <group>L1_Format</group>
      <groupName>格式问题</groupName>
      <ability>L2_HalfPunc_CN</ability>
      <abilityName>全半角问题</abilityName>
      <candidateList>
        <item>（</item>
      </candidateList>
      <explain>文本全半角错误。</explain>
      <paraID>4A46427F</paraID>
      <start>62</start>
      <end>63</end>
      <status>unmodified</status>
      <modifiedWord/>
      <trackRevisions>false</trackRevisions>
    </reviewItem>
    <reviewItem>
      <errorID>f9a2e6d1-273f-4c18-af7a-5274c334b913</errorID>
      <errorWord>)</errorWord>
      <group>L1_Format</group>
      <groupName>格式问题</groupName>
      <ability>L2_HalfPunc_CN</ability>
      <abilityName>全半角问题</abilityName>
      <candidateList>
        <item>）</item>
      </candidateList>
      <explain>文本全半角错误。</explain>
      <paraID>4A46427F</paraID>
      <start>65</start>
      <end>66</end>
      <status>unmodified</status>
      <modifiedWord/>
      <trackRevisions>false</trackRevisions>
    </reviewItem>
    <reviewItem>
      <errorID>885b04ed-823e-47cd-aa34-74ab921c6fd6</errorID>
      <errorWord>(</errorWord>
      <group>L1_Format</group>
      <groupName>格式问题</groupName>
      <ability>L2_HalfPunc_CN</ability>
      <abilityName>全半角问题</abilityName>
      <candidateList>
        <item>（</item>
      </candidateList>
      <explain>文本全半角错误。</explain>
      <paraID>4A46427F</paraID>
      <start>107</start>
      <end>108</end>
      <status>unmodified</status>
      <modifiedWord/>
      <trackRevisions>false</trackRevisions>
    </reviewItem>
    <reviewItem>
      <errorID>06f97792-9b0e-4e65-b1d1-97e192059545</errorID>
      <errorWord>)</errorWord>
      <group>L1_Format</group>
      <groupName>格式问题</groupName>
      <ability>L2_HalfPunc_CN</ability>
      <abilityName>全半角问题</abilityName>
      <candidateList>
        <item>）</item>
      </candidateList>
      <explain>文本全半角错误。</explain>
      <paraID>4A46427F</paraID>
      <start>114</start>
      <end>115</end>
      <status>unmodified</status>
      <modifiedWord/>
      <trackRevisions>false</trackRevisions>
    </reviewItem>
    <reviewItem>
      <errorID>43316292-c3ad-4a01-a5e5-1171392de277</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3E1CD47D</paraID>
      <start>0</start>
      <end>3</end>
      <status>unmodified</status>
      <modifiedWord/>
      <trackRevisions>false</trackRevisions>
    </reviewItem>
    <reviewItem>
      <errorID>9636877d-7bd5-4c29-8b46-052599abf2a3</errorID>
      <errorWord>法律、法规</errorWord>
      <group>L1_Word</group>
      <groupName>字词问题</groupName>
      <ability>L2_Typo</ability>
      <abilityName>字词错误</abilityName>
      <candidateList>
        <item>法律法规</item>
      </candidateList>
      <explain/>
      <paraID> E575FD8</paraID>
      <start>7</start>
      <end>12</end>
      <status>unmodified</status>
      <modifiedWord/>
      <trackRevisions>false</trackRevisions>
    </reviewItem>
    <reviewItem>
      <errorID>c4bfbd37-ce2a-472f-b4d7-2a09306b123c</errorID>
      <errorWord>，：</errorWord>
      <group>L1_Punc</group>
      <groupName>标点问题</groupName>
      <ability>L2_Punc_CN</ability>
      <abilityName>标点符号问题</abilityName>
      <candidateList>
        <item>，</item>
      </candidateList>
      <explain/>
      <paraID>3170120F</paraID>
      <start>20</start>
      <end>22</end>
      <status>unmodified</status>
      <modifiedWord/>
      <trackRevisions>false</trackRevisions>
    </reviewItem>
    <reviewItem>
      <errorID>2c82326f-c14b-4684-8fab-4f28e2db0c71</errorID>
      <errorWord>(</errorWord>
      <group>L1_Format</group>
      <groupName>格式问题</groupName>
      <ability>L2_HalfPunc_CN</ability>
      <abilityName>全半角问题</abilityName>
      <candidateList>
        <item>（</item>
      </candidateList>
      <explain>文本全半角错误。</explain>
      <paraID>42679C86</paraID>
      <start>34</start>
      <end>35</end>
      <status>unmodified</status>
      <modifiedWord/>
      <trackRevisions>false</trackRevisions>
    </reviewItem>
    <reviewItem>
      <errorID>5ac2d40b-6c8f-4554-85e1-598e5489ebb0</errorID>
      <errorWord>)</errorWord>
      <group>L1_Format</group>
      <groupName>格式问题</groupName>
      <ability>L2_HalfPunc_CN</ability>
      <abilityName>全半角问题</abilityName>
      <candidateList>
        <item>）</item>
      </candidateList>
      <explain>文本全半角错误。</explain>
      <paraID>42679C86</paraID>
      <start>37</start>
      <end>38</end>
      <status>unmodified</status>
      <modifiedWord/>
      <trackRevisions>false</trackRevisions>
    </reviewItem>
    <reviewItem>
      <errorID>fe04b402-64b5-4c43-8475-5419d8b7388d</errorID>
      <errorWord>:</errorWord>
      <group>L1_Format</group>
      <groupName>格式问题</groupName>
      <ability>L2_HalfPunc_CN</ability>
      <abilityName>全半角问题</abilityName>
      <candidateList>
        <item>：</item>
      </candidateList>
      <explain>文本全半角错误。</explain>
      <paraID>42679C86</paraID>
      <start>42</start>
      <end>43</end>
      <status>unmodified</status>
      <modifiedWord/>
      <trackRevisions>false</trackRevisions>
    </reviewItem>
    <reviewItem>
      <errorID>86376ab9-b140-49eb-9716-cd6bf2138664</errorID>
      <errorWord>&lt;</errorWord>
      <group>L1_Format</group>
      <groupName>格式问题</groupName>
      <ability>L2_HalfPunc_CN</ability>
      <abilityName>全半角问题</abilityName>
      <candidateList>
        <item>〈</item>
      </candidateList>
      <explain>文本全半角错误。</explain>
      <paraID>643AE8CC</paraID>
      <start>36</start>
      <end>37</end>
      <status>unmodified</status>
      <modifiedWord/>
      <trackRevisions>false</trackRevisions>
    </reviewItem>
    <reviewItem>
      <errorID>938ee7ec-23f0-4db1-aa37-b2c83d93d803</errorID>
      <errorWord>&lt;</errorWord>
      <group>L1_Format</group>
      <groupName>格式问题</groupName>
      <ability>L2_HalfPunc_CN</ability>
      <abilityName>全半角问题</abilityName>
      <candidateList>
        <item>〈</item>
      </candidateList>
      <explain>文本全半角错误。</explain>
      <paraID>1502FAE3</paraID>
      <start>36</start>
      <end>37</end>
      <status>unmodified</status>
      <modifiedWord/>
      <trackRevisions>false</trackRevisions>
    </reviewItem>
    <reviewItem>
      <errorID>9d3e5bcf-18ad-47ac-a695-6653dd8cb5bf</errorID>
      <errorWord>&lt;</errorWord>
      <group>L1_Format</group>
      <groupName>格式问题</groupName>
      <ability>L2_HalfPunc_CN</ability>
      <abilityName>全半角问题</abilityName>
      <candidateList>
        <item>〈</item>
      </candidateList>
      <explain>文本全半角错误。</explain>
      <paraID>20EBF3DE</paraID>
      <start>25</start>
      <end>26</end>
      <status>unmodified</status>
      <modifiedWord/>
      <trackRevisions>false</trackRevisions>
    </reviewItem>
    <reviewItem>
      <errorID>c683eb74-fceb-4046-a76b-408302be12eb</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19309165</paraID>
      <start>0</start>
      <end>3</end>
      <status>unmodified</status>
      <modifiedWord/>
      <trackRevisions>false</trackRevisions>
    </reviewItem>
    <reviewItem>
      <errorID>4a2bbd10-64b2-44ad-be88-2703a6143990</errorID>
      <errorWord>【2002】1980号</errorWord>
      <group>L1_Knowledge</group>
      <groupName>知识性问题</groupName>
      <ability>L2_Knowledge</ability>
      <abilityName>其他知识</abilityName>
      <candidateList>
        <item>〔2002〕1980号</item>
      </candidateList>
      <explain>发文字号格式错误。</explain>
      <paraID>1725C3B2</paraID>
      <start>59</start>
      <end>70</end>
      <status>unmodified</status>
      <modifiedWord/>
      <trackRevisions>false</trackRevisions>
    </reviewItem>
    <reviewItem>
      <errorID>8c82db5e-2fef-4c28-91b9-46750f66eb63</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723E1756</paraID>
      <start>0</start>
      <end>3</end>
      <status>unmodified</status>
      <modifiedWord/>
      <trackRevisions>false</trackRevisions>
    </reviewItem>
    <reviewItem>
      <errorID>3148e136-ab74-4ef1-a3a9-564b2c25fa10</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40E2C6C7</paraID>
      <start>0</start>
      <end>3</end>
      <status>unmodified</status>
      <modifiedWord/>
      <trackRevisions>false</trackRevisions>
    </reviewItem>
    <reviewItem>
      <errorID>ccdfff2a-8536-4cef-a271-f170a2199657</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73076352</paraID>
      <start>0</start>
      <end>3</end>
      <status>unmodified</status>
      <modifiedWord/>
      <trackRevisions>false</trackRevisions>
    </reviewItem>
    <reviewItem>
      <errorID>b68aac71-6c8e-4229-911e-074339734045</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2E06350F</paraID>
      <start>0</start>
      <end>3</end>
      <status>unmodified</status>
      <modifiedWord/>
      <trackRevisions>false</trackRevisions>
    </reviewItem>
    <reviewItem>
      <errorID>c463a1cb-d315-47fc-a995-f3a643edd3d7</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794B7931</paraID>
      <start>102</start>
      <end>106</end>
      <status>unmodified</status>
      <modifiedWord/>
      <trackRevisions>false</trackRevisions>
    </reviewItem>
    <reviewItem>
      <errorID>588acd8e-b910-40c8-9858-9009af108fa6</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4654D192</paraID>
      <start>0</start>
      <end>3</end>
      <status>unmodified</status>
      <modifiedWord/>
      <trackRevisions>false</trackRevisions>
    </reviewItem>
    <reviewItem>
      <errorID>882b08bc-1fd8-4ad6-b935-404f5c7c97e7</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1A64A78B</paraID>
      <start>0</start>
      <end>3</end>
      <status>unmodified</status>
      <modifiedWord/>
      <trackRevisions>false</trackRevisions>
    </reviewItem>
    <reviewItem>
      <errorID>56e92834-a2f6-4559-8d52-762593310f51</errorID>
      <errorWord>(</errorWord>
      <group>L1_Format</group>
      <groupName>格式问题</groupName>
      <ability>L2_HalfPunc_CN</ability>
      <abilityName>全半角问题</abilityName>
      <candidateList>
        <item>（</item>
      </candidateList>
      <explain>文本全半角错误。</explain>
      <paraID>536447F1</paraID>
      <start>59</start>
      <end>60</end>
      <status>unmodified</status>
      <modifiedWord/>
      <trackRevisions>false</trackRevisions>
    </reviewItem>
    <reviewItem>
      <errorID>55231bae-e1ec-4635-bd77-8d5605b2e222</errorID>
      <errorWord>)</errorWord>
      <group>L1_Format</group>
      <groupName>格式问题</groupName>
      <ability>L2_HalfPunc_CN</ability>
      <abilityName>全半角问题</abilityName>
      <candidateList>
        <item>）</item>
      </candidateList>
      <explain>文本全半角错误。</explain>
      <paraID>536447F1</paraID>
      <start>70</start>
      <end>71</end>
      <status>unmodified</status>
      <modifiedWord/>
      <trackRevisions>false</trackRevisions>
    </reviewItem>
    <reviewItem>
      <errorID>cf473641-c4ca-484c-bc7a-e89529f0b29d</errorID>
      <errorWord>(</errorWord>
      <group>L1_Format</group>
      <groupName>格式问题</groupName>
      <ability>L2_HalfPunc_CN</ability>
      <abilityName>全半角问题</abilityName>
      <candidateList>
        <item>（</item>
      </candidateList>
      <explain>文本全半角错误。</explain>
      <paraID>3410D38E</paraID>
      <start>31</start>
      <end>32</end>
      <status>unmodified</status>
      <modifiedWord/>
      <trackRevisions>false</trackRevisions>
    </reviewItem>
    <reviewItem>
      <errorID>820512ac-1a53-4821-bea5-1f7e6c7b7c95</errorID>
      <errorWord>)</errorWord>
      <group>L1_Format</group>
      <groupName>格式问题</groupName>
      <ability>L2_HalfPunc_CN</ability>
      <abilityName>全半角问题</abilityName>
      <candidateList>
        <item>）</item>
      </candidateList>
      <explain>文本全半角错误。</explain>
      <paraID>3410D38E</paraID>
      <start>37</start>
      <end>38</end>
      <status>unmodified</status>
      <modifiedWord/>
      <trackRevisions>false</trackRevisions>
    </reviewItem>
    <reviewItem>
      <errorID>6d742e6d-0b45-4529-9758-2ff18c4cef7e</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3410D38E</paraID>
      <start>69</start>
      <end>70</end>
      <status>unmodified</status>
      <modifiedWord/>
      <trackRevisions>false</trackRevisions>
    </reviewItem>
    <reviewItem>
      <errorID>a89b1390-bd5b-4e1b-b88f-3b792225780c</errorID>
      <errorWord>心</errorWord>
      <group>L1_Word</group>
      <groupName>字词问题</groupName>
      <ability>L2_Typo</ability>
      <abilityName>字词错误</abilityName>
      <candidateList>
        <item>心公</item>
      </candidateList>
      <explain/>
      <paraID>3410D38E</paraID>
      <start>93</start>
      <end>95</end>
      <status>modified</status>
      <modifiedWord>心公</modifiedWord>
      <trackRevisions>false</trackRevisions>
    </reviewItem>
    <reviewItem>
      <errorID>34fd6598-d8a9-435e-ad2a-0c0c7adaab34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7093379B</paraID>
      <start>0</start>
      <end>2</end>
      <status>unmodified</status>
      <modifiedWord/>
      <trackRevisions>false</trackRevisions>
    </reviewItem>
    <reviewItem>
      <errorID>2ba59d14-77c9-4689-baf2-1ce2b2aeb62d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45F88970</paraID>
      <start>0</start>
      <end>2</end>
      <status>unmodified</status>
      <modifiedWord/>
      <trackRevisions>false</trackRevisions>
    </reviewItem>
    <reviewItem>
      <errorID>8488c5a7-7d1d-4075-a7b1-30d5c8a3d0d2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661F3670</paraID>
      <start>0</start>
      <end>2</end>
      <status>unmodified</status>
      <modifiedWord/>
      <trackRevisions>false</trackRevisions>
    </reviewItem>
    <reviewItem>
      <errorID>4564b202-58a8-448a-9102-8ab38f0f0cd3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661C8609</paraID>
      <start>0</start>
      <end>2</end>
      <status>unmodified</status>
      <modifiedWord/>
      <trackRevisions>false</trackRevisions>
    </reviewItem>
    <reviewItem>
      <errorID>7f104364-1b98-43d5-8d82-0e7185090287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6A65118E</paraID>
      <start>0</start>
      <end>2</end>
      <status>unmodified</status>
      <modifiedWord/>
      <trackRevisions>false</trackRevisions>
    </reviewItem>
    <reviewItem>
      <errorID>c4d0df00-843a-43cc-8583-ab12a7ccb258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59AC7673</paraID>
      <start>0</start>
      <end>2</end>
      <status>unmodified</status>
      <modifiedWord/>
      <trackRevisions>false</trackRevisions>
    </reviewItem>
    <reviewItem>
      <errorID>96b804e6-872b-4d66-aebd-663c17960c5f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710CF6DF</paraID>
      <start>0</start>
      <end>2</end>
      <status>unmodified</status>
      <modifiedWord/>
      <trackRevisions>false</trackRevisions>
    </reviewItem>
    <reviewItem>
      <errorID>984ec014-a439-4fa8-933b-e7493f630566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4A61708F</paraID>
      <start>0</start>
      <end>2</end>
      <status>unmodified</status>
      <modifiedWord/>
      <trackRevisions>false</trackRevisions>
    </reviewItem>
    <reviewItem>
      <errorID>bace917b-882e-4cc5-851f-10826fad68e6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6510791B</paraID>
      <start>0</start>
      <end>2</end>
      <status>unmodified</status>
      <modifiedWord/>
      <trackRevisions>false</trackRevisions>
    </reviewItem>
    <reviewItem>
      <errorID>bb3d994f-63b6-4ae4-9012-66d7832200c3</errorID>
      <errorWord>[2014]80号</errorWord>
      <group>L1_Knowledge</group>
      <groupName>知识性问题</groupName>
      <ability>L2_Knowledge</ability>
      <abilityName>其他知识</abilityName>
      <candidateList>
        <item>〔2014〕80号</item>
      </candidateList>
      <explain>发文字号格式错误。</explain>
      <paraID>68D0FCD6</paraID>
      <start>38</start>
      <end>47</end>
      <status>unmodified</status>
      <modifiedWord/>
      <trackRevisions>false</trackRevisions>
    </reviewItem>
    <reviewItem>
      <errorID>87649514-2f44-4dca-8409-95fb648907f1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469D7DB3</paraID>
      <start>0</start>
      <end>3</end>
      <status>unmodified</status>
      <modifiedWord/>
      <trackRevisions>false</trackRevisions>
    </reviewItem>
    <reviewItem>
      <errorID>470c8262-b7c5-4934-adcb-2cde3d3b1eef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6D22617B</paraID>
      <start>0</start>
      <end>2</end>
      <status>unmodified</status>
      <modifiedWord/>
      <trackRevisions>false</trackRevisions>
    </reviewItem>
    <reviewItem>
      <errorID>31a93181-b88a-4dcf-940d-1f4bccbf9909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6627707D</paraID>
      <start>0</start>
      <end>2</end>
      <status>unmodified</status>
      <modifiedWord/>
      <trackRevisions>false</trackRevisions>
    </reviewItem>
    <reviewItem>
      <errorID>02f48f44-b89f-429a-9a5c-0f0921954d59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1B32ADFE</paraID>
      <start>0</start>
      <end>2</end>
      <status>unmodified</status>
      <modifiedWord/>
      <trackRevisions>false</trackRevisions>
    </reviewItem>
    <reviewItem>
      <errorID>3ebe402e-7566-4282-94d5-c0f4d980ff04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4A1253CD</paraID>
      <start>0</start>
      <end>2</end>
      <status>unmodified</status>
      <modifiedWord/>
      <trackRevisions>false</trackRevisions>
    </reviewItem>
    <reviewItem>
      <errorID>516f1616-5117-4425-ac0b-5734dfe2e918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51F1543C</paraID>
      <start>0</start>
      <end>2</end>
      <status>unmodified</status>
      <modifiedWord/>
      <trackRevisions>false</trackRevisions>
    </reviewItem>
    <reviewItem>
      <errorID>2d6a1cbb-ed9c-413f-ac42-81efba16d110</errorID>
      <errorWord>（</errorWord>
      <group>L1_Format</group>
      <groupName>格式问题</groupName>
      <ability>L2_HalfPunc_CN</ability>
      <abilityName>全半角问题</abilityName>
      <candidateList>
        <item>(</item>
      </candidateList>
      <explain>文本全半角错误。</explain>
      <paraID>324A8609</paraID>
      <start>0</start>
      <end>1</end>
      <status>unmodified</status>
      <modifiedWord/>
      <trackRevisions>false</trackRevisions>
    </reviewItem>
    <reviewItem>
      <errorID>4591b308-fb2d-4619-85bc-e801500c7a77</errorID>
      <errorWord>）</errorWord>
      <group>L1_Format</group>
      <groupName>格式问题</groupName>
      <ability>L2_HalfPunc_CN</ability>
      <abilityName>全半角问题</abilityName>
      <candidateList>
        <item>)</item>
      </candidateList>
      <explain>文本全半角错误。</explain>
      <paraID>324A8609</paraID>
      <start>11</start>
      <end>12</end>
      <status>unmodified</status>
      <modifiedWord/>
      <trackRevisions>false</trackRevisions>
    </reviewItem>
    <reviewItem>
      <errorID>35da6773-5d58-4d6d-a464-97bebc9dc128</errorID>
      <errorWord>（</errorWord>
      <group>L1_Format</group>
      <groupName>格式问题</groupName>
      <ability>L2_HalfPunc_CN</ability>
      <abilityName>全半角问题</abilityName>
      <candidateList>
        <item>(</item>
      </candidateList>
      <explain>文本全半角错误。</explain>
      <paraID>12CA2D62</paraID>
      <start>0</start>
      <end>1</end>
      <status>unmodified</status>
      <modifiedWord/>
      <trackRevisions>false</trackRevisions>
    </reviewItem>
    <reviewItem>
      <errorID>5fb1bfca-c2d1-4660-a848-dc1c9f380c5b</errorID>
      <errorWord>）</errorWord>
      <group>L1_Format</group>
      <groupName>格式问题</groupName>
      <ability>L2_HalfPunc_CN</ability>
      <abilityName>全半角问题</abilityName>
      <candidateList>
        <item>)</item>
      </candidateList>
      <explain>文本全半角错误。</explain>
      <paraID>12CA2D62</paraID>
      <start>11</start>
      <end>12</end>
      <status>unmodified</status>
      <modifiedWord/>
      <trackRevisions>false</trackRevisions>
    </reviewItem>
    <reviewItem>
      <errorID>67cc4e9a-e45a-4d8f-bcca-03d81d9098e9</errorID>
      <errorWord>（</errorWord>
      <group>L1_Format</group>
      <groupName>格式问题</groupName>
      <ability>L2_HalfPunc_CN</ability>
      <abilityName>全半角问题</abilityName>
      <candidateList>
        <item>(</item>
      </candidateList>
      <explain>文本全半角错误。</explain>
      <paraID>4BD91FC0</paraID>
      <start>0</start>
      <end>1</end>
      <status>unmodified</status>
      <modifiedWord/>
      <trackRevisions>false</trackRevisions>
    </reviewItem>
    <reviewItem>
      <errorID>56af6789-b42e-45b7-8b71-59c072188cfd</errorID>
      <errorWord>）</errorWord>
      <group>L1_Format</group>
      <groupName>格式问题</groupName>
      <ability>L2_HalfPunc_CN</ability>
      <abilityName>全半角问题</abilityName>
      <candidateList>
        <item>)</item>
      </candidateList>
      <explain>文本全半角错误。</explain>
      <paraID>4BD91FC0</paraID>
      <start>11</start>
      <end>12</end>
      <status>unmodified</status>
      <modifiedWord/>
      <trackRevisions>false</trackRevisions>
    </reviewItem>
    <reviewItem>
      <errorID>12487137-e952-498b-8eaf-63356203b57c</errorID>
      <errorWord>（</errorWord>
      <group>L1_Format</group>
      <groupName>格式问题</groupName>
      <ability>L2_HalfPunc_CN</ability>
      <abilityName>全半角问题</abilityName>
      <candidateList>
        <item>(</item>
      </candidateList>
      <explain>文本全半角错误。</explain>
      <paraID>51D9921E</paraID>
      <start>0</start>
      <end>1</end>
      <status>unmodified</status>
      <modifiedWord/>
      <trackRevisions>false</trackRevisions>
    </reviewItem>
    <reviewItem>
      <errorID>915c8cd0-2318-4b63-90da-0b23ed2c3e2e</errorID>
      <errorWord>）</errorWord>
      <group>L1_Format</group>
      <groupName>格式问题</groupName>
      <ability>L2_HalfPunc_CN</ability>
      <abilityName>全半角问题</abilityName>
      <candidateList>
        <item>)</item>
      </candidateList>
      <explain>文本全半角错误。</explain>
      <paraID>51D9921E</paraID>
      <start>11</start>
      <end>12</end>
      <status>unmodified</status>
      <modifiedWord/>
      <trackRevisions>false</trackRevisions>
    </reviewItem>
    <reviewItem>
      <errorID>1802250e-ac99-40d3-aa88-f42a3434dc14</errorID>
      <errorWord>其它必要的</errorWord>
      <group>L1_Word</group>
      <groupName>字词问题</groupName>
      <ability>L2_Alias</ability>
      <abilityName>也作/曾用词</abilityName>
      <candidateList>
        <item>其他必要的</item>
      </candidateList>
      <explain>词汇[其它必要的]为不规范表述或旧称，其规范书面表述为[其他必要的]。</explain>
      <paraID>42AE465C</paraID>
      <start>41</start>
      <end>46</end>
      <status>unmodified</status>
      <modifiedWord/>
      <trackRevisions>false</trackRevisions>
    </reviewItem>
    <reviewItem>
      <errorID>eb200eff-577b-4b94-bfe0-490bbe4144f8</errorID>
      <errorWord>)</errorWord>
      <group>L1_Format</group>
      <groupName>格式问题</groupName>
      <ability>L2_HalfPunc_CN</ability>
      <abilityName>全半角问题</abilityName>
      <candidateList>
        <item>）</item>
      </candidateList>
      <explain>文本全半角错误。</explain>
      <paraID>306D7157</paraID>
      <start>21</start>
      <end>22</end>
      <status>unmodified</status>
      <modifiedWord/>
      <trackRevisions>false</trackRevisions>
    </reviewItem>
    <reviewItem>
      <errorID>46797889-a27e-40b3-aa4f-3d316daac9cb</errorID>
      <errorWord>)</errorWord>
      <group>L1_Format</group>
      <groupName>格式问题</groupName>
      <ability>L2_HalfPunc_CN</ability>
      <abilityName>全半角问题</abilityName>
      <candidateList>
        <item>）</item>
      </candidateList>
      <explain>文本全半角错误。</explain>
      <paraID> 97DD3B7</paraID>
      <start>9</start>
      <end>10</end>
      <status>unmodified</status>
      <modifiedWord/>
      <trackRevisions>false</trackRevisions>
    </reviewItem>
    <reviewItem>
      <errorID>601acb59-4a68-4915-8ded-11317fc1a2a2</errorID>
      <errorWord>)</errorWord>
      <group>L1_Format</group>
      <groupName>格式问题</groupName>
      <ability>L2_HalfPunc_CN</ability>
      <abilityName>全半角问题</abilityName>
      <candidateList>
        <item>）</item>
      </candidateList>
      <explain>文本全半角错误。</explain>
      <paraID> 1A58E03</paraID>
      <start>9</start>
      <end>10</end>
      <status>unmodified</status>
      <modifiedWord/>
      <trackRevisions>false</trackRevisions>
    </reviewItem>
    <reviewItem>
      <errorID>e9d19d11-46dd-4519-a9f0-b3e2858b2341</errorID>
      <errorWord>)</errorWord>
      <group>L1_Format</group>
      <groupName>格式问题</groupName>
      <ability>L2_HalfPunc_CN</ability>
      <abilityName>全半角问题</abilityName>
      <candidateList>
        <item>）</item>
      </candidateList>
      <explain>文本全半角错误。</explain>
      <paraID>34251A9C</paraID>
      <start>9</start>
      <end>10</end>
      <status>unmodified</status>
      <modifiedWord/>
      <trackRevisions>false</trackRevisions>
    </reviewItem>
    <reviewItem>
      <errorID>6a4003f4-b43d-489c-9e2c-9f84a9c73f0b</errorID>
      <errorWord>下</errorWord>
      <group>L1_Word</group>
      <groupName>字词问题</groupName>
      <ability>L2_Typo</ability>
      <abilityName>字词错误</abilityName>
      <candidateList>
        <item>下简</item>
      </candidateList>
      <explain/>
      <paraID>67111109</paraID>
      <start>5</start>
      <end>6</end>
      <status>unmodified</status>
      <modifiedWord/>
      <trackRevisions>false</trackRevisions>
    </reviewItem>
    <reviewItem>
      <errorID>d42de677-76c6-47e8-adb2-b977f3782262</errorID>
      <errorWord>下</errorWord>
      <group>L1_Word</group>
      <groupName>字词问题</groupName>
      <ability>L2_Typo</ability>
      <abilityName>字词错误</abilityName>
      <candidateList>
        <item>下简</item>
      </candidateList>
      <explain/>
      <paraID>3CFAEDED</paraID>
      <start>5</start>
      <end>6</end>
      <status>unmodified</status>
      <modifiedWord/>
      <trackRevisions>false</trackRevisions>
    </reviewItem>
    <reviewItem>
      <errorID>dabda455-d8c7-4bc2-820f-74dcdf4ce0f4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5AC8F82A</paraID>
      <start>0</start>
      <end>2</end>
      <status>unmodified</status>
      <modifiedWord/>
      <trackRevisions>false</trackRevisions>
    </reviewItem>
    <reviewItem>
      <errorID>65e73018-a9ab-4508-8521-170a4ac0f414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2D198DA7</paraID>
      <start>0</start>
      <end>2</end>
      <status>unmodified</status>
      <modifiedWord/>
      <trackRevisions>false</trackRevisions>
    </reviewItem>
    <reviewItem>
      <errorID>3d99d140-cc6f-4997-acb7-90dcc1a176c1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5CC649C7</paraID>
      <start>0</start>
      <end>2</end>
      <status>unmodified</status>
      <modifiedWord/>
      <trackRevisions>false</trackRevisions>
    </reviewItem>
    <reviewItem>
      <errorID>66d5a00f-48d4-4721-9fdb-c0c752ef5000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4CD8071B</paraID>
      <start>0</start>
      <end>2</end>
      <status>unmodified</status>
      <modifiedWord/>
      <trackRevisions>false</trackRevisions>
    </reviewItem>
    <reviewItem>
      <errorID>39d03fe6-3731-4f56-8e59-d7c3a2947a5d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7ED682B6</paraID>
      <start>0</start>
      <end>2</end>
      <status>unmodified</status>
      <modifiedWord/>
      <trackRevisions>false</trackRevisions>
    </reviewItem>
    <reviewItem>
      <errorID>6d26438f-29d6-4ddf-a8de-74a5e2a312d4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3AC62BB5</paraID>
      <start>0</start>
      <end>2</end>
      <status>unmodified</status>
      <modifiedWord/>
      <trackRevisions>false</trackRevisions>
    </reviewItem>
    <reviewItem>
      <errorID>40f2bc3e-e090-47ad-9f88-77588267868b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5BB67222</paraID>
      <start>0</start>
      <end>2</end>
      <status>unmodified</status>
      <modifiedWord/>
      <trackRevisions>false</trackRevisions>
    </reviewItem>
    <reviewItem>
      <errorID>5b0b5b8e-127f-4458-8adc-6d031502eb37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15158E45</paraID>
      <start>0</start>
      <end>2</end>
      <status>unmodified</status>
      <modifiedWord/>
      <trackRevisions>false</trackRevisions>
    </reviewItem>
    <reviewItem>
      <errorID>bc41dada-d03b-4c53-b0bf-f365f446acad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7A3F5F3D</paraID>
      <start>0</start>
      <end>2</end>
      <status>unmodified</status>
      <modifiedWord/>
      <trackRevisions>false</trackRevisions>
    </reviewItem>
    <reviewItem>
      <errorID>da244b58-2774-41bc-9eee-cc0c5262dc32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75E9A939</paraID>
      <start>0</start>
      <end>2</end>
      <status>unmodified</status>
      <modifiedWord/>
      <trackRevisions>false</trackRevisions>
    </reviewItem>
    <reviewItem>
      <errorID>6b2d4924-34c5-4729-b502-407670cc3f63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182DF338</paraID>
      <start>0</start>
      <end>2</end>
      <status>unmodified</status>
      <modifiedWord/>
      <trackRevisions>false</trackRevisions>
    </reviewItem>
    <reviewItem>
      <errorID>7e2a71ae-bbac-48bc-aa28-0fbd5e73b49a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3D36853B</paraID>
      <start>0</start>
      <end>2</end>
      <status>unmodified</status>
      <modifiedWord/>
      <trackRevisions>false</trackRevisions>
    </reviewItem>
    <reviewItem>
      <errorID>5750f85d-4854-4217-9783-59e5136c9a3d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336BF329</paraID>
      <start>0</start>
      <end>2</end>
      <status>unmodified</status>
      <modifiedWord/>
      <trackRevisions>false</trackRevisions>
    </reviewItem>
    <reviewItem>
      <errorID>4e1ee3e9-23ee-496c-89c5-2152e96162ef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2B2426E</paraID>
      <start>0</start>
      <end>2</end>
      <status>unmodified</status>
      <modifiedWord/>
      <trackRevisions>false</trackRevisions>
    </reviewItem>
    <reviewItem>
      <errorID>4b9425fc-4720-4165-9448-3113a3f48183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69D2DCC4</paraID>
      <start>0</start>
      <end>2</end>
      <status>unmodified</status>
      <modifiedWord/>
      <trackRevisions>false</trackRevisions>
    </reviewItem>
    <reviewItem>
      <errorID>a6e544bc-b4e0-4147-8827-cccbb7bc3d73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46CF78DB</paraID>
      <start>0</start>
      <end>2</end>
      <status>unmodified</status>
      <modifiedWord/>
      <trackRevisions>false</trackRevisions>
    </reviewItem>
    <reviewItem>
      <errorID>0b4f376e-e025-4149-bcb3-d9ae546ca286</errorID>
      <errorWord>甲方则</errorWord>
      <group>L1_Word</group>
      <groupName>字词问题</groupName>
      <ability>L2_Typo</ability>
      <abilityName>字词错误</abilityName>
      <candidateList>
        <item>甲方</item>
      </candidateList>
      <explain/>
      <paraID>46CF78DB</paraID>
      <start>73</start>
      <end>76</end>
      <status>unmodified</status>
      <modifiedWord/>
      <trackRevisions>false</trackRevisions>
    </reviewItem>
    <reviewItem>
      <errorID>e83df212-39d0-4b00-91ef-ee2ad77252b9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7A39798C</paraID>
      <start>0</start>
      <end>2</end>
      <status>unmodified</status>
      <modifiedWord/>
      <trackRevisions>false</trackRevisions>
    </reviewItem>
    <reviewItem>
      <errorID>2123eeac-0da2-4225-af0e-8aaf428091e4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388CEAB7</paraID>
      <start>0</start>
      <end>2</end>
      <status>unmodified</status>
      <modifiedWord/>
      <trackRevisions>false</trackRevisions>
    </reviewItem>
    <reviewItem>
      <errorID>2d9bc928-a46e-4266-b889-87ebb325bd24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2C68F296</paraID>
      <start>4</start>
      <end>6</end>
      <status>unmodified</status>
      <modifiedWord/>
      <trackRevisions>false</trackRevisions>
    </reviewItem>
    <reviewItem>
      <errorID>638cbd89-1ec0-49ab-9d06-0a49fcfe5aa3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37707927</paraID>
      <start>0</start>
      <end>2</end>
      <status>unmodified</status>
      <modifiedWord/>
      <trackRevisions>false</trackRevisions>
    </reviewItem>
    <reviewItem>
      <errorID>ac44d5b2-dfee-4125-bf5f-42b1c42055d3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7EFA6991</paraID>
      <start>0</start>
      <end>2</end>
      <status>unmodified</status>
      <modifiedWord/>
      <trackRevisions>false</trackRevisions>
    </reviewItem>
    <reviewItem>
      <errorID>e5bf01c4-96ae-4e02-bda1-264808d091c3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63255C7A</paraID>
      <start>0</start>
      <end>2</end>
      <status>unmodified</status>
      <modifiedWord/>
      <trackRevisions>false</trackRevisions>
    </reviewItem>
    <reviewItem>
      <errorID>35088089-ee6f-4411-a9ef-9800e1ef6259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4BF69628</paraID>
      <start>0</start>
      <end>2</end>
      <status>unmodified</status>
      <modifiedWord/>
      <trackRevisions>false</trackRevisions>
    </reviewItem>
    <reviewItem>
      <errorID>8494f1c5-9fd5-4c48-a0b6-d5ebd3351f16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1DFDCCBA</paraID>
      <start>0</start>
      <end>2</end>
      <status>unmodified</status>
      <modifiedWord/>
      <trackRevisions>false</trackRevisions>
    </reviewItem>
    <reviewItem>
      <errorID>83822ee7-5a76-4187-8ea3-50c43b546ae9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2E519DD9</paraID>
      <start>0</start>
      <end>2</end>
      <status>unmodified</status>
      <modifiedWord/>
      <trackRevisions>false</trackRevisions>
    </reviewItem>
    <reviewItem>
      <errorID>291c48d0-128c-4431-886b-e2bee02f25dc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5F1B5510</paraID>
      <start>0</start>
      <end>2</end>
      <status>unmodified</status>
      <modifiedWord/>
      <trackRevisions>false</trackRevisions>
    </reviewItem>
    <reviewItem>
      <errorID>5f717624-d63c-43fa-a707-66b9c0100a15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30B10BA9</paraID>
      <start>0</start>
      <end>2</end>
      <status>unmodified</status>
      <modifiedWord/>
      <trackRevisions>false</trackRevisions>
    </reviewItem>
    <reviewItem>
      <errorID>5f2ad50c-478b-4ed9-b93d-36abb6d9a1ce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6A464EBF</paraID>
      <start>0</start>
      <end>2</end>
      <status>unmodified</status>
      <modifiedWord/>
      <trackRevisions>false</trackRevisions>
    </reviewItem>
    <reviewItem>
      <errorID>c4ec30d7-5379-48e8-908f-9f6910cefc81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44D0EA7D</paraID>
      <start>0</start>
      <end>2</end>
      <status>unmodified</status>
      <modifiedWord/>
      <trackRevisions>false</trackRevisions>
    </reviewItem>
    <reviewItem>
      <errorID>73f6ce5f-31fa-4246-8504-9023839b39a3</errorID>
      <errorWord>是由于乙方的过错造成</errorWord>
      <group>L1_Grammar</group>
      <groupName>语法问题</groupName>
      <ability>L2_Grammar</ability>
      <abilityName>语法错误</abilityName>
      <candidateList>
        <item>是由于乙方的过错</item>
      </candidateList>
      <explain>该表达中的“是由于乙方的过错造成”存在语义重复。</explain>
      <paraID>44D0EA7D</paraID>
      <start>36</start>
      <end>46</end>
      <status>unmodified</status>
      <modifiedWord/>
      <trackRevisions>false</trackRevisions>
    </reviewItem>
    <reviewItem>
      <errorID>bafc5272-342d-4b87-a2c0-a86b808a7049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35A39BC5</paraID>
      <start>0</start>
      <end>2</end>
      <status>unmodified</status>
      <modifiedWord/>
      <trackRevisions>false</trackRevisions>
    </reviewItem>
    <reviewItem>
      <errorID>6dcc1e26-d37d-449d-8709-1ddefeb53c17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18B8234A</paraID>
      <start>0</start>
      <end>2</end>
      <status>unmodified</status>
      <modifiedWord/>
      <trackRevisions>false</trackRevisions>
    </reviewItem>
    <reviewItem>
      <errorID>a74370f9-e3ac-448b-8fb5-bbbb0285bc06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69AA0277</paraID>
      <start>0</start>
      <end>2</end>
      <status>unmodified</status>
      <modifiedWord/>
      <trackRevisions>false</trackRevisions>
    </reviewItem>
    <reviewItem>
      <errorID>b68c300b-fa5c-45ee-b4c4-8aaedb1e3d02</errorID>
      <errorWord>服务的</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69AA0277</paraID>
      <start>3</start>
      <end>5</end>
      <status>modified</status>
      <modifiedWord>服务</modifiedWord>
      <trackRevisions>false</trackRevisions>
    </reviewItem>
    <reviewItem>
      <errorID>0bd8c89a-8d3f-4221-b476-80d528cbeea2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64BA87C3</paraID>
      <start>0</start>
      <end>2</end>
      <status>unmodified</status>
      <modifiedWord/>
      <trackRevisions>false</trackRevisions>
    </reviewItem>
    <reviewItem>
      <errorID>de2e130a-bcec-4205-baf5-63356a9edec8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57514BFF</paraID>
      <start>0</start>
      <end>2</end>
      <status>unmodified</status>
      <modifiedWord/>
      <trackRevisions>false</trackRevisions>
    </reviewItem>
    <reviewItem>
      <errorID>07ef82c0-14a6-465d-9736-bbc22e216b64</errorID>
      <errorWord>:</errorWord>
      <group>L1_Format</group>
      <groupName>格式问题</groupName>
      <ability>L2_HalfPunc_CN</ability>
      <abilityName>全半角问题</abilityName>
      <candidateList>
        <item>：</item>
      </candidateList>
      <explain>文本全半角错误。</explain>
      <paraID>630B43DB</paraID>
      <start>12</start>
      <end>13</end>
      <status>unmodified</status>
      <modifiedWord/>
      <trackRevisions>false</trackRevisions>
    </reviewItem>
    <reviewItem>
      <errorID>4a6bd3a5-11e8-48ae-95b0-c15e7c3680be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30743AF1</paraID>
      <start>0</start>
      <end>2</end>
      <status>unmodified</status>
      <modifiedWord/>
      <trackRevisions>false</trackRevisions>
    </reviewItem>
    <reviewItem>
      <errorID>a7afd0a8-7b1e-409f-931d-44b79caace07</errorID>
      <errorWord>(</errorWord>
      <group>L1_Format</group>
      <groupName>格式问题</groupName>
      <ability>L2_HalfPunc_CN</ability>
      <abilityName>全半角问题</abilityName>
      <candidateList>
        <item>（</item>
      </candidateList>
      <explain>文本全半角错误。</explain>
      <paraID>5325BF5C</paraID>
      <start>57</start>
      <end>58</end>
      <status>unmodified</status>
      <modifiedWord/>
      <trackRevisions>false</trackRevisions>
    </reviewItem>
    <reviewItem>
      <errorID>a0648a15-1caf-431f-84d8-b3ad4c07bbd3</errorID>
      <errorWord>)</errorWord>
      <group>L1_Format</group>
      <groupName>格式问题</groupName>
      <ability>L2_HalfPunc_CN</ability>
      <abilityName>全半角问题</abilityName>
      <candidateList>
        <item>）</item>
      </candidateList>
      <explain>文本全半角错误。</explain>
      <paraID>5325BF5C</paraID>
      <start>60</start>
      <end>61</end>
      <status>unmodified</status>
      <modifiedWord/>
      <trackRevisions>false</trackRevisions>
    </reviewItem>
    <reviewItem>
      <errorID>d76772ae-a826-4b06-ac0c-f19ade8f303c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2CAC432D</paraID>
      <start>0</start>
      <end>2</end>
      <status>unmodified</status>
      <modifiedWord/>
      <trackRevisions>false</trackRevisions>
    </reviewItem>
    <reviewItem>
      <errorID>6212f505-cfa5-4104-8600-ee48bab6119a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C049D3D</paraID>
      <start>0</start>
      <end>2</end>
      <status>unmodified</status>
      <modifiedWord/>
      <trackRevisions>false</trackRevisions>
    </reviewItem>
    <reviewItem>
      <errorID>862f0786-a3ed-4d39-a229-c1220624032b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22BBB9C3</paraID>
      <start>0</start>
      <end>2</end>
      <status>unmodified</status>
      <modifiedWord/>
      <trackRevisions>false</trackRevisions>
    </reviewItem>
    <reviewItem>
      <errorID>b83bf812-7064-460e-8214-9b0131e5ac70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50D69B8A</paraID>
      <start>0</start>
      <end>2</end>
      <status>unmodified</status>
      <modifiedWord/>
      <trackRevisions>false</trackRevisions>
    </reviewItem>
    <reviewItem>
      <errorID>b6e817e9-c26c-4447-b624-b06f71076a48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6F11FB7B</paraID>
      <start>0</start>
      <end>2</end>
      <status>unmodified</status>
      <modifiedWord/>
      <trackRevisions>false</trackRevisions>
    </reviewItem>
    <reviewItem>
      <errorID>269444f1-8551-4ca7-aa91-5ab3629b78d7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75374B00</paraID>
      <start>0</start>
      <end>2</end>
      <status>unmodified</status>
      <modifiedWord/>
      <trackRevisions>false</trackRevisions>
    </reviewItem>
    <reviewItem>
      <errorID>6152559c-d094-4071-b018-59d6f3d8058d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736CDE0E</paraID>
      <start>0</start>
      <end>2</end>
      <status>unmodified</status>
      <modifiedWord/>
      <trackRevisions>false</trackRevisions>
    </reviewItem>
    <reviewItem>
      <errorID>c89770de-d85a-423c-9dd4-49569ef19600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59BA1CCD</paraID>
      <start>0</start>
      <end>2</end>
      <status>unmodified</status>
      <modifiedWord/>
      <trackRevisions>false</trackRevisions>
    </reviewItem>
    <reviewItem>
      <errorID>cca41369-4555-4201-8632-4ddd732a8f83</errorID>
      <errorWord>:</errorWord>
      <group>L1_Format</group>
      <groupName>格式问题</groupName>
      <ability>L2_HalfPunc_CN</ability>
      <abilityName>全半角问题</abilityName>
      <candidateList>
        <item>：</item>
      </candidateList>
      <explain>文本全半角错误。</explain>
      <paraID> 3AC2EAA</paraID>
      <start>13</start>
      <end>14</end>
      <status>unmodified</status>
      <modifiedWord/>
      <trackRevisions>false</trackRevisions>
    </reviewItem>
    <reviewItem>
      <errorID>02007961-8a15-4c97-a0e5-328f88f8e7f7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59328AFD</paraID>
      <start>0</start>
      <end>2</end>
      <status>unmodified</status>
      <modifiedWord/>
      <trackRevisions>false</trackRevisions>
    </reviewItem>
    <reviewItem>
      <errorID>87eb85fd-7979-4fb1-9a39-4f4a4a4b1006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4735ABB5</paraID>
      <start>0</start>
      <end>2</end>
      <status>unmodified</status>
      <modifiedWord/>
      <trackRevisions>false</trackRevisions>
    </reviewItem>
    <reviewItem>
      <errorID>81d55e55-729f-4bf3-8ebb-04bd79ff04c2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1D819126</paraID>
      <start>0</start>
      <end>2</end>
      <status>unmodified</status>
      <modifiedWord/>
      <trackRevisions>false</trackRevisions>
    </reviewItem>
    <reviewItem>
      <errorID>87efe961-fcfd-4be9-ab8a-f8ae00d80d6e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123F971</paraID>
      <start>0</start>
      <end>2</end>
      <status>unmodified</status>
      <modifiedWord/>
      <trackRevisions>false</trackRevisions>
    </reviewItem>
    <reviewItem>
      <errorID>1c18b40c-7fea-4275-95f6-226d88df3fb0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39E2F93A</paraID>
      <start>0</start>
      <end>2</end>
      <status>unmodified</status>
      <modifiedWord/>
      <trackRevisions>false</trackRevisions>
    </reviewItem>
    <reviewItem>
      <errorID>cf4749ac-9b72-40e8-bebb-8448f2b2bb8f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5ECDAECB</paraID>
      <start>0</start>
      <end>2</end>
      <status>unmodified</status>
      <modifiedWord/>
      <trackRevisions>false</trackRevisions>
    </reviewItem>
    <reviewItem>
      <errorID>6b410d3e-1019-40d1-aa91-9fcb6ee4dac9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463E483F</paraID>
      <start>0</start>
      <end>2</end>
      <status>unmodified</status>
      <modifiedWord/>
      <trackRevisions>false</trackRevisions>
    </reviewItem>
    <reviewItem>
      <errorID>7ed8c4d9-7345-42a4-9df5-61cd90955923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414FB40</paraID>
      <start>0</start>
      <end>2</end>
      <status>unmodified</status>
      <modifiedWord/>
      <trackRevisions>false</trackRevisions>
    </reviewItem>
    <reviewItem>
      <errorID>215cb9c1-7ccd-4e84-833e-c901d5d611f1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74B4E302</paraID>
      <start>0</start>
      <end>3</end>
      <status>unmodified</status>
      <modifiedWord/>
      <trackRevisions>false</trackRevisions>
    </reviewItem>
    <reviewItem>
      <errorID>1443a0aa-9a37-4246-9bf6-df4f38a15562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559113EB</paraID>
      <start>0</start>
      <end>3</end>
      <status>unmodified</status>
      <modifiedWord/>
      <trackRevisions>false</trackRevisions>
    </reviewItem>
    <reviewItem>
      <errorID>1b88da68-a727-4615-ad88-7f72c8fcc8fc</errorID>
      <errorWord>（</errorWord>
      <group>L1_Punc</group>
      <groupName>标点问题</groupName>
      <ability>L2_Punc_CN</ability>
      <abilityName>标点符号问题</abilityName>
      <candidateList/>
      <explain>同一形式括号套用。</explain>
      <paraID>7C85E54C</paraID>
      <start>0</start>
      <end>1</end>
      <status>unmodified</status>
      <modifiedWord/>
      <trackRevisions>false</trackRevisions>
    </reviewItem>
    <reviewItem>
      <errorID>f64bdc68-e411-401a-a5c1-a9fd51628c0b</errorID>
      <errorWord>(</errorWord>
      <group>L1_Punc</group>
      <groupName>标点问题</groupName>
      <ability>L2_Punc_CN</ability>
      <abilityName>标点符号问题</abilityName>
      <candidateList/>
      <explain>同一形式括号套用。</explain>
      <paraID>7C85E54C</paraID>
      <start>19</start>
      <end>20</end>
      <status>unmodified</status>
      <modifiedWord/>
      <trackRevisions>false</trackRevisions>
    </reviewItem>
    <reviewItem>
      <errorID>d4c2d986-9e0f-4f6c-bad3-9ab7dd4a2ae4</errorID>
      <errorWord>)</errorWord>
      <group>L1_Punc</group>
      <groupName>标点问题</groupName>
      <ability>L2_Punc_CN</ability>
      <abilityName>标点符号问题</abilityName>
      <candidateList/>
      <explain>同一形式括号套用。</explain>
      <paraID>7C85E54C</paraID>
      <start>29</start>
      <end>30</end>
      <status>unmodified</status>
      <modifiedWord/>
      <trackRevisions>false</trackRevisions>
    </reviewItem>
    <reviewItem>
      <errorID>bdb3be7b-1a6a-4b54-9e2d-c35cac8acda5</errorID>
      <errorWord>）</errorWord>
      <group>L1_Punc</group>
      <groupName>标点问题</groupName>
      <ability>L2_Punc_CN</ability>
      <abilityName>标点符号问题</abilityName>
      <candidateList/>
      <explain>同一形式括号套用。</explain>
      <paraID>53F6ABA5</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15068b-832a-420b-9b1f-8a3a33a65f9e}">
  <ds:schemaRefs/>
</ds:datastoreItem>
</file>

<file path=docProps/app.xml><?xml version="1.0" encoding="utf-8"?>
<Properties xmlns="http://schemas.openxmlformats.org/officeDocument/2006/extended-properties" xmlns:vt="http://schemas.openxmlformats.org/officeDocument/2006/docPropsVTypes">
  <Template>Normal</Template>
  <Pages>40</Pages>
  <Words>9468</Words>
  <Characters>9959</Characters>
  <Lines>194</Lines>
  <Paragraphs>54</Paragraphs>
  <TotalTime>101</TotalTime>
  <ScaleCrop>false</ScaleCrop>
  <LinksUpToDate>false</LinksUpToDate>
  <CharactersWithSpaces>10079</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2026-05-27T02:05:00Z</dcterms:created>
  <dc:creator>vince</dc:creator>
  <cp:lastModifiedBy>张张</cp:lastModifiedBy>
  <cp:lastPrinted>2026-05-20T01:28:00Z</cp:lastPrinted>
  <dcterms:modified xsi:type="dcterms:W3CDTF">2026-07-02T02:38:47Z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B5A80AA45B14469DA9045B1A7C8DFF5C_11</vt:lpwstr>
  </property>
  <property fmtid="{D5CDD505-2E9C-101B-9397-08002B2CF9AE}" pid="4" name="KSOTemplateDocerSaveRecord">
    <vt:lpwstr>eyJoZGlkIjoiMGU1OWZlM2JlZmVmYjlkYTZiMzBmOWY0NTkxMjJmNDkiLCJ1c2VySWQiOiI1MDU0MzIyNTgifQ==</vt:lpwstr>
  </property>
</Properties>
</file>