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2736A" w14:textId="77777777" w:rsidR="00285E1D" w:rsidRDefault="00CF00E5">
      <w:pPr>
        <w:jc w:val="center"/>
        <w:rPr>
          <w:rFonts w:ascii="仿宋" w:eastAsia="仿宋" w:hAnsi="仿宋" w:cs="仿宋"/>
          <w:b/>
          <w:sz w:val="44"/>
          <w:szCs w:val="44"/>
        </w:rPr>
      </w:pPr>
      <w:r>
        <w:rPr>
          <w:rFonts w:ascii="仿宋" w:eastAsia="仿宋" w:hAnsi="仿宋" w:cs="仿宋" w:hint="eastAsia"/>
          <w:b/>
          <w:sz w:val="44"/>
          <w:szCs w:val="44"/>
        </w:rPr>
        <w:t>编制说明</w:t>
      </w:r>
    </w:p>
    <w:p w14:paraId="0DBBAF17" w14:textId="77777777" w:rsidR="00285E1D" w:rsidRDefault="00CF00E5">
      <w:pPr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一、工程概况</w:t>
      </w:r>
    </w:p>
    <w:p w14:paraId="3CA38AED" w14:textId="77777777" w:rsidR="00285E1D" w:rsidRDefault="00CF00E5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本项目为西岗街道龙泉山公墓相关房屋屋面防水及内外部维修、水表安装等零星修缮工程项目，</w:t>
      </w:r>
      <w:r>
        <w:rPr>
          <w:rFonts w:ascii="仿宋" w:eastAsia="仿宋" w:hAnsi="仿宋" w:cs="仿宋" w:hint="eastAsia"/>
          <w:sz w:val="28"/>
          <w:szCs w:val="28"/>
        </w:rPr>
        <w:t>主要施工范围为纪念堂、业务大厅、门岗、宿舍楼维修工程，具体建设内容包括：地面地砖、天棚吊顶、室内墙面涂料、室外檐口涂料、屋面防水等维修工程。</w:t>
      </w:r>
    </w:p>
    <w:p w14:paraId="0562EF56" w14:textId="77777777" w:rsidR="00285E1D" w:rsidRDefault="00CF00E5">
      <w:pPr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二</w:t>
      </w:r>
      <w:r>
        <w:rPr>
          <w:rFonts w:ascii="仿宋" w:eastAsia="仿宋" w:hAnsi="仿宋" w:cs="仿宋" w:hint="eastAsia"/>
          <w:sz w:val="28"/>
          <w:szCs w:val="28"/>
        </w:rPr>
        <w:t>、编制依据</w:t>
      </w:r>
    </w:p>
    <w:p w14:paraId="73945475" w14:textId="77777777" w:rsidR="00285E1D" w:rsidRDefault="00CF00E5">
      <w:pPr>
        <w:spacing w:line="360" w:lineRule="auto"/>
        <w:ind w:firstLineChars="200" w:firstLine="560"/>
        <w:rPr>
          <w:rFonts w:ascii="仿宋" w:eastAsia="仿宋" w:hAnsi="仿宋" w:cs="仿宋"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、甲方提供的初步排查</w:t>
      </w:r>
      <w:r>
        <w:rPr>
          <w:rFonts w:ascii="仿宋" w:eastAsia="仿宋" w:hAnsi="仿宋" w:cs="仿宋" w:hint="eastAsia"/>
          <w:sz w:val="28"/>
          <w:szCs w:val="28"/>
        </w:rPr>
        <w:t>数据</w:t>
      </w:r>
      <w:r>
        <w:rPr>
          <w:rFonts w:ascii="仿宋" w:eastAsia="仿宋" w:hAnsi="仿宋" w:cs="仿宋" w:hint="eastAsia"/>
          <w:sz w:val="28"/>
          <w:szCs w:val="28"/>
        </w:rPr>
        <w:t>、基本需求和共同现场踏勘、衡量测算的工作量。</w:t>
      </w:r>
    </w:p>
    <w:p w14:paraId="3A25160C" w14:textId="77777777" w:rsidR="00285E1D" w:rsidRDefault="00CF00E5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计价依据</w:t>
      </w:r>
      <w:r>
        <w:rPr>
          <w:rFonts w:ascii="仿宋" w:eastAsia="仿宋" w:hAnsi="仿宋" w:cs="仿宋" w:hint="eastAsia"/>
          <w:sz w:val="28"/>
          <w:szCs w:val="28"/>
        </w:rPr>
        <w:t>：</w:t>
      </w:r>
    </w:p>
    <w:p w14:paraId="5396609B" w14:textId="77777777" w:rsidR="00285E1D" w:rsidRDefault="00CF00E5">
      <w:pPr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①甲方提供的初步排查、基本需求和共同现场踏勘、衡量测算的工作量；</w:t>
      </w:r>
    </w:p>
    <w:p w14:paraId="27897785" w14:textId="77777777" w:rsidR="00285E1D" w:rsidRDefault="00CF00E5">
      <w:pPr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②《建设工程工程量清单计价标准》</w:t>
      </w:r>
      <w:r>
        <w:rPr>
          <w:rFonts w:ascii="仿宋" w:eastAsia="仿宋" w:hAnsi="仿宋" w:cs="仿宋" w:hint="eastAsia"/>
          <w:sz w:val="28"/>
          <w:szCs w:val="28"/>
        </w:rPr>
        <w:t>GB/T50500-2024</w:t>
      </w:r>
      <w:r>
        <w:rPr>
          <w:rFonts w:ascii="仿宋" w:eastAsia="仿宋" w:hAnsi="仿宋" w:cs="仿宋" w:hint="eastAsia"/>
          <w:sz w:val="28"/>
          <w:szCs w:val="28"/>
        </w:rPr>
        <w:t>以及配套</w:t>
      </w:r>
      <w:r>
        <w:rPr>
          <w:rFonts w:ascii="仿宋" w:eastAsia="仿宋" w:hAnsi="仿宋" w:cs="仿宋" w:hint="eastAsia"/>
          <w:sz w:val="28"/>
          <w:szCs w:val="28"/>
        </w:rPr>
        <w:t>9</w:t>
      </w:r>
      <w:r>
        <w:rPr>
          <w:rFonts w:ascii="仿宋" w:eastAsia="仿宋" w:hAnsi="仿宋" w:cs="仿宋" w:hint="eastAsia"/>
          <w:sz w:val="28"/>
          <w:szCs w:val="28"/>
        </w:rPr>
        <w:t>本工程量计算标准（</w:t>
      </w:r>
      <w:r>
        <w:rPr>
          <w:rFonts w:ascii="仿宋" w:eastAsia="仿宋" w:hAnsi="仿宋" w:cs="仿宋" w:hint="eastAsia"/>
          <w:sz w:val="28"/>
          <w:szCs w:val="28"/>
        </w:rPr>
        <w:t>GB50854~50862-2024</w:t>
      </w:r>
      <w:r>
        <w:rPr>
          <w:rFonts w:ascii="仿宋" w:eastAsia="仿宋" w:hAnsi="仿宋" w:cs="仿宋" w:hint="eastAsia"/>
          <w:sz w:val="28"/>
          <w:szCs w:val="28"/>
        </w:rPr>
        <w:t>）。</w:t>
      </w:r>
    </w:p>
    <w:p w14:paraId="6CC8AAFE" w14:textId="77777777" w:rsidR="00285E1D" w:rsidRDefault="00CF00E5">
      <w:pPr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③《省住房和城乡建设厅关于实施〈建设工程工程量清单计价标准〉（</w:t>
      </w:r>
      <w:r>
        <w:rPr>
          <w:rFonts w:ascii="仿宋" w:eastAsia="仿宋" w:hAnsi="仿宋" w:cs="仿宋" w:hint="eastAsia"/>
          <w:sz w:val="28"/>
          <w:szCs w:val="28"/>
        </w:rPr>
        <w:t>GB/T50500-2024</w:t>
      </w:r>
      <w:r>
        <w:rPr>
          <w:rFonts w:ascii="仿宋" w:eastAsia="仿宋" w:hAnsi="仿宋" w:cs="仿宋" w:hint="eastAsia"/>
          <w:sz w:val="28"/>
          <w:szCs w:val="28"/>
        </w:rPr>
        <w:t>）及</w:t>
      </w:r>
      <w:r>
        <w:rPr>
          <w:rFonts w:ascii="仿宋" w:eastAsia="仿宋" w:hAnsi="仿宋" w:cs="仿宋" w:hint="eastAsia"/>
          <w:sz w:val="28"/>
          <w:szCs w:val="28"/>
        </w:rPr>
        <w:t>9</w:t>
      </w:r>
      <w:r>
        <w:rPr>
          <w:rFonts w:ascii="仿宋" w:eastAsia="仿宋" w:hAnsi="仿宋" w:cs="仿宋" w:hint="eastAsia"/>
          <w:sz w:val="28"/>
          <w:szCs w:val="28"/>
        </w:rPr>
        <w:t>本工程量计算标准有关事宜的公告》（〔</w:t>
      </w:r>
      <w:r>
        <w:rPr>
          <w:rFonts w:ascii="仿宋" w:eastAsia="仿宋" w:hAnsi="仿宋" w:cs="仿宋" w:hint="eastAsia"/>
          <w:sz w:val="28"/>
          <w:szCs w:val="28"/>
        </w:rPr>
        <w:t>2025</w:t>
      </w:r>
      <w:r>
        <w:rPr>
          <w:rFonts w:ascii="仿宋" w:eastAsia="仿宋" w:hAnsi="仿宋" w:cs="仿宋" w:hint="eastAsia"/>
          <w:sz w:val="28"/>
          <w:szCs w:val="28"/>
        </w:rPr>
        <w:t>〕</w:t>
      </w:r>
      <w:r>
        <w:rPr>
          <w:rFonts w:ascii="仿宋" w:eastAsia="仿宋" w:hAnsi="仿宋" w:cs="仿宋" w:hint="eastAsia"/>
          <w:sz w:val="28"/>
          <w:szCs w:val="28"/>
        </w:rPr>
        <w:t>12</w:t>
      </w:r>
      <w:r>
        <w:rPr>
          <w:rFonts w:ascii="仿宋" w:eastAsia="仿宋" w:hAnsi="仿宋" w:cs="仿宋" w:hint="eastAsia"/>
          <w:sz w:val="28"/>
          <w:szCs w:val="28"/>
        </w:rPr>
        <w:t>号）、苏建价〔</w:t>
      </w:r>
      <w:r>
        <w:rPr>
          <w:rFonts w:ascii="仿宋" w:eastAsia="仿宋" w:hAnsi="仿宋" w:cs="仿宋" w:hint="eastAsia"/>
          <w:sz w:val="28"/>
          <w:szCs w:val="28"/>
        </w:rPr>
        <w:t>2026</w:t>
      </w:r>
      <w:r>
        <w:rPr>
          <w:rFonts w:ascii="仿宋" w:eastAsia="仿宋" w:hAnsi="仿宋" w:cs="仿宋" w:hint="eastAsia"/>
          <w:sz w:val="28"/>
          <w:szCs w:val="28"/>
        </w:rPr>
        <w:t>〕</w:t>
      </w:r>
      <w:r>
        <w:rPr>
          <w:rFonts w:ascii="仿宋" w:eastAsia="仿宋" w:hAnsi="仿宋" w:cs="仿宋" w:hint="eastAsia"/>
          <w:sz w:val="28"/>
          <w:szCs w:val="28"/>
        </w:rPr>
        <w:t>76</w:t>
      </w:r>
      <w:r>
        <w:rPr>
          <w:rFonts w:ascii="仿宋" w:eastAsia="仿宋" w:hAnsi="仿宋" w:cs="仿宋" w:hint="eastAsia"/>
          <w:sz w:val="28"/>
          <w:szCs w:val="28"/>
        </w:rPr>
        <w:t>号《省住房和城乡建设厅关于发布〈江苏省建筑与装饰工程消耗量〉〈江苏省市政工程消耗量〉〈江苏省通用安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装工程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消耗量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〉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及配套文件的通知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》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。</w:t>
      </w:r>
    </w:p>
    <w:p w14:paraId="7D385A98" w14:textId="77777777" w:rsidR="00285E1D" w:rsidRDefault="00CF00E5">
      <w:pPr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④现行有关清单编制文件及相关标准、施工验收规范。</w:t>
      </w:r>
    </w:p>
    <w:p w14:paraId="1BEEDD49" w14:textId="77777777" w:rsidR="00285E1D" w:rsidRDefault="00CF00E5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</w:t>
      </w:r>
      <w:r>
        <w:rPr>
          <w:rFonts w:ascii="仿宋" w:eastAsia="仿宋" w:hAnsi="仿宋" w:cs="仿宋" w:hint="eastAsia"/>
          <w:sz w:val="28"/>
          <w:szCs w:val="28"/>
        </w:rPr>
        <w:t>、与本工程项目有关的标</w:t>
      </w:r>
      <w:r>
        <w:rPr>
          <w:rFonts w:ascii="仿宋" w:eastAsia="仿宋" w:hAnsi="仿宋" w:cs="仿宋" w:hint="eastAsia"/>
          <w:sz w:val="28"/>
          <w:szCs w:val="28"/>
        </w:rPr>
        <w:t>准、施工规范与验收规范。</w:t>
      </w:r>
    </w:p>
    <w:p w14:paraId="498D9EBD" w14:textId="77777777" w:rsidR="00285E1D" w:rsidRDefault="00CF00E5">
      <w:pPr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三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编制说明</w:t>
      </w:r>
    </w:p>
    <w:p w14:paraId="62E9FF3F" w14:textId="77777777" w:rsidR="00285E1D" w:rsidRDefault="00CF00E5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1</w:t>
      </w:r>
      <w:r>
        <w:rPr>
          <w:rFonts w:ascii="仿宋" w:eastAsia="仿宋" w:hAnsi="仿宋" w:cs="仿宋" w:hint="eastAsia"/>
          <w:sz w:val="28"/>
          <w:szCs w:val="28"/>
        </w:rPr>
        <w:t>、人工价格按《省住房和城乡建设厅关于发布</w:t>
      </w:r>
      <w:r>
        <w:rPr>
          <w:rFonts w:ascii="仿宋" w:eastAsia="仿宋" w:hAnsi="仿宋" w:cs="仿宋" w:hint="eastAsia"/>
          <w:sz w:val="28"/>
          <w:szCs w:val="28"/>
        </w:rPr>
        <w:t>2026</w:t>
      </w:r>
      <w:r>
        <w:rPr>
          <w:rFonts w:ascii="仿宋" w:eastAsia="仿宋" w:hAnsi="仿宋" w:cs="仿宋" w:hint="eastAsia"/>
          <w:sz w:val="28"/>
          <w:szCs w:val="28"/>
        </w:rPr>
        <w:t>年上半年建设工程人工价格指数的通知》（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苏建函价〔</w:t>
      </w:r>
      <w:r>
        <w:rPr>
          <w:rFonts w:ascii="仿宋" w:eastAsia="仿宋" w:hAnsi="仿宋" w:cs="仿宋" w:hint="eastAsia"/>
          <w:sz w:val="28"/>
          <w:szCs w:val="28"/>
        </w:rPr>
        <w:t>2026</w:t>
      </w:r>
      <w:r>
        <w:rPr>
          <w:rFonts w:ascii="仿宋" w:eastAsia="仿宋" w:hAnsi="仿宋" w:cs="仿宋" w:hint="eastAsia"/>
          <w:sz w:val="28"/>
          <w:szCs w:val="28"/>
        </w:rPr>
        <w:t>〕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27</w:t>
      </w:r>
      <w:r>
        <w:rPr>
          <w:rFonts w:ascii="仿宋" w:eastAsia="仿宋" w:hAnsi="仿宋" w:cs="仿宋" w:hint="eastAsia"/>
          <w:sz w:val="28"/>
          <w:szCs w:val="28"/>
        </w:rPr>
        <w:t>号）执行。。</w:t>
      </w:r>
    </w:p>
    <w:p w14:paraId="6231303C" w14:textId="77777777" w:rsidR="00285E1D" w:rsidRDefault="00CF00E5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</w:t>
      </w:r>
      <w:r>
        <w:rPr>
          <w:rFonts w:ascii="仿宋" w:eastAsia="仿宋" w:hAnsi="仿宋" w:cs="仿宋" w:hint="eastAsia"/>
          <w:sz w:val="28"/>
          <w:szCs w:val="28"/>
        </w:rPr>
        <w:t>、材料价格按</w:t>
      </w:r>
      <w:r>
        <w:rPr>
          <w:rFonts w:ascii="仿宋" w:eastAsia="仿宋" w:hAnsi="仿宋" w:cs="仿宋" w:hint="eastAsia"/>
          <w:sz w:val="28"/>
          <w:szCs w:val="28"/>
        </w:rPr>
        <w:t>2026</w:t>
      </w:r>
      <w:r>
        <w:rPr>
          <w:rFonts w:ascii="仿宋" w:eastAsia="仿宋" w:hAnsi="仿宋" w:cs="仿宋" w:hint="eastAsia"/>
          <w:sz w:val="28"/>
          <w:szCs w:val="28"/>
        </w:rPr>
        <w:t>年</w:t>
      </w:r>
      <w:r>
        <w:rPr>
          <w:rFonts w:ascii="仿宋" w:eastAsia="仿宋" w:hAnsi="仿宋" w:cs="仿宋" w:hint="eastAsia"/>
          <w:sz w:val="28"/>
          <w:szCs w:val="28"/>
        </w:rPr>
        <w:t>7</w:t>
      </w:r>
      <w:r>
        <w:rPr>
          <w:rFonts w:ascii="仿宋" w:eastAsia="仿宋" w:hAnsi="仿宋" w:cs="仿宋" w:hint="eastAsia"/>
          <w:sz w:val="28"/>
          <w:szCs w:val="28"/>
        </w:rPr>
        <w:t>月份南京市造价信息网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信息价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执行，设备单价均通过市场询价计入。</w:t>
      </w:r>
    </w:p>
    <w:p w14:paraId="3AE350AC" w14:textId="7F0151B2" w:rsidR="00285E1D" w:rsidRDefault="00CF00E5">
      <w:pPr>
        <w:spacing w:line="360" w:lineRule="auto"/>
        <w:ind w:firstLineChars="200" w:firstLine="562"/>
        <w:rPr>
          <w:rFonts w:ascii="仿宋" w:eastAsia="仿宋" w:hAnsi="仿宋" w:cs="仿宋"/>
          <w:sz w:val="28"/>
          <w:szCs w:val="28"/>
        </w:rPr>
      </w:pPr>
      <w:r w:rsidRPr="00BF68CD">
        <w:rPr>
          <w:rFonts w:ascii="仿宋" w:eastAsia="仿宋" w:hAnsi="仿宋" w:cs="仿宋" w:hint="eastAsia"/>
          <w:b/>
          <w:bCs/>
          <w:sz w:val="28"/>
          <w:szCs w:val="28"/>
        </w:rPr>
        <w:t>3</w:t>
      </w:r>
      <w:r w:rsidRPr="00BF68CD">
        <w:rPr>
          <w:rFonts w:ascii="仿宋" w:eastAsia="仿宋" w:hAnsi="仿宋" w:cs="仿宋" w:hint="eastAsia"/>
          <w:b/>
          <w:bCs/>
          <w:sz w:val="28"/>
          <w:szCs w:val="28"/>
        </w:rPr>
        <w:t>、通用措施费：</w:t>
      </w:r>
      <w:r>
        <w:rPr>
          <w:rFonts w:ascii="仿宋" w:eastAsia="仿宋" w:hAnsi="仿宋" w:cs="仿宋" w:hint="eastAsia"/>
          <w:sz w:val="28"/>
          <w:szCs w:val="28"/>
        </w:rPr>
        <w:t>最高投标限价的安全生产费按《江苏建设工程费用参考</w:t>
      </w:r>
      <w:r>
        <w:rPr>
          <w:rFonts w:ascii="仿宋" w:eastAsia="仿宋" w:hAnsi="仿宋" w:cs="仿宋" w:hint="eastAsia"/>
          <w:sz w:val="28"/>
          <w:szCs w:val="28"/>
        </w:rPr>
        <w:t>2026</w:t>
      </w:r>
      <w:r>
        <w:rPr>
          <w:rFonts w:ascii="仿宋" w:eastAsia="仿宋" w:hAnsi="仿宋" w:cs="仿宋" w:hint="eastAsia"/>
          <w:sz w:val="28"/>
          <w:szCs w:val="28"/>
        </w:rPr>
        <w:t>》修缮建筑类的标准费率</w:t>
      </w:r>
      <w:r>
        <w:rPr>
          <w:rFonts w:ascii="仿宋" w:eastAsia="仿宋" w:hAnsi="仿宋" w:cs="仿宋" w:hint="eastAsia"/>
          <w:sz w:val="28"/>
          <w:szCs w:val="28"/>
        </w:rPr>
        <w:t>3.8%</w:t>
      </w:r>
      <w:r>
        <w:rPr>
          <w:rFonts w:ascii="仿宋" w:eastAsia="仿宋" w:hAnsi="仿宋" w:cs="仿宋" w:hint="eastAsia"/>
          <w:sz w:val="28"/>
          <w:szCs w:val="28"/>
        </w:rPr>
        <w:t>计取（计算基础为：分部分项工程费－除税工程设备费），</w:t>
      </w:r>
      <w:r w:rsidRPr="00BF68CD">
        <w:rPr>
          <w:rFonts w:ascii="仿宋" w:eastAsia="仿宋" w:hAnsi="仿宋" w:cs="仿宋" w:hint="eastAsia"/>
          <w:b/>
          <w:bCs/>
          <w:sz w:val="28"/>
          <w:szCs w:val="28"/>
        </w:rPr>
        <w:t>投标人报价不得低于此费率。</w:t>
      </w:r>
    </w:p>
    <w:p w14:paraId="1F67453F" w14:textId="77777777" w:rsidR="00285E1D" w:rsidRDefault="00CF00E5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</w:t>
      </w:r>
      <w:r>
        <w:rPr>
          <w:rFonts w:ascii="仿宋" w:eastAsia="仿宋" w:hAnsi="仿宋" w:cs="仿宋" w:hint="eastAsia"/>
          <w:sz w:val="28"/>
          <w:szCs w:val="28"/>
        </w:rPr>
        <w:t>、暂列金：</w:t>
      </w:r>
      <w:r>
        <w:rPr>
          <w:rFonts w:ascii="仿宋" w:eastAsia="仿宋" w:hAnsi="仿宋" w:cs="仿宋" w:hint="eastAsia"/>
          <w:sz w:val="28"/>
          <w:szCs w:val="28"/>
        </w:rPr>
        <w:t>9800</w:t>
      </w:r>
      <w:r>
        <w:rPr>
          <w:rFonts w:ascii="仿宋" w:eastAsia="仿宋" w:hAnsi="仿宋" w:cs="仿宋" w:hint="eastAsia"/>
          <w:sz w:val="28"/>
          <w:szCs w:val="28"/>
        </w:rPr>
        <w:t>元</w:t>
      </w:r>
      <w:r>
        <w:rPr>
          <w:rFonts w:ascii="仿宋" w:eastAsia="仿宋" w:hAnsi="仿宋" w:cs="仿宋" w:hint="eastAsia"/>
          <w:sz w:val="28"/>
          <w:szCs w:val="28"/>
        </w:rPr>
        <w:t>；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</w:p>
    <w:p w14:paraId="043E5FDF" w14:textId="77777777" w:rsidR="00285E1D" w:rsidRDefault="00CF00E5">
      <w:pPr>
        <w:pStyle w:val="HTML"/>
      </w:pPr>
      <w:r>
        <w:rPr>
          <w:rFonts w:ascii="仿宋" w:eastAsia="仿宋" w:hAnsi="仿宋" w:cs="仿宋" w:hint="eastAsia"/>
          <w:sz w:val="28"/>
          <w:szCs w:val="28"/>
        </w:rPr>
        <w:t xml:space="preserve">    5</w:t>
      </w:r>
      <w:r>
        <w:rPr>
          <w:rFonts w:ascii="仿宋" w:eastAsia="仿宋" w:hAnsi="仿宋" w:cs="仿宋" w:hint="eastAsia"/>
          <w:sz w:val="28"/>
          <w:szCs w:val="28"/>
        </w:rPr>
        <w:t>、暂估价：无。</w:t>
      </w:r>
    </w:p>
    <w:p w14:paraId="1B173DD2" w14:textId="77777777" w:rsidR="00285E1D" w:rsidRDefault="00CF00E5">
      <w:pPr>
        <w:pStyle w:val="HTML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6</w:t>
      </w:r>
      <w:r>
        <w:rPr>
          <w:rFonts w:ascii="仿宋" w:eastAsia="仿宋" w:hAnsi="仿宋" w:cs="仿宋" w:hint="eastAsia"/>
          <w:sz w:val="28"/>
          <w:szCs w:val="28"/>
        </w:rPr>
        <w:t>、投标人勘察现场，结合现场实际情况及条件，根据自身情况自主报价；</w:t>
      </w:r>
    </w:p>
    <w:p w14:paraId="7AFD306A" w14:textId="77777777" w:rsidR="00285E1D" w:rsidRDefault="00CF00E5">
      <w:pPr>
        <w:pStyle w:val="HTML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7</w:t>
      </w:r>
      <w:r>
        <w:rPr>
          <w:rFonts w:ascii="仿宋" w:eastAsia="仿宋" w:hAnsi="仿宋" w:cs="仿宋" w:hint="eastAsia"/>
          <w:sz w:val="28"/>
          <w:szCs w:val="28"/>
        </w:rPr>
        <w:t>、施工用水、用电相关费用不单独列项，投标人自行综合考虑在报价内；</w:t>
      </w:r>
    </w:p>
    <w:p w14:paraId="2B8D518B" w14:textId="77777777" w:rsidR="00285E1D" w:rsidRDefault="00CF00E5">
      <w:pPr>
        <w:pStyle w:val="HTML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8</w:t>
      </w:r>
      <w:r>
        <w:rPr>
          <w:rFonts w:ascii="仿宋" w:eastAsia="仿宋" w:hAnsi="仿宋" w:cs="仿宋" w:hint="eastAsia"/>
          <w:sz w:val="28"/>
          <w:szCs w:val="28"/>
        </w:rPr>
        <w:t>、投标人需综合考虑现场成品保护及安全保护费用，此部分费用综合考虑在投标报价中；</w:t>
      </w:r>
    </w:p>
    <w:p w14:paraId="5EE25EE9" w14:textId="77777777" w:rsidR="00285E1D" w:rsidRDefault="00285E1D">
      <w:pPr>
        <w:pStyle w:val="HTML"/>
        <w:jc w:val="right"/>
        <w:rPr>
          <w:rFonts w:ascii="仿宋" w:eastAsia="仿宋" w:hAnsi="仿宋" w:cs="仿宋"/>
          <w:sz w:val="32"/>
          <w:szCs w:val="32"/>
        </w:rPr>
      </w:pPr>
    </w:p>
    <w:p w14:paraId="5B6A9A4A" w14:textId="77777777" w:rsidR="00285E1D" w:rsidRDefault="00CF00E5">
      <w:pPr>
        <w:pStyle w:val="HTML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2026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14:paraId="3BCA894D" w14:textId="77777777" w:rsidR="00285E1D" w:rsidRDefault="00285E1D">
      <w:pPr>
        <w:pStyle w:val="HTML"/>
        <w:ind w:firstLineChars="200" w:firstLine="560"/>
        <w:jc w:val="right"/>
        <w:rPr>
          <w:rFonts w:ascii="仿宋" w:eastAsia="仿宋" w:hAnsi="仿宋" w:cs="仿宋"/>
          <w:sz w:val="28"/>
          <w:szCs w:val="28"/>
        </w:rPr>
      </w:pPr>
    </w:p>
    <w:sectPr w:rsidR="00285E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BD64A" w14:textId="77777777" w:rsidR="00CF00E5" w:rsidRDefault="00CF00E5" w:rsidP="00BF68CD">
      <w:r>
        <w:separator/>
      </w:r>
    </w:p>
  </w:endnote>
  <w:endnote w:type="continuationSeparator" w:id="0">
    <w:p w14:paraId="76D21BFA" w14:textId="77777777" w:rsidR="00CF00E5" w:rsidRDefault="00CF00E5" w:rsidP="00BF6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EC736" w14:textId="77777777" w:rsidR="00CF00E5" w:rsidRDefault="00CF00E5" w:rsidP="00BF68CD">
      <w:r>
        <w:separator/>
      </w:r>
    </w:p>
  </w:footnote>
  <w:footnote w:type="continuationSeparator" w:id="0">
    <w:p w14:paraId="5552899E" w14:textId="77777777" w:rsidR="00CF00E5" w:rsidRDefault="00CF00E5" w:rsidP="00BF68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M2MDJlNzljMDA0NGU5ZTEwNGQ0YWM2NjNmZmViMGMifQ=="/>
  </w:docVars>
  <w:rsids>
    <w:rsidRoot w:val="00E80598"/>
    <w:rsid w:val="00003B10"/>
    <w:rsid w:val="00024C73"/>
    <w:rsid w:val="00070CA5"/>
    <w:rsid w:val="000878B4"/>
    <w:rsid w:val="00094F0E"/>
    <w:rsid w:val="000C5F5E"/>
    <w:rsid w:val="00130701"/>
    <w:rsid w:val="001D3A5E"/>
    <w:rsid w:val="00224361"/>
    <w:rsid w:val="00285E1D"/>
    <w:rsid w:val="00322F85"/>
    <w:rsid w:val="00377F37"/>
    <w:rsid w:val="003C551D"/>
    <w:rsid w:val="003D4DFA"/>
    <w:rsid w:val="0041308F"/>
    <w:rsid w:val="0044597E"/>
    <w:rsid w:val="00457557"/>
    <w:rsid w:val="00462E4D"/>
    <w:rsid w:val="004A69EC"/>
    <w:rsid w:val="004C3E75"/>
    <w:rsid w:val="004E1038"/>
    <w:rsid w:val="005453BC"/>
    <w:rsid w:val="005733F8"/>
    <w:rsid w:val="00587E4B"/>
    <w:rsid w:val="005C7A6B"/>
    <w:rsid w:val="006035F5"/>
    <w:rsid w:val="006252DA"/>
    <w:rsid w:val="006A6281"/>
    <w:rsid w:val="006D6139"/>
    <w:rsid w:val="006E0A43"/>
    <w:rsid w:val="006F1DF0"/>
    <w:rsid w:val="00716093"/>
    <w:rsid w:val="00770FE5"/>
    <w:rsid w:val="00777DEA"/>
    <w:rsid w:val="00784A79"/>
    <w:rsid w:val="00792C2E"/>
    <w:rsid w:val="007E7818"/>
    <w:rsid w:val="007F7C1D"/>
    <w:rsid w:val="00847CE5"/>
    <w:rsid w:val="00850ECA"/>
    <w:rsid w:val="00855A30"/>
    <w:rsid w:val="008964D1"/>
    <w:rsid w:val="009220B0"/>
    <w:rsid w:val="009A4915"/>
    <w:rsid w:val="009C2E62"/>
    <w:rsid w:val="009F7256"/>
    <w:rsid w:val="00A63FC9"/>
    <w:rsid w:val="00AB037F"/>
    <w:rsid w:val="00AC1EED"/>
    <w:rsid w:val="00B276BE"/>
    <w:rsid w:val="00B276F7"/>
    <w:rsid w:val="00B45773"/>
    <w:rsid w:val="00B46074"/>
    <w:rsid w:val="00B55E62"/>
    <w:rsid w:val="00BF68CD"/>
    <w:rsid w:val="00C24412"/>
    <w:rsid w:val="00C30855"/>
    <w:rsid w:val="00C34BCE"/>
    <w:rsid w:val="00C36851"/>
    <w:rsid w:val="00C9616D"/>
    <w:rsid w:val="00CA1596"/>
    <w:rsid w:val="00CB729C"/>
    <w:rsid w:val="00CE3A1E"/>
    <w:rsid w:val="00CF00E5"/>
    <w:rsid w:val="00D05CFF"/>
    <w:rsid w:val="00D53389"/>
    <w:rsid w:val="00E03455"/>
    <w:rsid w:val="00E80598"/>
    <w:rsid w:val="00E924B2"/>
    <w:rsid w:val="00ED2F94"/>
    <w:rsid w:val="00EE3AC7"/>
    <w:rsid w:val="00EE41D4"/>
    <w:rsid w:val="00F106A9"/>
    <w:rsid w:val="00F35A42"/>
    <w:rsid w:val="00F500ED"/>
    <w:rsid w:val="00F637EC"/>
    <w:rsid w:val="00F86DE8"/>
    <w:rsid w:val="00FD2FBA"/>
    <w:rsid w:val="00FF6E54"/>
    <w:rsid w:val="036B05FB"/>
    <w:rsid w:val="0C077E65"/>
    <w:rsid w:val="0DED346A"/>
    <w:rsid w:val="0EC87826"/>
    <w:rsid w:val="0F94398B"/>
    <w:rsid w:val="16481B85"/>
    <w:rsid w:val="174921DB"/>
    <w:rsid w:val="18385044"/>
    <w:rsid w:val="1B54149B"/>
    <w:rsid w:val="1BAB05D6"/>
    <w:rsid w:val="1C3D3995"/>
    <w:rsid w:val="1FD465FD"/>
    <w:rsid w:val="230A1F70"/>
    <w:rsid w:val="232B2612"/>
    <w:rsid w:val="248314F4"/>
    <w:rsid w:val="2727236A"/>
    <w:rsid w:val="2BCE2314"/>
    <w:rsid w:val="2C68382C"/>
    <w:rsid w:val="2CD77FBA"/>
    <w:rsid w:val="327D464E"/>
    <w:rsid w:val="33E07A49"/>
    <w:rsid w:val="37307D68"/>
    <w:rsid w:val="374E10F6"/>
    <w:rsid w:val="3D2B2FEE"/>
    <w:rsid w:val="45515092"/>
    <w:rsid w:val="46FD2826"/>
    <w:rsid w:val="51FD44F2"/>
    <w:rsid w:val="66866108"/>
    <w:rsid w:val="67DF52A7"/>
    <w:rsid w:val="6AA846F5"/>
    <w:rsid w:val="6F55173B"/>
    <w:rsid w:val="722D39E7"/>
    <w:rsid w:val="73404453"/>
    <w:rsid w:val="750A2CD7"/>
    <w:rsid w:val="7538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394E152-5E7D-4806-B09E-7D1FD7B77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 w:qFormat="1"/>
    <w:lsdException w:name="footnote text" w:semiHidden="1" w:unhideWhenUsed="1"/>
    <w:lsdException w:name="annotation text" w:uiPriority="0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napToGrid w:val="0"/>
      <w:spacing w:before="60" w:after="60"/>
      <w:ind w:right="-11"/>
      <w:jc w:val="center"/>
      <w:outlineLvl w:val="0"/>
    </w:pPr>
    <w:rPr>
      <w:rFonts w:ascii="Times New Roman" w:eastAsia="宋体" w:hAnsi="Times New Roman" w:cs="Times New Roman"/>
      <w:b/>
      <w:kern w:val="44"/>
      <w:sz w:val="36"/>
      <w:szCs w:val="36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adjustRightInd w:val="0"/>
      <w:snapToGrid w:val="0"/>
      <w:spacing w:before="240" w:after="240"/>
      <w:ind w:right="-11"/>
      <w:jc w:val="center"/>
      <w:outlineLvl w:val="1"/>
    </w:pPr>
    <w:rPr>
      <w:rFonts w:ascii="Arial" w:eastAsia="宋体" w:hAnsi="Arial" w:cs="Times New Roman"/>
      <w:b/>
      <w:sz w:val="32"/>
      <w:szCs w:val="20"/>
    </w:rPr>
  </w:style>
  <w:style w:type="paragraph" w:styleId="3">
    <w:name w:val="heading 3"/>
    <w:basedOn w:val="a"/>
    <w:next w:val="a0"/>
    <w:link w:val="30"/>
    <w:uiPriority w:val="9"/>
    <w:qFormat/>
    <w:pPr>
      <w:keepNext/>
      <w:keepLines/>
      <w:adjustRightInd w:val="0"/>
      <w:snapToGrid w:val="0"/>
      <w:spacing w:before="240" w:after="240"/>
      <w:ind w:right="-11" w:firstLineChars="200" w:firstLine="200"/>
      <w:outlineLvl w:val="2"/>
    </w:pPr>
    <w:rPr>
      <w:rFonts w:ascii="宋体"/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semiHidden/>
    <w:unhideWhenUsed/>
    <w:qFormat/>
    <w:pPr>
      <w:ind w:right="-11" w:firstLineChars="200" w:firstLine="420"/>
    </w:pPr>
  </w:style>
  <w:style w:type="paragraph" w:styleId="TOC7">
    <w:name w:val="toc 7"/>
    <w:basedOn w:val="a"/>
    <w:next w:val="a"/>
    <w:uiPriority w:val="39"/>
    <w:unhideWhenUsed/>
    <w:qFormat/>
    <w:pPr>
      <w:ind w:leftChars="1200" w:left="2520"/>
    </w:pPr>
  </w:style>
  <w:style w:type="paragraph" w:styleId="a4">
    <w:name w:val="annotation text"/>
    <w:basedOn w:val="a"/>
    <w:link w:val="a5"/>
    <w:qFormat/>
    <w:pPr>
      <w:jc w:val="left"/>
    </w:pPr>
    <w:rPr>
      <w:rFonts w:ascii="Times New Roman" w:eastAsia="宋体" w:hAnsi="Times New Roman" w:cs="Times New Roman"/>
      <w:szCs w:val="24"/>
    </w:rPr>
  </w:style>
  <w:style w:type="paragraph" w:styleId="31">
    <w:name w:val="Body Text 3"/>
    <w:basedOn w:val="a"/>
    <w:link w:val="32"/>
    <w:qFormat/>
    <w:rPr>
      <w:rFonts w:ascii="宋体" w:eastAsia="宋体"/>
      <w:sz w:val="24"/>
    </w:rPr>
  </w:style>
  <w:style w:type="paragraph" w:styleId="a6">
    <w:name w:val="Body Text"/>
    <w:basedOn w:val="a"/>
    <w:link w:val="a7"/>
    <w:qFormat/>
    <w:pPr>
      <w:spacing w:after="120" w:line="360" w:lineRule="auto"/>
    </w:pPr>
    <w:rPr>
      <w:rFonts w:ascii="Times New Roman" w:eastAsia="宋体" w:hAnsi="Times New Roman" w:cs="Times New Roman"/>
      <w:szCs w:val="20"/>
    </w:rPr>
  </w:style>
  <w:style w:type="paragraph" w:styleId="TOC5">
    <w:name w:val="toc 5"/>
    <w:basedOn w:val="a"/>
    <w:next w:val="a"/>
    <w:uiPriority w:val="39"/>
    <w:unhideWhenUsed/>
    <w:qFormat/>
    <w:pPr>
      <w:ind w:leftChars="800" w:left="1680"/>
    </w:pPr>
  </w:style>
  <w:style w:type="paragraph" w:styleId="TOC3">
    <w:name w:val="toc 3"/>
    <w:basedOn w:val="a"/>
    <w:next w:val="a"/>
    <w:uiPriority w:val="39"/>
    <w:unhideWhenUsed/>
    <w:qFormat/>
    <w:pPr>
      <w:ind w:leftChars="400" w:left="840" w:right="-11"/>
    </w:pPr>
  </w:style>
  <w:style w:type="paragraph" w:styleId="TOC8">
    <w:name w:val="toc 8"/>
    <w:basedOn w:val="a"/>
    <w:next w:val="a"/>
    <w:uiPriority w:val="39"/>
    <w:unhideWhenUsed/>
    <w:qFormat/>
    <w:pPr>
      <w:ind w:leftChars="1400" w:left="2940"/>
    </w:pPr>
  </w:style>
  <w:style w:type="paragraph" w:styleId="a8">
    <w:name w:val="Balloon Text"/>
    <w:basedOn w:val="a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a">
    <w:name w:val="footer"/>
    <w:basedOn w:val="a"/>
    <w:link w:val="ab"/>
    <w:uiPriority w:val="99"/>
    <w:qFormat/>
    <w:pPr>
      <w:widowControl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styleId="ac">
    <w:name w:val="header"/>
    <w:basedOn w:val="a"/>
    <w:link w:val="ad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paragraph" w:styleId="TOC1">
    <w:name w:val="toc 1"/>
    <w:basedOn w:val="a"/>
    <w:next w:val="a"/>
    <w:uiPriority w:val="39"/>
    <w:qFormat/>
    <w:pPr>
      <w:tabs>
        <w:tab w:val="right" w:leader="dot" w:pos="9030"/>
      </w:tabs>
      <w:spacing w:line="560" w:lineRule="exact"/>
      <w:ind w:right="-11"/>
      <w:jc w:val="left"/>
    </w:pPr>
    <w:rPr>
      <w:rFonts w:ascii="宋体" w:eastAsia="宋体" w:hAnsi="宋体" w:cs="宋体"/>
      <w:b/>
      <w:bCs/>
      <w:sz w:val="30"/>
      <w:szCs w:val="30"/>
    </w:rPr>
  </w:style>
  <w:style w:type="paragraph" w:styleId="TOC4">
    <w:name w:val="toc 4"/>
    <w:basedOn w:val="a"/>
    <w:next w:val="a"/>
    <w:uiPriority w:val="39"/>
    <w:unhideWhenUsed/>
    <w:qFormat/>
    <w:pPr>
      <w:ind w:leftChars="600" w:left="1260"/>
    </w:pPr>
  </w:style>
  <w:style w:type="paragraph" w:styleId="TOC6">
    <w:name w:val="toc 6"/>
    <w:basedOn w:val="a"/>
    <w:next w:val="a"/>
    <w:uiPriority w:val="39"/>
    <w:unhideWhenUsed/>
    <w:qFormat/>
    <w:pPr>
      <w:ind w:leftChars="1000" w:left="2100"/>
    </w:pPr>
  </w:style>
  <w:style w:type="paragraph" w:styleId="TOC2">
    <w:name w:val="toc 2"/>
    <w:basedOn w:val="a"/>
    <w:next w:val="a"/>
    <w:uiPriority w:val="39"/>
    <w:unhideWhenUsed/>
    <w:qFormat/>
    <w:pPr>
      <w:ind w:leftChars="200" w:left="420" w:right="-11"/>
    </w:pPr>
  </w:style>
  <w:style w:type="paragraph" w:styleId="TOC9">
    <w:name w:val="toc 9"/>
    <w:basedOn w:val="a"/>
    <w:next w:val="a"/>
    <w:uiPriority w:val="39"/>
    <w:unhideWhenUsed/>
    <w:qFormat/>
    <w:pPr>
      <w:ind w:leftChars="1600" w:left="3360"/>
    </w:pPr>
  </w:style>
  <w:style w:type="paragraph" w:styleId="HTML">
    <w:name w:val="HTML Preformatted"/>
    <w:basedOn w:val="a"/>
    <w:link w:val="HTML0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</w:pPr>
    <w:rPr>
      <w:rFonts w:ascii="Arial" w:eastAsia="宋体" w:hAnsi="Arial" w:cs="Times New Roman"/>
      <w:szCs w:val="24"/>
    </w:rPr>
  </w:style>
  <w:style w:type="paragraph" w:styleId="ae">
    <w:name w:val="Title"/>
    <w:basedOn w:val="a"/>
    <w:next w:val="a"/>
    <w:link w:val="11"/>
    <w:uiPriority w:val="10"/>
    <w:qFormat/>
    <w:pPr>
      <w:spacing w:before="240" w:after="60"/>
      <w:ind w:right="-11"/>
      <w:jc w:val="center"/>
      <w:outlineLvl w:val="0"/>
    </w:pPr>
    <w:rPr>
      <w:rFonts w:asciiTheme="majorHAnsi" w:hAnsiTheme="majorHAnsi" w:cstheme="majorBidi"/>
      <w:b/>
      <w:bCs/>
      <w:sz w:val="44"/>
      <w:szCs w:val="32"/>
    </w:rPr>
  </w:style>
  <w:style w:type="paragraph" w:styleId="af">
    <w:name w:val="annotation subject"/>
    <w:basedOn w:val="a4"/>
    <w:next w:val="a4"/>
    <w:link w:val="af0"/>
    <w:qFormat/>
    <w:rPr>
      <w:b/>
      <w:bCs/>
    </w:rPr>
  </w:style>
  <w:style w:type="table" w:styleId="af1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uiPriority w:val="99"/>
    <w:unhideWhenUsed/>
    <w:qFormat/>
    <w:rPr>
      <w:color w:val="0000FF"/>
      <w:u w:val="single"/>
    </w:rPr>
  </w:style>
  <w:style w:type="character" w:styleId="af3">
    <w:name w:val="annotation reference"/>
    <w:basedOn w:val="a1"/>
    <w:qFormat/>
    <w:rPr>
      <w:sz w:val="21"/>
      <w:szCs w:val="21"/>
    </w:rPr>
  </w:style>
  <w:style w:type="character" w:customStyle="1" w:styleId="10">
    <w:name w:val="标题 1 字符"/>
    <w:basedOn w:val="a1"/>
    <w:link w:val="1"/>
    <w:uiPriority w:val="99"/>
    <w:qFormat/>
    <w:rPr>
      <w:rFonts w:ascii="Times New Roman" w:eastAsia="宋体" w:hAnsi="Times New Roman" w:cs="Times New Roman"/>
      <w:b/>
      <w:kern w:val="44"/>
      <w:sz w:val="36"/>
      <w:szCs w:val="36"/>
    </w:rPr>
  </w:style>
  <w:style w:type="character" w:customStyle="1" w:styleId="21">
    <w:name w:val="标题 2 字符1"/>
    <w:basedOn w:val="a1"/>
    <w:link w:val="2"/>
    <w:uiPriority w:val="9"/>
    <w:qFormat/>
    <w:rPr>
      <w:rFonts w:ascii="Arial" w:eastAsia="宋体" w:hAnsi="Arial" w:cs="Times New Roman"/>
      <w:b/>
      <w:sz w:val="32"/>
      <w:szCs w:val="20"/>
    </w:rPr>
  </w:style>
  <w:style w:type="character" w:customStyle="1" w:styleId="30">
    <w:name w:val="标题 3 字符"/>
    <w:basedOn w:val="a1"/>
    <w:link w:val="3"/>
    <w:uiPriority w:val="9"/>
    <w:qFormat/>
    <w:rPr>
      <w:rFonts w:ascii="宋体"/>
      <w:b/>
      <w:sz w:val="24"/>
    </w:rPr>
  </w:style>
  <w:style w:type="character" w:customStyle="1" w:styleId="11">
    <w:name w:val="标题 字符1"/>
    <w:basedOn w:val="a1"/>
    <w:link w:val="ae"/>
    <w:uiPriority w:val="10"/>
    <w:qFormat/>
    <w:rPr>
      <w:rFonts w:asciiTheme="majorHAnsi" w:hAnsiTheme="majorHAnsi" w:cstheme="majorBidi"/>
      <w:b/>
      <w:bCs/>
      <w:sz w:val="44"/>
      <w:szCs w:val="32"/>
    </w:rPr>
  </w:style>
  <w:style w:type="paragraph" w:styleId="af4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customStyle="1" w:styleId="20">
    <w:name w:val="标题 2 字符"/>
    <w:uiPriority w:val="9"/>
    <w:qFormat/>
    <w:rPr>
      <w:rFonts w:ascii="新宋体" w:eastAsia="新宋体" w:hAnsi="新宋体"/>
      <w:b/>
      <w:bCs/>
      <w:kern w:val="2"/>
      <w:sz w:val="32"/>
      <w:szCs w:val="32"/>
      <w:lang w:val="zh-CN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adjustRightInd/>
      <w:snapToGrid/>
      <w:spacing w:before="0" w:after="0" w:line="400" w:lineRule="exact"/>
      <w:ind w:right="0" w:firstLineChars="0" w:firstLine="0"/>
    </w:pPr>
    <w:rPr>
      <w:rFonts w:ascii="Times New Roman" w:eastAsia="黑体" w:hAnsi="Times New Roman" w:cs="Times New Roman"/>
      <w:b w:val="0"/>
      <w:szCs w:val="20"/>
    </w:rPr>
  </w:style>
  <w:style w:type="character" w:customStyle="1" w:styleId="af5">
    <w:name w:val="标题 字符"/>
    <w:uiPriority w:val="10"/>
    <w:qFormat/>
    <w:rPr>
      <w:rFonts w:ascii="Cambria" w:hAnsi="Cambria" w:cs="Times New Roman"/>
      <w:b/>
      <w:bCs/>
      <w:kern w:val="2"/>
      <w:sz w:val="32"/>
      <w:szCs w:val="32"/>
    </w:rPr>
  </w:style>
  <w:style w:type="paragraph" w:styleId="af6">
    <w:name w:val="List Paragraph"/>
    <w:basedOn w:val="a"/>
    <w:qFormat/>
    <w:pPr>
      <w:ind w:firstLineChars="200" w:firstLine="420"/>
    </w:pPr>
    <w:rPr>
      <w:rFonts w:ascii="Calibri" w:eastAsia="宋体" w:hAnsi="Calibri" w:cs="Times New Roman"/>
    </w:rPr>
  </w:style>
  <w:style w:type="paragraph" w:customStyle="1" w:styleId="12">
    <w:name w:val="列出段落1"/>
    <w:basedOn w:val="a"/>
    <w:qFormat/>
    <w:pPr>
      <w:ind w:firstLineChars="200" w:firstLine="420"/>
    </w:pPr>
    <w:rPr>
      <w:rFonts w:ascii="Calibri" w:eastAsia="宋体" w:hAnsi="Calibri" w:cs="Times New Roman"/>
      <w:szCs w:val="21"/>
    </w:rPr>
  </w:style>
  <w:style w:type="character" w:customStyle="1" w:styleId="32">
    <w:name w:val="正文文本 3 字符"/>
    <w:link w:val="31"/>
    <w:qFormat/>
    <w:rPr>
      <w:rFonts w:ascii="宋体" w:eastAsia="宋体"/>
      <w:sz w:val="24"/>
    </w:rPr>
  </w:style>
  <w:style w:type="character" w:customStyle="1" w:styleId="3Char1">
    <w:name w:val="正文文本 3 Char1"/>
    <w:basedOn w:val="a1"/>
    <w:uiPriority w:val="99"/>
    <w:semiHidden/>
    <w:qFormat/>
    <w:rPr>
      <w:sz w:val="16"/>
      <w:szCs w:val="16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adjustRightInd/>
      <w:snapToGrid/>
      <w:spacing w:before="100" w:after="0" w:line="400" w:lineRule="exact"/>
      <w:ind w:right="0"/>
      <w:jc w:val="both"/>
    </w:pPr>
    <w:rPr>
      <w:rFonts w:ascii="Times New Roman" w:eastAsia="黑体" w:hAnsi="Times New Roman"/>
      <w:b w:val="0"/>
      <w:sz w:val="28"/>
    </w:rPr>
  </w:style>
  <w:style w:type="paragraph" w:customStyle="1" w:styleId="200">
    <w:name w:val="正文 + 行距: 固定值 20 磅"/>
    <w:basedOn w:val="a"/>
    <w:qFormat/>
    <w:pPr>
      <w:spacing w:line="400" w:lineRule="exact"/>
      <w:ind w:firstLineChars="341" w:firstLine="716"/>
    </w:pPr>
    <w:rPr>
      <w:rFonts w:ascii="Times New Roman" w:eastAsia="宋体" w:hAnsi="Times New Roman" w:cs="Times New Roman"/>
      <w:szCs w:val="20"/>
    </w:rPr>
  </w:style>
  <w:style w:type="character" w:customStyle="1" w:styleId="a7">
    <w:name w:val="正文文本 字符"/>
    <w:basedOn w:val="a1"/>
    <w:link w:val="a6"/>
    <w:qFormat/>
    <w:rPr>
      <w:rFonts w:ascii="Times New Roman" w:eastAsia="宋体" w:hAnsi="Times New Roman" w:cs="Times New Roman"/>
      <w:szCs w:val="20"/>
    </w:rPr>
  </w:style>
  <w:style w:type="character" w:customStyle="1" w:styleId="ab">
    <w:name w:val="页脚 字符"/>
    <w:basedOn w:val="a1"/>
    <w:link w:val="aa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d">
    <w:name w:val="页眉 字符"/>
    <w:basedOn w:val="a1"/>
    <w:link w:val="ac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批注框文本 字符"/>
    <w:basedOn w:val="a1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批注文字 字符"/>
    <w:basedOn w:val="a1"/>
    <w:link w:val="a4"/>
    <w:qFormat/>
    <w:rPr>
      <w:rFonts w:ascii="Times New Roman" w:eastAsia="宋体" w:hAnsi="Times New Roman" w:cs="Times New Roman"/>
      <w:szCs w:val="24"/>
    </w:rPr>
  </w:style>
  <w:style w:type="character" w:customStyle="1" w:styleId="af0">
    <w:name w:val="批注主题 字符"/>
    <w:basedOn w:val="a5"/>
    <w:link w:val="af"/>
    <w:qFormat/>
    <w:rPr>
      <w:rFonts w:ascii="Times New Roman" w:eastAsia="宋体" w:hAnsi="Times New Roman" w:cs="Times New Roman"/>
      <w:b/>
      <w:bCs/>
      <w:szCs w:val="24"/>
    </w:rPr>
  </w:style>
  <w:style w:type="paragraph" w:customStyle="1" w:styleId="13">
    <w:name w:val="修订1"/>
    <w:hidden/>
    <w:uiPriority w:val="99"/>
    <w:unhideWhenUsed/>
    <w:qFormat/>
    <w:rPr>
      <w:rFonts w:ascii="Times New Roman" w:hAnsi="Times New Roman"/>
      <w:kern w:val="2"/>
      <w:sz w:val="21"/>
      <w:szCs w:val="24"/>
    </w:rPr>
  </w:style>
  <w:style w:type="paragraph" w:customStyle="1" w:styleId="110">
    <w:name w:val="修订11"/>
    <w:hidden/>
    <w:uiPriority w:val="99"/>
    <w:unhideWhenUsed/>
    <w:qFormat/>
    <w:rPr>
      <w:rFonts w:ascii="Times New Roman" w:hAnsi="Times New Roman"/>
      <w:kern w:val="2"/>
      <w:sz w:val="21"/>
      <w:szCs w:val="24"/>
    </w:rPr>
  </w:style>
  <w:style w:type="character" w:customStyle="1" w:styleId="HTML0">
    <w:name w:val="HTML 预设格式 字符"/>
    <w:basedOn w:val="a1"/>
    <w:link w:val="HTML"/>
    <w:uiPriority w:val="99"/>
    <w:qFormat/>
    <w:rPr>
      <w:rFonts w:ascii="Arial" w:eastAsia="宋体" w:hAnsi="Arial" w:cs="Times New Roman"/>
      <w:szCs w:val="24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p15">
    <w:name w:val="p15"/>
    <w:basedOn w:val="a"/>
    <w:qFormat/>
    <w:pPr>
      <w:widowControl/>
      <w:ind w:firstLine="420"/>
    </w:pPr>
    <w:rPr>
      <w:rFonts w:ascii="Calibri" w:eastAsia="宋体" w:hAnsi="Calibri" w:cs="宋体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124</Words>
  <Characters>708</Characters>
  <Application>Microsoft Office Word</Application>
  <DocSecurity>0</DocSecurity>
  <Lines>5</Lines>
  <Paragraphs>1</Paragraphs>
  <ScaleCrop>false</ScaleCrop>
  <Company>微软中国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lujinzhi</dc:creator>
  <cp:lastModifiedBy>admin</cp:lastModifiedBy>
  <cp:revision>2</cp:revision>
  <cp:lastPrinted>2026-04-07T08:12:00Z</cp:lastPrinted>
  <dcterms:created xsi:type="dcterms:W3CDTF">2026-09-28T03:36:00Z</dcterms:created>
  <dcterms:modified xsi:type="dcterms:W3CDTF">2026-09-28T03:36:00Z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B24960325973479CADD22178D1C70BAA</vt:lpwstr>
  </property>
  <property fmtid="{D5CDD505-2E9C-101B-9397-08002B2CF9AE}" pid="4" name="KSOTemplateDocerSaveRecord">
    <vt:lpwstr>eyJoZGlkIjoiMjQ4MWRlNmYxMDlhNTkyZTVkNTRkYWU0YzZhMjRjNDIiLCJ1c2VySWQiOiI1ODM5OTE0NTEifQ==</vt:lpwstr>
  </property>
</Properties>
</file>