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B9F59">
      <w:pPr>
        <w:pStyle w:val="62"/>
        <w:snapToGrid w:val="0"/>
        <w:spacing w:after="200" w:line="480" w:lineRule="auto"/>
        <w:ind w:firstLine="0"/>
        <w:rPr>
          <w:rFonts w:hint="eastAsia" w:ascii="宋体" w:hAnsi="宋体"/>
          <w:color w:val="4472C4"/>
        </w:rPr>
      </w:pPr>
    </w:p>
    <w:p w14:paraId="06BC4969">
      <w:pPr>
        <w:pStyle w:val="62"/>
        <w:adjustRightInd/>
        <w:spacing w:before="0" w:after="0"/>
        <w:ind w:firstLine="0"/>
        <w:jc w:val="center"/>
        <w:rPr>
          <w:rFonts w:hint="eastAsia" w:ascii="微软雅黑" w:hAnsi="微软雅黑" w:eastAsia="微软雅黑"/>
          <w:b/>
          <w:bCs/>
          <w:sz w:val="96"/>
          <w:szCs w:val="96"/>
        </w:rPr>
      </w:pPr>
      <w:bookmarkStart w:id="0" w:name="_Toc8827434"/>
      <w:r>
        <w:rPr>
          <w:rFonts w:hint="eastAsia" w:ascii="微软雅黑" w:hAnsi="微软雅黑" w:eastAsia="微软雅黑"/>
          <w:b/>
          <w:bCs/>
          <w:sz w:val="96"/>
          <w:szCs w:val="96"/>
        </w:rPr>
        <w:t>竞争性磋商文件</w:t>
      </w:r>
    </w:p>
    <w:p w14:paraId="0058E9D6">
      <w:pPr>
        <w:spacing w:line="360" w:lineRule="auto"/>
        <w:rPr>
          <w:sz w:val="24"/>
        </w:rPr>
      </w:pPr>
    </w:p>
    <w:p w14:paraId="6E0F5C0E">
      <w:pPr>
        <w:spacing w:line="360" w:lineRule="auto"/>
        <w:rPr>
          <w:sz w:val="24"/>
        </w:rPr>
      </w:pPr>
    </w:p>
    <w:p w14:paraId="5E4B7075">
      <w:pPr>
        <w:pStyle w:val="62"/>
        <w:snapToGrid w:val="0"/>
        <w:spacing w:before="0" w:after="0" w:line="240" w:lineRule="auto"/>
        <w:ind w:firstLine="0"/>
        <w:jc w:val="center"/>
        <w:rPr>
          <w:b/>
          <w:bCs/>
          <w:sz w:val="32"/>
        </w:rPr>
      </w:pPr>
      <w:r>
        <w:rPr>
          <w:rFonts w:hint="eastAsia" w:ascii="华文中宋" w:hAnsi="华文中宋" w:eastAsia="华文中宋"/>
          <w:b/>
          <w:bCs/>
          <w:sz w:val="36"/>
        </w:rPr>
        <w:t>项目编号：</w:t>
      </w:r>
      <w:r>
        <w:rPr>
          <w:rFonts w:ascii="Times New Roman" w:hAnsi="Times New Roman" w:eastAsia="华文中宋"/>
          <w:b/>
          <w:bCs/>
          <w:sz w:val="36"/>
        </w:rPr>
        <w:t>NJYX-FW-2026009</w:t>
      </w:r>
    </w:p>
    <w:p w14:paraId="0F262BF9">
      <w:pPr>
        <w:spacing w:line="360" w:lineRule="auto"/>
        <w:rPr>
          <w:sz w:val="24"/>
        </w:rPr>
      </w:pPr>
    </w:p>
    <w:p w14:paraId="46719F69">
      <w:pPr>
        <w:pStyle w:val="14"/>
        <w:rPr>
          <w:rFonts w:hint="eastAsia"/>
        </w:rPr>
      </w:pPr>
    </w:p>
    <w:p w14:paraId="0FFD6294">
      <w:pPr>
        <w:pStyle w:val="62"/>
        <w:snapToGrid w:val="0"/>
        <w:spacing w:before="0" w:after="0" w:line="480" w:lineRule="auto"/>
        <w:ind w:left="1066" w:leftChars="508" w:right="94" w:rightChars="45" w:firstLine="0"/>
        <w:rPr>
          <w:rFonts w:hint="eastAsia" w:ascii="华文中宋" w:hAnsi="华文中宋" w:eastAsia="华文中宋"/>
          <w:b/>
          <w:bCs/>
          <w:sz w:val="36"/>
        </w:rPr>
      </w:pPr>
      <w:r>
        <w:rPr>
          <w:rFonts w:ascii="华文中宋" w:hAnsi="华文中宋" w:eastAsia="华文中宋"/>
          <w:b/>
          <w:bCs/>
          <w:sz w:val="36"/>
        </w:rPr>
        <mc:AlternateContent>
          <mc:Choice Requires="wps">
            <w:drawing>
              <wp:anchor distT="0" distB="0" distL="114300" distR="114300" simplePos="0" relativeHeight="251659264" behindDoc="0" locked="0" layoutInCell="1" allowOverlap="1">
                <wp:simplePos x="0" y="0"/>
                <wp:positionH relativeFrom="column">
                  <wp:posOffset>1678940</wp:posOffset>
                </wp:positionH>
                <wp:positionV relativeFrom="paragraph">
                  <wp:posOffset>320040</wp:posOffset>
                </wp:positionV>
                <wp:extent cx="3299460" cy="0"/>
                <wp:effectExtent l="0" t="0" r="0" b="0"/>
                <wp:wrapNone/>
                <wp:docPr id="1463791479" name="直接连接符 1463791479"/>
                <wp:cNvGraphicFramePr/>
                <a:graphic xmlns:a="http://schemas.openxmlformats.org/drawingml/2006/main">
                  <a:graphicData uri="http://schemas.microsoft.com/office/word/2010/wordprocessingShape">
                    <wps:wsp>
                      <wps:cNvCnPr/>
                      <wps:spPr>
                        <a:xfrm>
                          <a:off x="0" y="0"/>
                          <a:ext cx="329946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32.2pt;margin-top:25.2pt;height:0pt;width:259.8pt;z-index:251659264;mso-width-relative:page;mso-height-relative:page;" filled="f" stroked="t" coordsize="21600,21600" o:gfxdata="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7onhL1wAAAAkBAAAPAAAAAAAAAAEAIAAAACIAAABkcnMvZG93bnJl&#10;di54bWxQSwECFAAUAAAACACHTuJA+mydJv4BAADlAwAADgAAAAAAAAABACAAAAAmAQAAZHJzL2Uy&#10;b0RvYy54bWxQSwUGAAAAAAYABgBZAQAAlgUAAAAA&#10;">
                <v:fill on="f" focussize="0,0"/>
                <v:stroke weight="0.5pt" color="#000000" miterlimit="8" joinstyle="miter"/>
                <v:imagedata o:title=""/>
                <o:lock v:ext="edit" aspectratio="f"/>
              </v:line>
            </w:pict>
          </mc:Fallback>
        </mc:AlternateContent>
      </w:r>
      <w:r>
        <w:rPr>
          <w:rFonts w:hint="eastAsia" w:ascii="华文中宋" w:hAnsi="华文中宋" w:eastAsia="华文中宋"/>
          <w:b/>
          <w:bCs/>
          <w:sz w:val="36"/>
        </w:rPr>
        <w:t>项目名称：</w:t>
      </w:r>
      <w:r>
        <w:rPr>
          <w:rFonts w:ascii="华文中宋" w:hAnsi="华文中宋" w:eastAsia="华文中宋"/>
          <w:b/>
          <w:bCs/>
          <w:sz w:val="36"/>
        </w:rPr>
        <w:t>南京市栖霞区医院H</w:t>
      </w:r>
      <w:r>
        <w:rPr>
          <w:rFonts w:hint="eastAsia" w:ascii="华文中宋" w:hAnsi="华文中宋" w:eastAsia="华文中宋"/>
          <w:b/>
          <w:bCs/>
          <w:sz w:val="36"/>
        </w:rPr>
        <w:t>IS</w:t>
      </w:r>
      <w:r>
        <w:rPr>
          <w:rFonts w:ascii="华文中宋" w:hAnsi="华文中宋" w:eastAsia="华文中宋"/>
          <w:b/>
          <w:bCs/>
          <w:sz w:val="36"/>
        </w:rPr>
        <w:t>系统维保</w:t>
      </w:r>
    </w:p>
    <w:p w14:paraId="06BB7CAB">
      <w:pPr>
        <w:pStyle w:val="62"/>
        <w:snapToGrid w:val="0"/>
        <w:spacing w:before="0" w:after="0" w:line="480" w:lineRule="auto"/>
        <w:ind w:firstLine="2638" w:firstLineChars="733"/>
        <w:rPr>
          <w:rFonts w:hint="eastAsia" w:ascii="华文中宋" w:hAnsi="华文中宋" w:eastAsia="华文中宋"/>
          <w:b/>
          <w:bCs/>
          <w:sz w:val="36"/>
        </w:rPr>
      </w:pPr>
      <w:r>
        <w:rPr>
          <w:rFonts w:ascii="华文中宋" w:hAnsi="华文中宋" w:eastAsia="华文中宋"/>
          <w:b/>
          <w:bCs/>
          <w:sz w:val="36"/>
        </w:rPr>
        <w:t>服务项目</w:t>
      </w:r>
      <w:r>
        <mc:AlternateContent>
          <mc:Choice Requires="wps">
            <w:drawing>
              <wp:anchor distT="0" distB="0" distL="114300" distR="114300" simplePos="0" relativeHeight="251661312" behindDoc="0" locked="0" layoutInCell="1" allowOverlap="1">
                <wp:simplePos x="0" y="0"/>
                <wp:positionH relativeFrom="column">
                  <wp:posOffset>1670050</wp:posOffset>
                </wp:positionH>
                <wp:positionV relativeFrom="paragraph">
                  <wp:posOffset>321945</wp:posOffset>
                </wp:positionV>
                <wp:extent cx="3314700" cy="0"/>
                <wp:effectExtent l="0" t="0" r="0" b="0"/>
                <wp:wrapNone/>
                <wp:docPr id="386451626" name="直接连接符 386451626"/>
                <wp:cNvGraphicFramePr/>
                <a:graphic xmlns:a="http://schemas.openxmlformats.org/drawingml/2006/main">
                  <a:graphicData uri="http://schemas.microsoft.com/office/word/2010/wordprocessingShape">
                    <wps:wsp>
                      <wps:cNvCnPr/>
                      <wps:spPr>
                        <a:xfrm>
                          <a:off x="0" y="0"/>
                          <a:ext cx="33147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31.5pt;margin-top:25.35pt;height:0pt;width:261pt;z-index:251661312;mso-width-relative:page;mso-height-relative:page;" filled="f" stroked="t" coordsize="21600,21600" o:gfxdata="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5bb+dYAAAAJAQAADwAAAAAAAAABACAAAAAiAAAAZHJzL2Rvd25yZXYu&#10;eG1sUEsBAhQAFAAAAAgAh07iQHaKb3T9AQAA4wMAAA4AAAAAAAAAAQAgAAAAJQEAAGRycy9lMm9E&#10;b2MueG1sUEsFBgAAAAAGAAYAWQEAAJQFAAAAAA==&#10;">
                <v:fill on="f" focussize="0,0"/>
                <v:stroke weight="0.5pt" color="#000000" miterlimit="8" joinstyle="miter"/>
                <v:imagedata o:title=""/>
                <o:lock v:ext="edit" aspectratio="f"/>
              </v:line>
            </w:pict>
          </mc:Fallback>
        </mc:AlternateContent>
      </w:r>
    </w:p>
    <w:p w14:paraId="61AA68BD">
      <w:pPr>
        <w:pStyle w:val="62"/>
        <w:snapToGrid w:val="0"/>
        <w:spacing w:before="0" w:after="0" w:line="480" w:lineRule="auto"/>
        <w:ind w:left="1066" w:leftChars="508" w:right="94" w:rightChars="45" w:firstLine="0"/>
        <w:rPr>
          <w:rFonts w:hint="eastAsia" w:ascii="华文中宋" w:hAnsi="华文中宋" w:eastAsia="华文中宋"/>
          <w:b/>
          <w:bCs/>
          <w:sz w:val="36"/>
          <w:u w:val="single"/>
        </w:rPr>
      </w:pPr>
      <w:r>
        <mc:AlternateContent>
          <mc:Choice Requires="wps">
            <w:drawing>
              <wp:anchor distT="0" distB="0" distL="114300" distR="114300" simplePos="0" relativeHeight="251662336" behindDoc="0" locked="0" layoutInCell="1" allowOverlap="1">
                <wp:simplePos x="0" y="0"/>
                <wp:positionH relativeFrom="column">
                  <wp:posOffset>1668780</wp:posOffset>
                </wp:positionH>
                <wp:positionV relativeFrom="paragraph">
                  <wp:posOffset>323850</wp:posOffset>
                </wp:positionV>
                <wp:extent cx="3322320" cy="0"/>
                <wp:effectExtent l="0" t="0" r="0" b="0"/>
                <wp:wrapNone/>
                <wp:docPr id="1423041282" name="直接连接符 1423041282"/>
                <wp:cNvGraphicFramePr/>
                <a:graphic xmlns:a="http://schemas.openxmlformats.org/drawingml/2006/main">
                  <a:graphicData uri="http://schemas.microsoft.com/office/word/2010/wordprocessingShape">
                    <wps:wsp>
                      <wps:cNvCnPr/>
                      <wps:spPr>
                        <a:xfrm>
                          <a:off x="0" y="0"/>
                          <a:ext cx="332232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31.4pt;margin-top:25.5pt;height:0pt;width:261.6pt;z-index:251662336;mso-width-relative:page;mso-height-relative:page;" filled="f" stroked="t" coordsize="21600,21600" o:gfxdata="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e+Loh1QAAAAkBAAAPAAAAAAAAAAEAIAAAACIAAABkcnMvZG93bnJldi54&#10;bWxQSwECFAAUAAAACACHTuJAySamdP0BAADlAwAADgAAAAAAAAABACAAAAAkAQAAZHJzL2Uyb0Rv&#10;Yy54bWxQSwUGAAAAAAYABgBZAQAAkwUAAAAA&#10;">
                <v:fill on="f" focussize="0,0"/>
                <v:stroke weight="0.5pt" color="#000000" miterlimit="8" joinstyle="miter"/>
                <v:imagedata o:title=""/>
                <o:lock v:ext="edit" aspectratio="f"/>
              </v:line>
            </w:pict>
          </mc:Fallback>
        </mc:AlternateContent>
      </w:r>
      <w:r>
        <w:rPr>
          <w:rFonts w:hint="eastAsia" w:ascii="华文中宋" w:hAnsi="华文中宋" w:eastAsia="华文中宋"/>
          <w:b/>
          <w:bCs/>
          <w:sz w:val="36"/>
        </w:rPr>
        <w:t xml:space="preserve">采 购 人：    </w:t>
      </w:r>
      <w:r>
        <w:rPr>
          <w:rFonts w:ascii="华文中宋" w:hAnsi="华文中宋" w:eastAsia="华文中宋"/>
          <w:b/>
          <w:bCs/>
          <w:sz w:val="36"/>
        </w:rPr>
        <w:t>南京市栖霞区医院</w:t>
      </w:r>
    </w:p>
    <w:p w14:paraId="6180F279">
      <w:pPr>
        <w:pStyle w:val="62"/>
        <w:snapToGrid w:val="0"/>
        <w:spacing w:before="0" w:after="0" w:line="480" w:lineRule="auto"/>
        <w:ind w:left="1066" w:leftChars="508" w:right="94" w:rightChars="45" w:firstLine="0"/>
        <w:rPr>
          <w:rFonts w:hint="eastAsia" w:ascii="华文中宋" w:hAnsi="华文中宋" w:eastAsia="华文中宋"/>
          <w:b/>
          <w:bCs/>
          <w:sz w:val="36"/>
        </w:rPr>
      </w:pPr>
      <w:r>
        <mc:AlternateContent>
          <mc:Choice Requires="wps">
            <w:drawing>
              <wp:anchor distT="0" distB="0" distL="114300" distR="114300" simplePos="0" relativeHeight="251663360" behindDoc="0" locked="0" layoutInCell="1" allowOverlap="1">
                <wp:simplePos x="0" y="0"/>
                <wp:positionH relativeFrom="column">
                  <wp:posOffset>1673225</wp:posOffset>
                </wp:positionH>
                <wp:positionV relativeFrom="paragraph">
                  <wp:posOffset>318135</wp:posOffset>
                </wp:positionV>
                <wp:extent cx="3329940" cy="0"/>
                <wp:effectExtent l="0" t="0" r="0" b="0"/>
                <wp:wrapNone/>
                <wp:docPr id="1354340208" name="直接连接符 1354340208"/>
                <wp:cNvGraphicFramePr/>
                <a:graphic xmlns:a="http://schemas.openxmlformats.org/drawingml/2006/main">
                  <a:graphicData uri="http://schemas.microsoft.com/office/word/2010/wordprocessingShape">
                    <wps:wsp>
                      <wps:cNvCnPr/>
                      <wps:spPr>
                        <a:xfrm>
                          <a:off x="0" y="0"/>
                          <a:ext cx="33299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31.75pt;margin-top:25.05pt;height:0pt;width:262.2pt;z-index:251663360;mso-width-relative:page;mso-height-relative:page;" filled="f" stroked="t" coordsize="21600,21600" o:gfxdata="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rhCqA1wAAAAkBAAAPAAAAAAAAAAEAIAAAACIAAABkcnMvZG93bnJl&#10;di54bWxQSwECFAAUAAAACACHTuJAHii1pf4BAADlAwAADgAAAAAAAAABACAAAAAmAQAAZHJzL2Uy&#10;b0RvYy54bWxQSwUGAAAAAAYABgBZAQAAlgUAAAAA&#10;">
                <v:fill on="f" focussize="0,0"/>
                <v:stroke weight="0.5pt" color="#000000" miterlimit="8" joinstyle="miter"/>
                <v:imagedata o:title=""/>
                <o:lock v:ext="edit" aspectratio="f"/>
              </v:line>
            </w:pict>
          </mc:Fallback>
        </mc:AlternateContent>
      </w:r>
      <w:r>
        <w:rPr>
          <w:rFonts w:hint="eastAsia" w:ascii="华文中宋" w:hAnsi="华文中宋" w:eastAsia="华文中宋"/>
          <w:b/>
          <w:bCs/>
          <w:sz w:val="36"/>
        </w:rPr>
        <w:t>代理机构：南京越鑫项目管理咨询有限公司</w:t>
      </w:r>
    </w:p>
    <w:p w14:paraId="2AE307AA">
      <w:pPr>
        <w:pStyle w:val="62"/>
        <w:snapToGrid w:val="0"/>
        <w:spacing w:before="0" w:after="0" w:line="480" w:lineRule="auto"/>
        <w:ind w:left="1066" w:leftChars="508" w:right="94" w:rightChars="45" w:firstLine="0"/>
        <w:rPr>
          <w:rFonts w:hint="eastAsia" w:ascii="华文中宋" w:hAnsi="华文中宋" w:eastAsia="华文中宋"/>
          <w:b/>
          <w:bCs/>
          <w:sz w:val="36"/>
        </w:rPr>
      </w:pPr>
      <w:r>
        <mc:AlternateContent>
          <mc:Choice Requires="wps">
            <w:drawing>
              <wp:anchor distT="0" distB="0" distL="114300" distR="114300" simplePos="0" relativeHeight="251664384" behindDoc="0" locked="0" layoutInCell="1" allowOverlap="1">
                <wp:simplePos x="0" y="0"/>
                <wp:positionH relativeFrom="column">
                  <wp:posOffset>1667510</wp:posOffset>
                </wp:positionH>
                <wp:positionV relativeFrom="paragraph">
                  <wp:posOffset>320675</wp:posOffset>
                </wp:positionV>
                <wp:extent cx="3329940" cy="0"/>
                <wp:effectExtent l="0" t="0" r="0" b="0"/>
                <wp:wrapNone/>
                <wp:docPr id="1537658745" name="直接连接符 1537658745"/>
                <wp:cNvGraphicFramePr/>
                <a:graphic xmlns:a="http://schemas.openxmlformats.org/drawingml/2006/main">
                  <a:graphicData uri="http://schemas.microsoft.com/office/word/2010/wordprocessingShape">
                    <wps:wsp>
                      <wps:cNvCnPr/>
                      <wps:spPr>
                        <a:xfrm>
                          <a:off x="0" y="0"/>
                          <a:ext cx="33299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31.3pt;margin-top:25.25pt;height:0pt;width:262.2pt;z-index:251664384;mso-width-relative:page;mso-height-relative:page;" filled="f" stroked="t" coordsize="21600,21600" o:gfxdata="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fPIg1gAAAAkBAAAPAAAAAAAAAAEAIAAAACIAAABkcnMvZG93bnJl&#10;di54bWxQSwECFAAUAAAACACHTuJA6RnXiP8BAADlAwAADgAAAAAAAAABACAAAAAlAQAAZHJzL2Uy&#10;b0RvYy54bWxQSwUGAAAAAAYABgBZAQAAlgUAAAAA&#10;">
                <v:fill on="f" focussize="0,0"/>
                <v:stroke weight="0.5pt" color="#000000" miterlimit="8" joinstyle="miter"/>
                <v:imagedata o:title=""/>
                <o:lock v:ext="edit" aspectratio="f"/>
              </v:line>
            </w:pict>
          </mc:Fallback>
        </mc:AlternateContent>
      </w:r>
      <w:r>
        <w:rPr>
          <w:rFonts w:hint="eastAsia" w:ascii="华文中宋" w:hAnsi="华文中宋" w:eastAsia="华文中宋"/>
          <w:b/>
          <w:bCs/>
          <w:sz w:val="36"/>
        </w:rPr>
        <w:t xml:space="preserve">项目属性：      </w:t>
      </w:r>
      <w:r>
        <w:rPr>
          <w:rFonts w:ascii="华文中宋" w:hAnsi="华文中宋" w:eastAsia="华文中宋"/>
          <w:b/>
          <w:bCs/>
          <w:sz w:val="36"/>
        </w:rPr>
        <w:t xml:space="preserve"> </w:t>
      </w:r>
      <w:r>
        <w:rPr>
          <w:rFonts w:hint="eastAsia" w:ascii="华文中宋" w:hAnsi="华文中宋" w:eastAsia="华文中宋"/>
          <w:b/>
          <w:bCs/>
          <w:sz w:val="36"/>
        </w:rPr>
        <w:t xml:space="preserve"> 服务类</w:t>
      </w:r>
    </w:p>
    <w:p w14:paraId="62A9DA53">
      <w:pPr>
        <w:spacing w:line="360" w:lineRule="auto"/>
        <w:rPr>
          <w:rFonts w:hint="eastAsia" w:ascii="华文中宋" w:hAnsi="华文中宋" w:eastAsia="华文中宋"/>
          <w:b/>
          <w:bCs/>
          <w:sz w:val="36"/>
          <w:szCs w:val="36"/>
        </w:rPr>
      </w:pPr>
    </w:p>
    <w:p w14:paraId="29298CA1">
      <w:pPr>
        <w:spacing w:line="360" w:lineRule="auto"/>
        <w:rPr>
          <w:rFonts w:hint="eastAsia" w:ascii="华文中宋" w:hAnsi="华文中宋" w:eastAsia="华文中宋"/>
          <w:b/>
          <w:bCs/>
          <w:sz w:val="36"/>
          <w:szCs w:val="36"/>
        </w:rPr>
      </w:pPr>
    </w:p>
    <w:p w14:paraId="3A04B43C">
      <w:pPr>
        <w:spacing w:line="360" w:lineRule="auto"/>
        <w:jc w:val="center"/>
        <w:rPr>
          <w:rFonts w:hint="eastAsia" w:ascii="华文中宋" w:hAnsi="华文中宋" w:eastAsia="华文中宋"/>
          <w:b/>
          <w:bCs/>
          <w:sz w:val="36"/>
          <w:szCs w:val="36"/>
        </w:rPr>
      </w:pPr>
      <w:r>
        <w:rPr>
          <w:rFonts w:hint="eastAsia" w:ascii="华文中宋" w:hAnsi="华文中宋" w:eastAsia="华文中宋"/>
          <w:b/>
          <w:bCs/>
          <w:sz w:val="36"/>
          <w:szCs w:val="36"/>
        </w:rPr>
        <w:t>二零二六年</w:t>
      </w:r>
      <w:r>
        <w:rPr>
          <w:rFonts w:hint="eastAsia" w:ascii="Times New Roman" w:hAnsi="Times New Roman" w:eastAsia="华文中宋"/>
          <w:b/>
          <w:bCs/>
          <w:sz w:val="36"/>
          <w:szCs w:val="36"/>
        </w:rPr>
        <w:t>六</w:t>
      </w:r>
      <w:r>
        <w:rPr>
          <w:rFonts w:hint="eastAsia" w:ascii="华文中宋" w:hAnsi="华文中宋" w:eastAsia="华文中宋"/>
          <w:b/>
          <w:bCs/>
          <w:sz w:val="36"/>
          <w:szCs w:val="36"/>
        </w:rPr>
        <w:t>月</w:t>
      </w:r>
    </w:p>
    <w:p w14:paraId="7017CA96">
      <w:pPr>
        <w:spacing w:line="360" w:lineRule="auto"/>
      </w:pPr>
    </w:p>
    <w:p w14:paraId="1D575A11">
      <w:pPr>
        <w:spacing w:after="156" w:afterLines="50"/>
        <w:jc w:val="center"/>
        <w:rPr>
          <w:rFonts w:hint="eastAsia" w:ascii="华文中宋" w:hAnsi="华文中宋" w:eastAsia="华文中宋"/>
          <w:b/>
          <w:bCs/>
          <w:kern w:val="0"/>
          <w:sz w:val="84"/>
        </w:rPr>
      </w:pPr>
      <w:r>
        <w:br w:type="page"/>
      </w:r>
      <w:bookmarkStart w:id="1" w:name="_Toc9936548"/>
      <w:r>
        <w:rPr>
          <w:rFonts w:hint="eastAsia" w:ascii="华文中宋" w:hAnsi="华文中宋" w:eastAsia="华文中宋"/>
          <w:b/>
          <w:bCs/>
          <w:sz w:val="36"/>
          <w:szCs w:val="36"/>
        </w:rPr>
        <w:t xml:space="preserve">目 </w:t>
      </w:r>
      <w:r>
        <w:rPr>
          <w:rFonts w:ascii="华文中宋" w:hAnsi="华文中宋" w:eastAsia="华文中宋"/>
          <w:b/>
          <w:bCs/>
          <w:sz w:val="36"/>
          <w:szCs w:val="36"/>
        </w:rPr>
        <w:t xml:space="preserve"> </w:t>
      </w:r>
      <w:r>
        <w:rPr>
          <w:rFonts w:hint="eastAsia" w:ascii="华文中宋" w:hAnsi="华文中宋" w:eastAsia="华文中宋"/>
          <w:b/>
          <w:bCs/>
          <w:sz w:val="36"/>
          <w:szCs w:val="36"/>
        </w:rPr>
        <w:t>录</w:t>
      </w:r>
      <w:bookmarkEnd w:id="0"/>
      <w:bookmarkEnd w:id="1"/>
    </w:p>
    <w:p w14:paraId="633E97DE">
      <w:pPr>
        <w:pStyle w:val="24"/>
        <w:spacing w:before="0" w:after="0" w:line="360" w:lineRule="auto"/>
        <w:contextualSpacing/>
        <w:rPr>
          <w:rFonts w:ascii="Times New Roman" w:hAnsi="Times New Roman" w:eastAsiaTheme="minorEastAsia"/>
          <w:caps w:val="0"/>
          <w:sz w:val="24"/>
          <w:szCs w:val="24"/>
          <w14:ligatures w14:val="standardContextual"/>
        </w:rPr>
      </w:pPr>
      <w:r>
        <w:rPr>
          <w:rFonts w:ascii="Times New Roman" w:hAnsi="Times New Roman" w:eastAsiaTheme="minorEastAsia"/>
          <w:b w:val="0"/>
          <w:bCs/>
          <w:color w:val="FF0000"/>
          <w:sz w:val="24"/>
          <w:szCs w:val="24"/>
        </w:rPr>
        <w:fldChar w:fldCharType="begin"/>
      </w:r>
      <w:r>
        <w:rPr>
          <w:rFonts w:ascii="Times New Roman" w:hAnsi="Times New Roman" w:eastAsiaTheme="minorEastAsia"/>
          <w:b w:val="0"/>
          <w:bCs/>
          <w:color w:val="FF0000"/>
          <w:sz w:val="24"/>
          <w:szCs w:val="24"/>
        </w:rPr>
        <w:instrText xml:space="preserve"> TOC \o "1-2" \h \z \u </w:instrText>
      </w:r>
      <w:r>
        <w:rPr>
          <w:rFonts w:ascii="Times New Roman" w:hAnsi="Times New Roman" w:eastAsiaTheme="minorEastAsia"/>
          <w:b w:val="0"/>
          <w:bCs/>
          <w:color w:val="FF0000"/>
          <w:sz w:val="24"/>
          <w:szCs w:val="24"/>
        </w:rPr>
        <w:fldChar w:fldCharType="separate"/>
      </w:r>
      <w:r>
        <w:fldChar w:fldCharType="begin"/>
      </w:r>
      <w:r>
        <w:instrText xml:space="preserve"> HYPERLINK \l "_Toc171605449" </w:instrText>
      </w:r>
      <w:r>
        <w:fldChar w:fldCharType="separate"/>
      </w:r>
      <w:r>
        <w:rPr>
          <w:rStyle w:val="41"/>
          <w:rFonts w:ascii="Times New Roman" w:hAnsi="Times New Roman" w:eastAsiaTheme="minorEastAsia"/>
          <w:sz w:val="24"/>
          <w:szCs w:val="24"/>
        </w:rPr>
        <w:t>第一章  采购邀请</w:t>
      </w:r>
      <w:r>
        <w:rPr>
          <w:rFonts w:ascii="Times New Roman" w:hAnsi="Times New Roman" w:eastAsiaTheme="minorEastAsia"/>
          <w:sz w:val="24"/>
          <w:szCs w:val="24"/>
        </w:rPr>
        <w:tab/>
      </w:r>
      <w:r>
        <w:rPr>
          <w:rFonts w:ascii="Times New Roman" w:hAnsi="Times New Roman" w:eastAsiaTheme="minorEastAsia"/>
          <w:sz w:val="24"/>
          <w:szCs w:val="24"/>
        </w:rPr>
        <w:fldChar w:fldCharType="begin"/>
      </w:r>
      <w:r>
        <w:rPr>
          <w:rFonts w:ascii="Times New Roman" w:hAnsi="Times New Roman" w:eastAsiaTheme="minorEastAsia"/>
          <w:sz w:val="24"/>
          <w:szCs w:val="24"/>
        </w:rPr>
        <w:instrText xml:space="preserve"> PAGEREF _Toc171605449 \h </w:instrText>
      </w:r>
      <w:r>
        <w:rPr>
          <w:rFonts w:ascii="Times New Roman" w:hAnsi="Times New Roman" w:eastAsiaTheme="minorEastAsia"/>
          <w:sz w:val="24"/>
          <w:szCs w:val="24"/>
        </w:rPr>
        <w:fldChar w:fldCharType="separate"/>
      </w:r>
      <w:r>
        <w:rPr>
          <w:rFonts w:ascii="Times New Roman" w:hAnsi="Times New Roman" w:eastAsiaTheme="minorEastAsia"/>
          <w:sz w:val="24"/>
          <w:szCs w:val="24"/>
        </w:rPr>
        <w:t>3</w:t>
      </w:r>
      <w:r>
        <w:rPr>
          <w:rFonts w:ascii="Times New Roman" w:hAnsi="Times New Roman" w:eastAsiaTheme="minorEastAsia"/>
          <w:sz w:val="24"/>
          <w:szCs w:val="24"/>
        </w:rPr>
        <w:fldChar w:fldCharType="end"/>
      </w:r>
      <w:r>
        <w:rPr>
          <w:rFonts w:ascii="Times New Roman" w:hAnsi="Times New Roman" w:eastAsiaTheme="minorEastAsia"/>
          <w:sz w:val="24"/>
          <w:szCs w:val="24"/>
        </w:rPr>
        <w:fldChar w:fldCharType="end"/>
      </w:r>
    </w:p>
    <w:p w14:paraId="73551369">
      <w:pPr>
        <w:pStyle w:val="24"/>
        <w:spacing w:before="0" w:after="0" w:line="360" w:lineRule="auto"/>
        <w:contextualSpacing/>
        <w:rPr>
          <w:rFonts w:ascii="Times New Roman" w:hAnsi="Times New Roman" w:eastAsiaTheme="minorEastAsia"/>
          <w:caps w:val="0"/>
          <w:sz w:val="24"/>
          <w:szCs w:val="24"/>
          <w14:ligatures w14:val="standardContextual"/>
        </w:rPr>
      </w:pPr>
      <w:r>
        <w:fldChar w:fldCharType="begin"/>
      </w:r>
      <w:r>
        <w:instrText xml:space="preserve"> HYPERLINK \l "_Toc171605450" </w:instrText>
      </w:r>
      <w:r>
        <w:fldChar w:fldCharType="separate"/>
      </w:r>
      <w:r>
        <w:rPr>
          <w:rStyle w:val="41"/>
          <w:rFonts w:ascii="Times New Roman" w:hAnsi="Times New Roman" w:eastAsiaTheme="minorEastAsia"/>
          <w:sz w:val="24"/>
          <w:szCs w:val="24"/>
        </w:rPr>
        <w:t>第二章  供应商须知</w:t>
      </w:r>
      <w:r>
        <w:rPr>
          <w:rFonts w:ascii="Times New Roman" w:hAnsi="Times New Roman" w:eastAsiaTheme="minorEastAsia"/>
          <w:sz w:val="24"/>
          <w:szCs w:val="24"/>
        </w:rPr>
        <w:tab/>
      </w:r>
      <w:r>
        <w:rPr>
          <w:rFonts w:ascii="Times New Roman" w:hAnsi="Times New Roman" w:eastAsiaTheme="minorEastAsia"/>
          <w:sz w:val="24"/>
          <w:szCs w:val="24"/>
        </w:rPr>
        <w:fldChar w:fldCharType="begin"/>
      </w:r>
      <w:r>
        <w:rPr>
          <w:rFonts w:ascii="Times New Roman" w:hAnsi="Times New Roman" w:eastAsiaTheme="minorEastAsia"/>
          <w:sz w:val="24"/>
          <w:szCs w:val="24"/>
        </w:rPr>
        <w:instrText xml:space="preserve"> PAGEREF _Toc171605450 \h </w:instrText>
      </w:r>
      <w:r>
        <w:rPr>
          <w:rFonts w:ascii="Times New Roman" w:hAnsi="Times New Roman" w:eastAsiaTheme="minorEastAsia"/>
          <w:sz w:val="24"/>
          <w:szCs w:val="24"/>
        </w:rPr>
        <w:fldChar w:fldCharType="separate"/>
      </w:r>
      <w:r>
        <w:rPr>
          <w:rFonts w:ascii="Times New Roman" w:hAnsi="Times New Roman" w:eastAsiaTheme="minorEastAsia"/>
          <w:sz w:val="24"/>
          <w:szCs w:val="24"/>
        </w:rPr>
        <w:t>7</w:t>
      </w:r>
      <w:r>
        <w:rPr>
          <w:rFonts w:ascii="Times New Roman" w:hAnsi="Times New Roman" w:eastAsiaTheme="minorEastAsia"/>
          <w:sz w:val="24"/>
          <w:szCs w:val="24"/>
        </w:rPr>
        <w:fldChar w:fldCharType="end"/>
      </w:r>
      <w:r>
        <w:rPr>
          <w:rFonts w:ascii="Times New Roman" w:hAnsi="Times New Roman" w:eastAsiaTheme="minorEastAsia"/>
          <w:sz w:val="24"/>
          <w:szCs w:val="24"/>
        </w:rPr>
        <w:fldChar w:fldCharType="end"/>
      </w:r>
    </w:p>
    <w:p w14:paraId="21D69556">
      <w:pPr>
        <w:pStyle w:val="28"/>
        <w:spacing w:line="360" w:lineRule="auto"/>
        <w:ind w:firstLine="360" w:firstLineChars="200"/>
        <w:contextualSpacing/>
        <w:rPr>
          <w:rFonts w:ascii="Times New Roman" w:hAnsi="Times New Roman" w:eastAsiaTheme="minorEastAsia"/>
          <w:b w:val="0"/>
          <w:smallCaps w:val="0"/>
          <w:sz w:val="24"/>
          <w:szCs w:val="24"/>
          <w14:ligatures w14:val="standardContextual"/>
        </w:rPr>
      </w:pPr>
      <w:r>
        <w:fldChar w:fldCharType="begin"/>
      </w:r>
      <w:r>
        <w:instrText xml:space="preserve"> HYPERLINK \l "_Toc171605451" </w:instrText>
      </w:r>
      <w:r>
        <w:fldChar w:fldCharType="separate"/>
      </w:r>
      <w:r>
        <w:rPr>
          <w:rStyle w:val="41"/>
          <w:rFonts w:ascii="Times New Roman" w:hAnsi="Times New Roman" w:eastAsiaTheme="minorEastAsia"/>
          <w:b w:val="0"/>
          <w:sz w:val="24"/>
          <w:szCs w:val="24"/>
        </w:rPr>
        <w:t>一、总 则</w:t>
      </w:r>
      <w:r>
        <w:rPr>
          <w:rFonts w:ascii="Times New Roman" w:hAnsi="Times New Roman" w:eastAsiaTheme="minorEastAsia"/>
          <w:b w:val="0"/>
          <w:sz w:val="24"/>
          <w:szCs w:val="24"/>
        </w:rPr>
        <w:tab/>
      </w:r>
      <w:r>
        <w:rPr>
          <w:rFonts w:ascii="Times New Roman" w:hAnsi="Times New Roman" w:eastAsiaTheme="minorEastAsia"/>
          <w:b w:val="0"/>
          <w:sz w:val="24"/>
          <w:szCs w:val="24"/>
        </w:rPr>
        <w:fldChar w:fldCharType="begin"/>
      </w:r>
      <w:r>
        <w:rPr>
          <w:rFonts w:ascii="Times New Roman" w:hAnsi="Times New Roman" w:eastAsiaTheme="minorEastAsia"/>
          <w:b w:val="0"/>
          <w:sz w:val="24"/>
          <w:szCs w:val="24"/>
        </w:rPr>
        <w:instrText xml:space="preserve"> PAGEREF _Toc171605451 \h </w:instrText>
      </w:r>
      <w:r>
        <w:rPr>
          <w:rFonts w:ascii="Times New Roman" w:hAnsi="Times New Roman" w:eastAsiaTheme="minorEastAsia"/>
          <w:b w:val="0"/>
          <w:sz w:val="24"/>
          <w:szCs w:val="24"/>
        </w:rPr>
        <w:fldChar w:fldCharType="separate"/>
      </w:r>
      <w:r>
        <w:rPr>
          <w:rFonts w:ascii="Times New Roman" w:hAnsi="Times New Roman" w:eastAsiaTheme="minorEastAsia"/>
          <w:b w:val="0"/>
          <w:sz w:val="24"/>
          <w:szCs w:val="24"/>
        </w:rPr>
        <w:t>7</w:t>
      </w:r>
      <w:r>
        <w:rPr>
          <w:rFonts w:ascii="Times New Roman" w:hAnsi="Times New Roman" w:eastAsiaTheme="minorEastAsia"/>
          <w:b w:val="0"/>
          <w:sz w:val="24"/>
          <w:szCs w:val="24"/>
        </w:rPr>
        <w:fldChar w:fldCharType="end"/>
      </w:r>
      <w:r>
        <w:rPr>
          <w:rFonts w:ascii="Times New Roman" w:hAnsi="Times New Roman" w:eastAsiaTheme="minorEastAsia"/>
          <w:b w:val="0"/>
          <w:sz w:val="24"/>
          <w:szCs w:val="24"/>
        </w:rPr>
        <w:fldChar w:fldCharType="end"/>
      </w:r>
    </w:p>
    <w:p w14:paraId="402BD730">
      <w:pPr>
        <w:pStyle w:val="28"/>
        <w:spacing w:line="360" w:lineRule="auto"/>
        <w:ind w:firstLine="360" w:firstLineChars="200"/>
        <w:contextualSpacing/>
        <w:rPr>
          <w:rFonts w:ascii="Times New Roman" w:hAnsi="Times New Roman" w:eastAsiaTheme="minorEastAsia"/>
          <w:b w:val="0"/>
          <w:smallCaps w:val="0"/>
          <w:sz w:val="24"/>
          <w:szCs w:val="24"/>
          <w14:ligatures w14:val="standardContextual"/>
        </w:rPr>
      </w:pPr>
      <w:r>
        <w:fldChar w:fldCharType="begin"/>
      </w:r>
      <w:r>
        <w:instrText xml:space="preserve"> HYPERLINK \l "_Toc171605452" </w:instrText>
      </w:r>
      <w:r>
        <w:fldChar w:fldCharType="separate"/>
      </w:r>
      <w:r>
        <w:rPr>
          <w:rStyle w:val="41"/>
          <w:rFonts w:ascii="Times New Roman" w:hAnsi="Times New Roman" w:eastAsiaTheme="minorEastAsia"/>
          <w:b w:val="0"/>
          <w:sz w:val="24"/>
          <w:szCs w:val="24"/>
        </w:rPr>
        <w:t>二、磋商响应文件的编制及保证金收取</w:t>
      </w:r>
      <w:r>
        <w:rPr>
          <w:rFonts w:ascii="Times New Roman" w:hAnsi="Times New Roman" w:eastAsiaTheme="minorEastAsia"/>
          <w:b w:val="0"/>
          <w:sz w:val="24"/>
          <w:szCs w:val="24"/>
        </w:rPr>
        <w:tab/>
      </w:r>
      <w:r>
        <w:rPr>
          <w:rFonts w:ascii="Times New Roman" w:hAnsi="Times New Roman" w:eastAsiaTheme="minorEastAsia"/>
          <w:b w:val="0"/>
          <w:sz w:val="24"/>
          <w:szCs w:val="24"/>
        </w:rPr>
        <w:fldChar w:fldCharType="begin"/>
      </w:r>
      <w:r>
        <w:rPr>
          <w:rFonts w:ascii="Times New Roman" w:hAnsi="Times New Roman" w:eastAsiaTheme="minorEastAsia"/>
          <w:b w:val="0"/>
          <w:sz w:val="24"/>
          <w:szCs w:val="24"/>
        </w:rPr>
        <w:instrText xml:space="preserve"> PAGEREF _Toc171605452 \h </w:instrText>
      </w:r>
      <w:r>
        <w:rPr>
          <w:rFonts w:ascii="Times New Roman" w:hAnsi="Times New Roman" w:eastAsiaTheme="minorEastAsia"/>
          <w:b w:val="0"/>
          <w:sz w:val="24"/>
          <w:szCs w:val="24"/>
        </w:rPr>
        <w:fldChar w:fldCharType="separate"/>
      </w:r>
      <w:r>
        <w:rPr>
          <w:rFonts w:ascii="Times New Roman" w:hAnsi="Times New Roman" w:eastAsiaTheme="minorEastAsia"/>
          <w:b w:val="0"/>
          <w:sz w:val="24"/>
          <w:szCs w:val="24"/>
        </w:rPr>
        <w:t>8</w:t>
      </w:r>
      <w:r>
        <w:rPr>
          <w:rFonts w:ascii="Times New Roman" w:hAnsi="Times New Roman" w:eastAsiaTheme="minorEastAsia"/>
          <w:b w:val="0"/>
          <w:sz w:val="24"/>
          <w:szCs w:val="24"/>
        </w:rPr>
        <w:fldChar w:fldCharType="end"/>
      </w:r>
      <w:r>
        <w:rPr>
          <w:rFonts w:ascii="Times New Roman" w:hAnsi="Times New Roman" w:eastAsiaTheme="minorEastAsia"/>
          <w:b w:val="0"/>
          <w:sz w:val="24"/>
          <w:szCs w:val="24"/>
        </w:rPr>
        <w:fldChar w:fldCharType="end"/>
      </w:r>
    </w:p>
    <w:p w14:paraId="6CEB2932">
      <w:pPr>
        <w:pStyle w:val="28"/>
        <w:spacing w:line="360" w:lineRule="auto"/>
        <w:ind w:firstLine="360" w:firstLineChars="200"/>
        <w:contextualSpacing/>
        <w:rPr>
          <w:rFonts w:ascii="Times New Roman" w:hAnsi="Times New Roman" w:eastAsiaTheme="minorEastAsia"/>
          <w:b w:val="0"/>
          <w:smallCaps w:val="0"/>
          <w:sz w:val="24"/>
          <w:szCs w:val="24"/>
          <w14:ligatures w14:val="standardContextual"/>
        </w:rPr>
      </w:pPr>
      <w:r>
        <w:fldChar w:fldCharType="begin"/>
      </w:r>
      <w:r>
        <w:instrText xml:space="preserve"> HYPERLINK \l "_Toc171605453" </w:instrText>
      </w:r>
      <w:r>
        <w:fldChar w:fldCharType="separate"/>
      </w:r>
      <w:r>
        <w:rPr>
          <w:rStyle w:val="41"/>
          <w:rFonts w:ascii="Times New Roman" w:hAnsi="Times New Roman" w:eastAsiaTheme="minorEastAsia"/>
          <w:b w:val="0"/>
          <w:sz w:val="24"/>
          <w:szCs w:val="24"/>
        </w:rPr>
        <w:t>三、响应文件的递交</w:t>
      </w:r>
      <w:r>
        <w:rPr>
          <w:rFonts w:ascii="Times New Roman" w:hAnsi="Times New Roman" w:eastAsiaTheme="minorEastAsia"/>
          <w:b w:val="0"/>
          <w:sz w:val="24"/>
          <w:szCs w:val="24"/>
        </w:rPr>
        <w:tab/>
      </w:r>
      <w:r>
        <w:rPr>
          <w:rFonts w:ascii="Times New Roman" w:hAnsi="Times New Roman" w:eastAsiaTheme="minorEastAsia"/>
          <w:b w:val="0"/>
          <w:sz w:val="24"/>
          <w:szCs w:val="24"/>
        </w:rPr>
        <w:fldChar w:fldCharType="begin"/>
      </w:r>
      <w:r>
        <w:rPr>
          <w:rFonts w:ascii="Times New Roman" w:hAnsi="Times New Roman" w:eastAsiaTheme="minorEastAsia"/>
          <w:b w:val="0"/>
          <w:sz w:val="24"/>
          <w:szCs w:val="24"/>
        </w:rPr>
        <w:instrText xml:space="preserve"> PAGEREF _Toc171605453 \h </w:instrText>
      </w:r>
      <w:r>
        <w:rPr>
          <w:rFonts w:ascii="Times New Roman" w:hAnsi="Times New Roman" w:eastAsiaTheme="minorEastAsia"/>
          <w:b w:val="0"/>
          <w:sz w:val="24"/>
          <w:szCs w:val="24"/>
        </w:rPr>
        <w:fldChar w:fldCharType="separate"/>
      </w:r>
      <w:r>
        <w:rPr>
          <w:rFonts w:ascii="Times New Roman" w:hAnsi="Times New Roman" w:eastAsiaTheme="minorEastAsia"/>
          <w:b w:val="0"/>
          <w:sz w:val="24"/>
          <w:szCs w:val="24"/>
        </w:rPr>
        <w:t>10</w:t>
      </w:r>
      <w:r>
        <w:rPr>
          <w:rFonts w:ascii="Times New Roman" w:hAnsi="Times New Roman" w:eastAsiaTheme="minorEastAsia"/>
          <w:b w:val="0"/>
          <w:sz w:val="24"/>
          <w:szCs w:val="24"/>
        </w:rPr>
        <w:fldChar w:fldCharType="end"/>
      </w:r>
      <w:r>
        <w:rPr>
          <w:rFonts w:ascii="Times New Roman" w:hAnsi="Times New Roman" w:eastAsiaTheme="minorEastAsia"/>
          <w:b w:val="0"/>
          <w:sz w:val="24"/>
          <w:szCs w:val="24"/>
        </w:rPr>
        <w:fldChar w:fldCharType="end"/>
      </w:r>
    </w:p>
    <w:p w14:paraId="14985E6D">
      <w:pPr>
        <w:pStyle w:val="28"/>
        <w:spacing w:line="360" w:lineRule="auto"/>
        <w:ind w:firstLine="360" w:firstLineChars="200"/>
        <w:contextualSpacing/>
        <w:rPr>
          <w:rFonts w:ascii="Times New Roman" w:hAnsi="Times New Roman" w:eastAsiaTheme="minorEastAsia"/>
          <w:b w:val="0"/>
          <w:smallCaps w:val="0"/>
          <w:sz w:val="24"/>
          <w:szCs w:val="24"/>
          <w14:ligatures w14:val="standardContextual"/>
        </w:rPr>
      </w:pPr>
      <w:r>
        <w:fldChar w:fldCharType="begin"/>
      </w:r>
      <w:r>
        <w:instrText xml:space="preserve"> HYPERLINK \l "_Toc171605454" </w:instrText>
      </w:r>
      <w:r>
        <w:fldChar w:fldCharType="separate"/>
      </w:r>
      <w:r>
        <w:rPr>
          <w:rStyle w:val="41"/>
          <w:rFonts w:ascii="Times New Roman" w:hAnsi="Times New Roman" w:eastAsiaTheme="minorEastAsia"/>
          <w:b w:val="0"/>
          <w:sz w:val="24"/>
          <w:szCs w:val="24"/>
        </w:rPr>
        <w:t>四、磋商与评审</w:t>
      </w:r>
      <w:r>
        <w:rPr>
          <w:rFonts w:ascii="Times New Roman" w:hAnsi="Times New Roman" w:eastAsiaTheme="minorEastAsia"/>
          <w:b w:val="0"/>
          <w:sz w:val="24"/>
          <w:szCs w:val="24"/>
        </w:rPr>
        <w:tab/>
      </w:r>
      <w:r>
        <w:rPr>
          <w:rFonts w:ascii="Times New Roman" w:hAnsi="Times New Roman" w:eastAsiaTheme="minorEastAsia"/>
          <w:b w:val="0"/>
          <w:sz w:val="24"/>
          <w:szCs w:val="24"/>
        </w:rPr>
        <w:fldChar w:fldCharType="begin"/>
      </w:r>
      <w:r>
        <w:rPr>
          <w:rFonts w:ascii="Times New Roman" w:hAnsi="Times New Roman" w:eastAsiaTheme="minorEastAsia"/>
          <w:b w:val="0"/>
          <w:sz w:val="24"/>
          <w:szCs w:val="24"/>
        </w:rPr>
        <w:instrText xml:space="preserve"> PAGEREF _Toc171605454 \h </w:instrText>
      </w:r>
      <w:r>
        <w:rPr>
          <w:rFonts w:ascii="Times New Roman" w:hAnsi="Times New Roman" w:eastAsiaTheme="minorEastAsia"/>
          <w:b w:val="0"/>
          <w:sz w:val="24"/>
          <w:szCs w:val="24"/>
        </w:rPr>
        <w:fldChar w:fldCharType="separate"/>
      </w:r>
      <w:r>
        <w:rPr>
          <w:rFonts w:ascii="Times New Roman" w:hAnsi="Times New Roman" w:eastAsiaTheme="minorEastAsia"/>
          <w:b w:val="0"/>
          <w:sz w:val="24"/>
          <w:szCs w:val="24"/>
        </w:rPr>
        <w:t>11</w:t>
      </w:r>
      <w:r>
        <w:rPr>
          <w:rFonts w:ascii="Times New Roman" w:hAnsi="Times New Roman" w:eastAsiaTheme="minorEastAsia"/>
          <w:b w:val="0"/>
          <w:sz w:val="24"/>
          <w:szCs w:val="24"/>
        </w:rPr>
        <w:fldChar w:fldCharType="end"/>
      </w:r>
      <w:r>
        <w:rPr>
          <w:rFonts w:ascii="Times New Roman" w:hAnsi="Times New Roman" w:eastAsiaTheme="minorEastAsia"/>
          <w:b w:val="0"/>
          <w:sz w:val="24"/>
          <w:szCs w:val="24"/>
        </w:rPr>
        <w:fldChar w:fldCharType="end"/>
      </w:r>
    </w:p>
    <w:p w14:paraId="346B276F">
      <w:pPr>
        <w:pStyle w:val="28"/>
        <w:spacing w:line="360" w:lineRule="auto"/>
        <w:ind w:firstLine="360" w:firstLineChars="200"/>
        <w:contextualSpacing/>
        <w:rPr>
          <w:rFonts w:ascii="Times New Roman" w:hAnsi="Times New Roman" w:eastAsiaTheme="minorEastAsia"/>
          <w:b w:val="0"/>
          <w:smallCaps w:val="0"/>
          <w:sz w:val="24"/>
          <w:szCs w:val="24"/>
          <w14:ligatures w14:val="standardContextual"/>
        </w:rPr>
      </w:pPr>
      <w:r>
        <w:fldChar w:fldCharType="begin"/>
      </w:r>
      <w:r>
        <w:instrText xml:space="preserve"> HYPERLINK \l "_Toc171605455" </w:instrText>
      </w:r>
      <w:r>
        <w:fldChar w:fldCharType="separate"/>
      </w:r>
      <w:r>
        <w:rPr>
          <w:rStyle w:val="41"/>
          <w:rFonts w:ascii="Times New Roman" w:hAnsi="Times New Roman" w:eastAsiaTheme="minorEastAsia"/>
          <w:b w:val="0"/>
          <w:sz w:val="24"/>
          <w:szCs w:val="24"/>
        </w:rPr>
        <w:t>五、成交</w:t>
      </w:r>
      <w:r>
        <w:rPr>
          <w:rFonts w:ascii="Times New Roman" w:hAnsi="Times New Roman" w:eastAsiaTheme="minorEastAsia"/>
          <w:b w:val="0"/>
          <w:sz w:val="24"/>
          <w:szCs w:val="24"/>
        </w:rPr>
        <w:tab/>
      </w:r>
      <w:r>
        <w:rPr>
          <w:rFonts w:ascii="Times New Roman" w:hAnsi="Times New Roman" w:eastAsiaTheme="minorEastAsia"/>
          <w:b w:val="0"/>
          <w:sz w:val="24"/>
          <w:szCs w:val="24"/>
        </w:rPr>
        <w:fldChar w:fldCharType="begin"/>
      </w:r>
      <w:r>
        <w:rPr>
          <w:rFonts w:ascii="Times New Roman" w:hAnsi="Times New Roman" w:eastAsiaTheme="minorEastAsia"/>
          <w:b w:val="0"/>
          <w:sz w:val="24"/>
          <w:szCs w:val="24"/>
        </w:rPr>
        <w:instrText xml:space="preserve"> PAGEREF _Toc171605455 \h </w:instrText>
      </w:r>
      <w:r>
        <w:rPr>
          <w:rFonts w:ascii="Times New Roman" w:hAnsi="Times New Roman" w:eastAsiaTheme="minorEastAsia"/>
          <w:b w:val="0"/>
          <w:sz w:val="24"/>
          <w:szCs w:val="24"/>
        </w:rPr>
        <w:fldChar w:fldCharType="separate"/>
      </w:r>
      <w:r>
        <w:rPr>
          <w:rFonts w:ascii="Times New Roman" w:hAnsi="Times New Roman" w:eastAsiaTheme="minorEastAsia"/>
          <w:b w:val="0"/>
          <w:sz w:val="24"/>
          <w:szCs w:val="24"/>
        </w:rPr>
        <w:t>15</w:t>
      </w:r>
      <w:r>
        <w:rPr>
          <w:rFonts w:ascii="Times New Roman" w:hAnsi="Times New Roman" w:eastAsiaTheme="minorEastAsia"/>
          <w:b w:val="0"/>
          <w:sz w:val="24"/>
          <w:szCs w:val="24"/>
        </w:rPr>
        <w:fldChar w:fldCharType="end"/>
      </w:r>
      <w:r>
        <w:rPr>
          <w:rFonts w:ascii="Times New Roman" w:hAnsi="Times New Roman" w:eastAsiaTheme="minorEastAsia"/>
          <w:b w:val="0"/>
          <w:sz w:val="24"/>
          <w:szCs w:val="24"/>
        </w:rPr>
        <w:fldChar w:fldCharType="end"/>
      </w:r>
    </w:p>
    <w:p w14:paraId="0DD48AC5">
      <w:pPr>
        <w:pStyle w:val="28"/>
        <w:spacing w:line="360" w:lineRule="auto"/>
        <w:ind w:firstLine="360" w:firstLineChars="200"/>
        <w:contextualSpacing/>
        <w:rPr>
          <w:rFonts w:ascii="Times New Roman" w:hAnsi="Times New Roman" w:eastAsiaTheme="minorEastAsia"/>
          <w:b w:val="0"/>
          <w:smallCaps w:val="0"/>
          <w:sz w:val="24"/>
          <w:szCs w:val="24"/>
          <w14:ligatures w14:val="standardContextual"/>
        </w:rPr>
      </w:pPr>
      <w:r>
        <w:fldChar w:fldCharType="begin"/>
      </w:r>
      <w:r>
        <w:instrText xml:space="preserve"> HYPERLINK \l "_Toc171605456" </w:instrText>
      </w:r>
      <w:r>
        <w:fldChar w:fldCharType="separate"/>
      </w:r>
      <w:r>
        <w:rPr>
          <w:rStyle w:val="41"/>
          <w:rFonts w:ascii="Times New Roman" w:hAnsi="Times New Roman" w:eastAsiaTheme="minorEastAsia"/>
          <w:b w:val="0"/>
          <w:sz w:val="24"/>
          <w:szCs w:val="24"/>
        </w:rPr>
        <w:t>六、合同签订相关事项</w:t>
      </w:r>
      <w:r>
        <w:rPr>
          <w:rFonts w:ascii="Times New Roman" w:hAnsi="Times New Roman" w:eastAsiaTheme="minorEastAsia"/>
          <w:b w:val="0"/>
          <w:sz w:val="24"/>
          <w:szCs w:val="24"/>
        </w:rPr>
        <w:tab/>
      </w:r>
      <w:r>
        <w:rPr>
          <w:rFonts w:ascii="Times New Roman" w:hAnsi="Times New Roman" w:eastAsiaTheme="minorEastAsia"/>
          <w:b w:val="0"/>
          <w:sz w:val="24"/>
          <w:szCs w:val="24"/>
        </w:rPr>
        <w:fldChar w:fldCharType="begin"/>
      </w:r>
      <w:r>
        <w:rPr>
          <w:rFonts w:ascii="Times New Roman" w:hAnsi="Times New Roman" w:eastAsiaTheme="minorEastAsia"/>
          <w:b w:val="0"/>
          <w:sz w:val="24"/>
          <w:szCs w:val="24"/>
        </w:rPr>
        <w:instrText xml:space="preserve"> PAGEREF _Toc171605456 \h </w:instrText>
      </w:r>
      <w:r>
        <w:rPr>
          <w:rFonts w:ascii="Times New Roman" w:hAnsi="Times New Roman" w:eastAsiaTheme="minorEastAsia"/>
          <w:b w:val="0"/>
          <w:sz w:val="24"/>
          <w:szCs w:val="24"/>
        </w:rPr>
        <w:fldChar w:fldCharType="separate"/>
      </w:r>
      <w:r>
        <w:rPr>
          <w:rFonts w:ascii="Times New Roman" w:hAnsi="Times New Roman" w:eastAsiaTheme="minorEastAsia"/>
          <w:b w:val="0"/>
          <w:sz w:val="24"/>
          <w:szCs w:val="24"/>
        </w:rPr>
        <w:t>17</w:t>
      </w:r>
      <w:r>
        <w:rPr>
          <w:rFonts w:ascii="Times New Roman" w:hAnsi="Times New Roman" w:eastAsiaTheme="minorEastAsia"/>
          <w:b w:val="0"/>
          <w:sz w:val="24"/>
          <w:szCs w:val="24"/>
        </w:rPr>
        <w:fldChar w:fldCharType="end"/>
      </w:r>
      <w:r>
        <w:rPr>
          <w:rFonts w:ascii="Times New Roman" w:hAnsi="Times New Roman" w:eastAsiaTheme="minorEastAsia"/>
          <w:b w:val="0"/>
          <w:sz w:val="24"/>
          <w:szCs w:val="24"/>
        </w:rPr>
        <w:fldChar w:fldCharType="end"/>
      </w:r>
    </w:p>
    <w:p w14:paraId="2DDC58F2">
      <w:pPr>
        <w:pStyle w:val="28"/>
        <w:spacing w:line="360" w:lineRule="auto"/>
        <w:ind w:firstLine="360" w:firstLineChars="200"/>
        <w:contextualSpacing/>
        <w:rPr>
          <w:rFonts w:ascii="Times New Roman" w:hAnsi="Times New Roman" w:eastAsiaTheme="minorEastAsia"/>
          <w:b w:val="0"/>
          <w:smallCaps w:val="0"/>
          <w:sz w:val="24"/>
          <w:szCs w:val="24"/>
          <w14:ligatures w14:val="standardContextual"/>
        </w:rPr>
      </w:pPr>
      <w:r>
        <w:fldChar w:fldCharType="begin"/>
      </w:r>
      <w:r>
        <w:instrText xml:space="preserve"> HYPERLINK \l "_Toc171605457" </w:instrText>
      </w:r>
      <w:r>
        <w:fldChar w:fldCharType="separate"/>
      </w:r>
      <w:r>
        <w:rPr>
          <w:rStyle w:val="41"/>
          <w:rFonts w:ascii="Times New Roman" w:hAnsi="Times New Roman" w:eastAsiaTheme="minorEastAsia"/>
          <w:b w:val="0"/>
          <w:sz w:val="24"/>
          <w:szCs w:val="24"/>
        </w:rPr>
        <w:t>七、其他</w:t>
      </w:r>
      <w:r>
        <w:rPr>
          <w:rFonts w:ascii="Times New Roman" w:hAnsi="Times New Roman" w:eastAsiaTheme="minorEastAsia"/>
          <w:b w:val="0"/>
          <w:sz w:val="24"/>
          <w:szCs w:val="24"/>
        </w:rPr>
        <w:tab/>
      </w:r>
      <w:r>
        <w:rPr>
          <w:rFonts w:ascii="Times New Roman" w:hAnsi="Times New Roman" w:eastAsiaTheme="minorEastAsia"/>
          <w:b w:val="0"/>
          <w:sz w:val="24"/>
          <w:szCs w:val="24"/>
        </w:rPr>
        <w:fldChar w:fldCharType="begin"/>
      </w:r>
      <w:r>
        <w:rPr>
          <w:rFonts w:ascii="Times New Roman" w:hAnsi="Times New Roman" w:eastAsiaTheme="minorEastAsia"/>
          <w:b w:val="0"/>
          <w:sz w:val="24"/>
          <w:szCs w:val="24"/>
        </w:rPr>
        <w:instrText xml:space="preserve"> PAGEREF _Toc171605457 \h </w:instrText>
      </w:r>
      <w:r>
        <w:rPr>
          <w:rFonts w:ascii="Times New Roman" w:hAnsi="Times New Roman" w:eastAsiaTheme="minorEastAsia"/>
          <w:b w:val="0"/>
          <w:sz w:val="24"/>
          <w:szCs w:val="24"/>
        </w:rPr>
        <w:fldChar w:fldCharType="separate"/>
      </w:r>
      <w:r>
        <w:rPr>
          <w:rFonts w:ascii="Times New Roman" w:hAnsi="Times New Roman" w:eastAsiaTheme="minorEastAsia"/>
          <w:b w:val="0"/>
          <w:sz w:val="24"/>
          <w:szCs w:val="24"/>
        </w:rPr>
        <w:t>17</w:t>
      </w:r>
      <w:r>
        <w:rPr>
          <w:rFonts w:ascii="Times New Roman" w:hAnsi="Times New Roman" w:eastAsiaTheme="minorEastAsia"/>
          <w:b w:val="0"/>
          <w:sz w:val="24"/>
          <w:szCs w:val="24"/>
        </w:rPr>
        <w:fldChar w:fldCharType="end"/>
      </w:r>
      <w:r>
        <w:rPr>
          <w:rFonts w:ascii="Times New Roman" w:hAnsi="Times New Roman" w:eastAsiaTheme="minorEastAsia"/>
          <w:b w:val="0"/>
          <w:sz w:val="24"/>
          <w:szCs w:val="24"/>
        </w:rPr>
        <w:fldChar w:fldCharType="end"/>
      </w:r>
    </w:p>
    <w:p w14:paraId="794D0A49">
      <w:pPr>
        <w:pStyle w:val="24"/>
        <w:spacing w:before="0" w:after="0" w:line="360" w:lineRule="auto"/>
        <w:contextualSpacing/>
        <w:rPr>
          <w:rFonts w:ascii="Times New Roman" w:hAnsi="Times New Roman" w:eastAsiaTheme="minorEastAsia"/>
          <w:caps w:val="0"/>
          <w:sz w:val="24"/>
          <w:szCs w:val="24"/>
          <w14:ligatures w14:val="standardContextual"/>
        </w:rPr>
      </w:pPr>
      <w:r>
        <w:fldChar w:fldCharType="begin"/>
      </w:r>
      <w:r>
        <w:instrText xml:space="preserve"> HYPERLINK \l "_Toc171605458" </w:instrText>
      </w:r>
      <w:r>
        <w:fldChar w:fldCharType="separate"/>
      </w:r>
      <w:r>
        <w:rPr>
          <w:rStyle w:val="41"/>
          <w:rFonts w:ascii="Times New Roman" w:hAnsi="Times New Roman" w:eastAsiaTheme="minorEastAsia"/>
          <w:sz w:val="24"/>
          <w:szCs w:val="24"/>
        </w:rPr>
        <w:t>第三章  合同条款及格式</w:t>
      </w:r>
      <w:r>
        <w:rPr>
          <w:rFonts w:ascii="Times New Roman" w:hAnsi="Times New Roman" w:eastAsiaTheme="minorEastAsia"/>
          <w:sz w:val="24"/>
          <w:szCs w:val="24"/>
        </w:rPr>
        <w:tab/>
      </w:r>
      <w:r>
        <w:rPr>
          <w:rFonts w:ascii="Times New Roman" w:hAnsi="Times New Roman" w:eastAsiaTheme="minorEastAsia"/>
          <w:sz w:val="24"/>
          <w:szCs w:val="24"/>
        </w:rPr>
        <w:fldChar w:fldCharType="begin"/>
      </w:r>
      <w:r>
        <w:rPr>
          <w:rFonts w:ascii="Times New Roman" w:hAnsi="Times New Roman" w:eastAsiaTheme="minorEastAsia"/>
          <w:sz w:val="24"/>
          <w:szCs w:val="24"/>
        </w:rPr>
        <w:instrText xml:space="preserve"> PAGEREF _Toc171605458 \h </w:instrText>
      </w:r>
      <w:r>
        <w:rPr>
          <w:rFonts w:ascii="Times New Roman" w:hAnsi="Times New Roman" w:eastAsiaTheme="minorEastAsia"/>
          <w:sz w:val="24"/>
          <w:szCs w:val="24"/>
        </w:rPr>
        <w:fldChar w:fldCharType="separate"/>
      </w:r>
      <w:r>
        <w:rPr>
          <w:rFonts w:ascii="Times New Roman" w:hAnsi="Times New Roman" w:eastAsiaTheme="minorEastAsia"/>
          <w:sz w:val="24"/>
          <w:szCs w:val="24"/>
        </w:rPr>
        <w:t>18</w:t>
      </w:r>
      <w:r>
        <w:rPr>
          <w:rFonts w:ascii="Times New Roman" w:hAnsi="Times New Roman" w:eastAsiaTheme="minorEastAsia"/>
          <w:sz w:val="24"/>
          <w:szCs w:val="24"/>
        </w:rPr>
        <w:fldChar w:fldCharType="end"/>
      </w:r>
      <w:r>
        <w:rPr>
          <w:rFonts w:ascii="Times New Roman" w:hAnsi="Times New Roman" w:eastAsiaTheme="minorEastAsia"/>
          <w:sz w:val="24"/>
          <w:szCs w:val="24"/>
        </w:rPr>
        <w:fldChar w:fldCharType="end"/>
      </w:r>
    </w:p>
    <w:p w14:paraId="1B909293">
      <w:pPr>
        <w:pStyle w:val="24"/>
        <w:spacing w:before="0" w:after="0" w:line="360" w:lineRule="auto"/>
        <w:contextualSpacing/>
        <w:rPr>
          <w:rFonts w:ascii="Times New Roman" w:hAnsi="Times New Roman" w:eastAsiaTheme="minorEastAsia"/>
          <w:caps w:val="0"/>
          <w:sz w:val="24"/>
          <w:szCs w:val="24"/>
          <w14:ligatures w14:val="standardContextual"/>
        </w:rPr>
      </w:pPr>
      <w:r>
        <w:fldChar w:fldCharType="begin"/>
      </w:r>
      <w:r>
        <w:instrText xml:space="preserve"> HYPERLINK \l "_Toc171605459" </w:instrText>
      </w:r>
      <w:r>
        <w:fldChar w:fldCharType="separate"/>
      </w:r>
      <w:r>
        <w:rPr>
          <w:rStyle w:val="41"/>
          <w:rFonts w:ascii="Times New Roman" w:hAnsi="Times New Roman" w:eastAsiaTheme="minorEastAsia"/>
          <w:sz w:val="24"/>
          <w:szCs w:val="24"/>
        </w:rPr>
        <w:t>第四章  项目需求</w:t>
      </w:r>
      <w:r>
        <w:rPr>
          <w:rFonts w:ascii="Times New Roman" w:hAnsi="Times New Roman" w:eastAsiaTheme="minorEastAsia"/>
          <w:sz w:val="24"/>
          <w:szCs w:val="24"/>
        </w:rPr>
        <w:tab/>
      </w:r>
      <w:r>
        <w:rPr>
          <w:rFonts w:ascii="Times New Roman" w:hAnsi="Times New Roman" w:eastAsiaTheme="minorEastAsia"/>
          <w:sz w:val="24"/>
          <w:szCs w:val="24"/>
        </w:rPr>
        <w:fldChar w:fldCharType="begin"/>
      </w:r>
      <w:r>
        <w:rPr>
          <w:rFonts w:ascii="Times New Roman" w:hAnsi="Times New Roman" w:eastAsiaTheme="minorEastAsia"/>
          <w:sz w:val="24"/>
          <w:szCs w:val="24"/>
        </w:rPr>
        <w:instrText xml:space="preserve"> PAGEREF _Toc171605459 \h </w:instrText>
      </w:r>
      <w:r>
        <w:rPr>
          <w:rFonts w:ascii="Times New Roman" w:hAnsi="Times New Roman" w:eastAsiaTheme="minorEastAsia"/>
          <w:sz w:val="24"/>
          <w:szCs w:val="24"/>
        </w:rPr>
        <w:fldChar w:fldCharType="separate"/>
      </w:r>
      <w:r>
        <w:rPr>
          <w:rFonts w:ascii="Times New Roman" w:hAnsi="Times New Roman" w:eastAsiaTheme="minorEastAsia"/>
          <w:sz w:val="24"/>
          <w:szCs w:val="24"/>
        </w:rPr>
        <w:t>22</w:t>
      </w:r>
      <w:r>
        <w:rPr>
          <w:rFonts w:ascii="Times New Roman" w:hAnsi="Times New Roman" w:eastAsiaTheme="minorEastAsia"/>
          <w:sz w:val="24"/>
          <w:szCs w:val="24"/>
        </w:rPr>
        <w:fldChar w:fldCharType="end"/>
      </w:r>
      <w:r>
        <w:rPr>
          <w:rFonts w:ascii="Times New Roman" w:hAnsi="Times New Roman" w:eastAsiaTheme="minorEastAsia"/>
          <w:sz w:val="24"/>
          <w:szCs w:val="24"/>
        </w:rPr>
        <w:fldChar w:fldCharType="end"/>
      </w:r>
    </w:p>
    <w:p w14:paraId="3688D7B4">
      <w:pPr>
        <w:pStyle w:val="24"/>
        <w:spacing w:before="0" w:after="0" w:line="360" w:lineRule="auto"/>
        <w:contextualSpacing/>
        <w:rPr>
          <w:rFonts w:ascii="Times New Roman" w:hAnsi="Times New Roman" w:eastAsiaTheme="minorEastAsia"/>
          <w:caps w:val="0"/>
          <w:sz w:val="24"/>
          <w:szCs w:val="24"/>
          <w14:ligatures w14:val="standardContextual"/>
        </w:rPr>
      </w:pPr>
      <w:r>
        <w:fldChar w:fldCharType="begin"/>
      </w:r>
      <w:r>
        <w:instrText xml:space="preserve"> HYPERLINK \l "_Toc171605464" </w:instrText>
      </w:r>
      <w:r>
        <w:fldChar w:fldCharType="separate"/>
      </w:r>
      <w:r>
        <w:rPr>
          <w:rStyle w:val="41"/>
          <w:rFonts w:ascii="Times New Roman" w:hAnsi="Times New Roman" w:eastAsiaTheme="minorEastAsia"/>
          <w:sz w:val="24"/>
          <w:szCs w:val="24"/>
        </w:rPr>
        <w:t>第五章  评审方法和评审标准</w:t>
      </w:r>
      <w:r>
        <w:rPr>
          <w:rFonts w:ascii="Times New Roman" w:hAnsi="Times New Roman" w:eastAsiaTheme="minorEastAsia"/>
          <w:sz w:val="24"/>
          <w:szCs w:val="24"/>
        </w:rPr>
        <w:tab/>
      </w:r>
      <w:r>
        <w:rPr>
          <w:rFonts w:ascii="Times New Roman" w:hAnsi="Times New Roman" w:eastAsiaTheme="minorEastAsia"/>
          <w:sz w:val="24"/>
          <w:szCs w:val="24"/>
        </w:rPr>
        <w:fldChar w:fldCharType="begin"/>
      </w:r>
      <w:r>
        <w:rPr>
          <w:rFonts w:ascii="Times New Roman" w:hAnsi="Times New Roman" w:eastAsiaTheme="minorEastAsia"/>
          <w:sz w:val="24"/>
          <w:szCs w:val="24"/>
        </w:rPr>
        <w:instrText xml:space="preserve"> PAGEREF _Toc171605464 \h </w:instrText>
      </w:r>
      <w:r>
        <w:rPr>
          <w:rFonts w:ascii="Times New Roman" w:hAnsi="Times New Roman" w:eastAsiaTheme="minorEastAsia"/>
          <w:sz w:val="24"/>
          <w:szCs w:val="24"/>
        </w:rPr>
        <w:fldChar w:fldCharType="separate"/>
      </w:r>
      <w:r>
        <w:rPr>
          <w:rFonts w:ascii="Times New Roman" w:hAnsi="Times New Roman" w:eastAsiaTheme="minorEastAsia"/>
          <w:sz w:val="24"/>
          <w:szCs w:val="24"/>
        </w:rPr>
        <w:t>25</w:t>
      </w:r>
      <w:r>
        <w:rPr>
          <w:rFonts w:ascii="Times New Roman" w:hAnsi="Times New Roman" w:eastAsiaTheme="minorEastAsia"/>
          <w:sz w:val="24"/>
          <w:szCs w:val="24"/>
        </w:rPr>
        <w:fldChar w:fldCharType="end"/>
      </w:r>
      <w:r>
        <w:rPr>
          <w:rFonts w:ascii="Times New Roman" w:hAnsi="Times New Roman" w:eastAsiaTheme="minorEastAsia"/>
          <w:sz w:val="24"/>
          <w:szCs w:val="24"/>
        </w:rPr>
        <w:fldChar w:fldCharType="end"/>
      </w:r>
    </w:p>
    <w:p w14:paraId="3AC7D8CD">
      <w:pPr>
        <w:pStyle w:val="28"/>
        <w:spacing w:line="360" w:lineRule="auto"/>
        <w:ind w:firstLine="360" w:firstLineChars="200"/>
        <w:contextualSpacing/>
        <w:rPr>
          <w:rStyle w:val="41"/>
          <w:rFonts w:ascii="Times New Roman" w:hAnsi="Times New Roman" w:eastAsiaTheme="minorEastAsia"/>
          <w:b w:val="0"/>
          <w:sz w:val="24"/>
          <w:szCs w:val="24"/>
        </w:rPr>
      </w:pPr>
      <w:r>
        <w:fldChar w:fldCharType="begin"/>
      </w:r>
      <w:r>
        <w:instrText xml:space="preserve"> HYPERLINK \l "_Toc171605465" </w:instrText>
      </w:r>
      <w:r>
        <w:fldChar w:fldCharType="separate"/>
      </w:r>
      <w:r>
        <w:rPr>
          <w:rStyle w:val="41"/>
          <w:rFonts w:ascii="Times New Roman" w:hAnsi="Times New Roman" w:eastAsiaTheme="minorEastAsia"/>
          <w:b w:val="0"/>
          <w:sz w:val="24"/>
          <w:szCs w:val="24"/>
        </w:rPr>
        <w:t>一、评审方法与成交原则</w:t>
      </w:r>
      <w:r>
        <w:rPr>
          <w:rStyle w:val="41"/>
          <w:rFonts w:ascii="Times New Roman" w:hAnsi="Times New Roman" w:eastAsiaTheme="minorEastAsia"/>
          <w:b w:val="0"/>
          <w:sz w:val="24"/>
          <w:szCs w:val="24"/>
        </w:rPr>
        <w:tab/>
      </w:r>
      <w:r>
        <w:rPr>
          <w:rStyle w:val="41"/>
          <w:rFonts w:ascii="Times New Roman" w:hAnsi="Times New Roman" w:eastAsiaTheme="minorEastAsia"/>
          <w:b w:val="0"/>
          <w:sz w:val="24"/>
          <w:szCs w:val="24"/>
        </w:rPr>
        <w:fldChar w:fldCharType="begin"/>
      </w:r>
      <w:r>
        <w:rPr>
          <w:rStyle w:val="41"/>
          <w:rFonts w:ascii="Times New Roman" w:hAnsi="Times New Roman" w:eastAsiaTheme="minorEastAsia"/>
          <w:b w:val="0"/>
          <w:sz w:val="24"/>
          <w:szCs w:val="24"/>
        </w:rPr>
        <w:instrText xml:space="preserve"> PAGEREF _Toc171605465 \h </w:instrText>
      </w:r>
      <w:r>
        <w:rPr>
          <w:rStyle w:val="41"/>
          <w:rFonts w:ascii="Times New Roman" w:hAnsi="Times New Roman" w:eastAsiaTheme="minorEastAsia"/>
          <w:b w:val="0"/>
          <w:sz w:val="24"/>
          <w:szCs w:val="24"/>
        </w:rPr>
        <w:fldChar w:fldCharType="separate"/>
      </w:r>
      <w:r>
        <w:rPr>
          <w:rStyle w:val="41"/>
          <w:rFonts w:ascii="Times New Roman" w:hAnsi="Times New Roman" w:eastAsiaTheme="minorEastAsia"/>
          <w:b w:val="0"/>
          <w:sz w:val="24"/>
          <w:szCs w:val="24"/>
        </w:rPr>
        <w:t>25</w:t>
      </w:r>
      <w:r>
        <w:rPr>
          <w:rStyle w:val="41"/>
          <w:rFonts w:ascii="Times New Roman" w:hAnsi="Times New Roman" w:eastAsiaTheme="minorEastAsia"/>
          <w:b w:val="0"/>
          <w:sz w:val="24"/>
          <w:szCs w:val="24"/>
        </w:rPr>
        <w:fldChar w:fldCharType="end"/>
      </w:r>
      <w:r>
        <w:rPr>
          <w:rStyle w:val="41"/>
          <w:rFonts w:ascii="Times New Roman" w:hAnsi="Times New Roman" w:eastAsiaTheme="minorEastAsia"/>
          <w:b w:val="0"/>
          <w:sz w:val="24"/>
          <w:szCs w:val="24"/>
        </w:rPr>
        <w:fldChar w:fldCharType="end"/>
      </w:r>
    </w:p>
    <w:p w14:paraId="1FD50418">
      <w:pPr>
        <w:pStyle w:val="28"/>
        <w:spacing w:line="360" w:lineRule="auto"/>
        <w:ind w:firstLine="360" w:firstLineChars="200"/>
        <w:contextualSpacing/>
        <w:rPr>
          <w:rStyle w:val="41"/>
          <w:rFonts w:ascii="Times New Roman" w:hAnsi="Times New Roman" w:eastAsiaTheme="minorEastAsia"/>
          <w:b w:val="0"/>
          <w:sz w:val="24"/>
          <w:szCs w:val="24"/>
        </w:rPr>
      </w:pPr>
      <w:r>
        <w:fldChar w:fldCharType="begin"/>
      </w:r>
      <w:r>
        <w:instrText xml:space="preserve"> HYPERLINK \l "_Toc171605466" </w:instrText>
      </w:r>
      <w:r>
        <w:fldChar w:fldCharType="separate"/>
      </w:r>
      <w:r>
        <w:rPr>
          <w:rStyle w:val="41"/>
          <w:rFonts w:ascii="Times New Roman" w:hAnsi="Times New Roman" w:eastAsiaTheme="minorEastAsia"/>
          <w:b w:val="0"/>
          <w:sz w:val="24"/>
          <w:szCs w:val="24"/>
        </w:rPr>
        <w:t>二、评审标准</w:t>
      </w:r>
      <w:r>
        <w:rPr>
          <w:rStyle w:val="41"/>
          <w:rFonts w:ascii="Times New Roman" w:hAnsi="Times New Roman" w:eastAsiaTheme="minorEastAsia"/>
          <w:b w:val="0"/>
          <w:sz w:val="24"/>
          <w:szCs w:val="24"/>
        </w:rPr>
        <w:tab/>
      </w:r>
      <w:r>
        <w:rPr>
          <w:rStyle w:val="41"/>
          <w:rFonts w:ascii="Times New Roman" w:hAnsi="Times New Roman" w:eastAsiaTheme="minorEastAsia"/>
          <w:b w:val="0"/>
          <w:sz w:val="24"/>
          <w:szCs w:val="24"/>
        </w:rPr>
        <w:fldChar w:fldCharType="begin"/>
      </w:r>
      <w:r>
        <w:rPr>
          <w:rStyle w:val="41"/>
          <w:rFonts w:ascii="Times New Roman" w:hAnsi="Times New Roman" w:eastAsiaTheme="minorEastAsia"/>
          <w:b w:val="0"/>
          <w:sz w:val="24"/>
          <w:szCs w:val="24"/>
        </w:rPr>
        <w:instrText xml:space="preserve"> PAGEREF _Toc171605466 \h </w:instrText>
      </w:r>
      <w:r>
        <w:rPr>
          <w:rStyle w:val="41"/>
          <w:rFonts w:ascii="Times New Roman" w:hAnsi="Times New Roman" w:eastAsiaTheme="minorEastAsia"/>
          <w:b w:val="0"/>
          <w:sz w:val="24"/>
          <w:szCs w:val="24"/>
        </w:rPr>
        <w:fldChar w:fldCharType="separate"/>
      </w:r>
      <w:r>
        <w:rPr>
          <w:rStyle w:val="41"/>
          <w:rFonts w:ascii="Times New Roman" w:hAnsi="Times New Roman" w:eastAsiaTheme="minorEastAsia"/>
          <w:b w:val="0"/>
          <w:sz w:val="24"/>
          <w:szCs w:val="24"/>
        </w:rPr>
        <w:t>25</w:t>
      </w:r>
      <w:r>
        <w:rPr>
          <w:rStyle w:val="41"/>
          <w:rFonts w:ascii="Times New Roman" w:hAnsi="Times New Roman" w:eastAsiaTheme="minorEastAsia"/>
          <w:b w:val="0"/>
          <w:sz w:val="24"/>
          <w:szCs w:val="24"/>
        </w:rPr>
        <w:fldChar w:fldCharType="end"/>
      </w:r>
      <w:r>
        <w:rPr>
          <w:rStyle w:val="41"/>
          <w:rFonts w:ascii="Times New Roman" w:hAnsi="Times New Roman" w:eastAsiaTheme="minorEastAsia"/>
          <w:b w:val="0"/>
          <w:sz w:val="24"/>
          <w:szCs w:val="24"/>
        </w:rPr>
        <w:fldChar w:fldCharType="end"/>
      </w:r>
    </w:p>
    <w:p w14:paraId="4A0ADB78">
      <w:pPr>
        <w:pStyle w:val="28"/>
        <w:spacing w:line="360" w:lineRule="auto"/>
        <w:ind w:firstLine="360" w:firstLineChars="200"/>
        <w:contextualSpacing/>
        <w:rPr>
          <w:rStyle w:val="41"/>
          <w:rFonts w:ascii="Times New Roman" w:hAnsi="Times New Roman" w:eastAsiaTheme="minorEastAsia"/>
          <w:b w:val="0"/>
          <w:sz w:val="24"/>
          <w:szCs w:val="24"/>
        </w:rPr>
      </w:pPr>
      <w:r>
        <w:fldChar w:fldCharType="begin"/>
      </w:r>
      <w:r>
        <w:instrText xml:space="preserve"> HYPERLINK \l "_Toc171605467" </w:instrText>
      </w:r>
      <w:r>
        <w:fldChar w:fldCharType="separate"/>
      </w:r>
      <w:r>
        <w:rPr>
          <w:rStyle w:val="41"/>
          <w:rFonts w:ascii="Times New Roman" w:hAnsi="Times New Roman" w:eastAsiaTheme="minorEastAsia"/>
          <w:b w:val="0"/>
          <w:sz w:val="24"/>
          <w:szCs w:val="24"/>
        </w:rPr>
        <w:t>三、政府采购政策功能落实</w:t>
      </w:r>
      <w:r>
        <w:rPr>
          <w:rStyle w:val="41"/>
          <w:rFonts w:ascii="Times New Roman" w:hAnsi="Times New Roman" w:eastAsiaTheme="minorEastAsia"/>
          <w:b w:val="0"/>
          <w:sz w:val="24"/>
          <w:szCs w:val="24"/>
        </w:rPr>
        <w:tab/>
      </w:r>
      <w:r>
        <w:rPr>
          <w:rStyle w:val="41"/>
          <w:rFonts w:ascii="Times New Roman" w:hAnsi="Times New Roman" w:eastAsiaTheme="minorEastAsia"/>
          <w:b w:val="0"/>
          <w:sz w:val="24"/>
          <w:szCs w:val="24"/>
        </w:rPr>
        <w:fldChar w:fldCharType="begin"/>
      </w:r>
      <w:r>
        <w:rPr>
          <w:rStyle w:val="41"/>
          <w:rFonts w:ascii="Times New Roman" w:hAnsi="Times New Roman" w:eastAsiaTheme="minorEastAsia"/>
          <w:b w:val="0"/>
          <w:sz w:val="24"/>
          <w:szCs w:val="24"/>
        </w:rPr>
        <w:instrText xml:space="preserve"> PAGEREF _Toc171605467 \h </w:instrText>
      </w:r>
      <w:r>
        <w:rPr>
          <w:rStyle w:val="41"/>
          <w:rFonts w:ascii="Times New Roman" w:hAnsi="Times New Roman" w:eastAsiaTheme="minorEastAsia"/>
          <w:b w:val="0"/>
          <w:sz w:val="24"/>
          <w:szCs w:val="24"/>
        </w:rPr>
        <w:fldChar w:fldCharType="separate"/>
      </w:r>
      <w:r>
        <w:rPr>
          <w:rStyle w:val="41"/>
          <w:rFonts w:ascii="Times New Roman" w:hAnsi="Times New Roman" w:eastAsiaTheme="minorEastAsia"/>
          <w:b w:val="0"/>
          <w:sz w:val="24"/>
          <w:szCs w:val="24"/>
        </w:rPr>
        <w:t>28</w:t>
      </w:r>
      <w:r>
        <w:rPr>
          <w:rStyle w:val="41"/>
          <w:rFonts w:ascii="Times New Roman" w:hAnsi="Times New Roman" w:eastAsiaTheme="minorEastAsia"/>
          <w:b w:val="0"/>
          <w:sz w:val="24"/>
          <w:szCs w:val="24"/>
        </w:rPr>
        <w:fldChar w:fldCharType="end"/>
      </w:r>
      <w:r>
        <w:rPr>
          <w:rStyle w:val="41"/>
          <w:rFonts w:ascii="Times New Roman" w:hAnsi="Times New Roman" w:eastAsiaTheme="minorEastAsia"/>
          <w:b w:val="0"/>
          <w:sz w:val="24"/>
          <w:szCs w:val="24"/>
        </w:rPr>
        <w:fldChar w:fldCharType="end"/>
      </w:r>
    </w:p>
    <w:p w14:paraId="1D9260C4">
      <w:pPr>
        <w:pStyle w:val="24"/>
        <w:spacing w:before="0" w:after="0" w:line="360" w:lineRule="auto"/>
        <w:contextualSpacing/>
        <w:rPr>
          <w:rFonts w:ascii="Times New Roman" w:hAnsi="Times New Roman" w:eastAsiaTheme="minorEastAsia"/>
          <w:caps w:val="0"/>
          <w:sz w:val="24"/>
          <w:szCs w:val="24"/>
          <w14:ligatures w14:val="standardContextual"/>
        </w:rPr>
      </w:pPr>
      <w:r>
        <w:fldChar w:fldCharType="begin"/>
      </w:r>
      <w:r>
        <w:instrText xml:space="preserve"> HYPERLINK \l "_Toc171605468" </w:instrText>
      </w:r>
      <w:r>
        <w:fldChar w:fldCharType="separate"/>
      </w:r>
      <w:r>
        <w:rPr>
          <w:rStyle w:val="41"/>
          <w:rFonts w:ascii="Times New Roman" w:hAnsi="Times New Roman" w:eastAsiaTheme="minorEastAsia"/>
          <w:sz w:val="24"/>
          <w:szCs w:val="24"/>
        </w:rPr>
        <w:t>第六章  响应文件的组成和格式</w:t>
      </w:r>
      <w:r>
        <w:rPr>
          <w:rFonts w:ascii="Times New Roman" w:hAnsi="Times New Roman" w:eastAsiaTheme="minorEastAsia"/>
          <w:sz w:val="24"/>
          <w:szCs w:val="24"/>
        </w:rPr>
        <w:tab/>
      </w:r>
      <w:r>
        <w:rPr>
          <w:rFonts w:ascii="Times New Roman" w:hAnsi="Times New Roman" w:eastAsiaTheme="minorEastAsia"/>
          <w:sz w:val="24"/>
          <w:szCs w:val="24"/>
        </w:rPr>
        <w:fldChar w:fldCharType="begin"/>
      </w:r>
      <w:r>
        <w:rPr>
          <w:rFonts w:ascii="Times New Roman" w:hAnsi="Times New Roman" w:eastAsiaTheme="minorEastAsia"/>
          <w:sz w:val="24"/>
          <w:szCs w:val="24"/>
        </w:rPr>
        <w:instrText xml:space="preserve"> PAGEREF _Toc171605468 \h </w:instrText>
      </w:r>
      <w:r>
        <w:rPr>
          <w:rFonts w:ascii="Times New Roman" w:hAnsi="Times New Roman" w:eastAsiaTheme="minorEastAsia"/>
          <w:sz w:val="24"/>
          <w:szCs w:val="24"/>
        </w:rPr>
        <w:fldChar w:fldCharType="separate"/>
      </w:r>
      <w:r>
        <w:rPr>
          <w:rFonts w:ascii="Times New Roman" w:hAnsi="Times New Roman" w:eastAsiaTheme="minorEastAsia"/>
          <w:sz w:val="24"/>
          <w:szCs w:val="24"/>
        </w:rPr>
        <w:t>30</w:t>
      </w:r>
      <w:r>
        <w:rPr>
          <w:rFonts w:ascii="Times New Roman" w:hAnsi="Times New Roman" w:eastAsiaTheme="minorEastAsia"/>
          <w:sz w:val="24"/>
          <w:szCs w:val="24"/>
        </w:rPr>
        <w:fldChar w:fldCharType="end"/>
      </w:r>
      <w:r>
        <w:rPr>
          <w:rFonts w:ascii="Times New Roman" w:hAnsi="Times New Roman" w:eastAsiaTheme="minorEastAsia"/>
          <w:sz w:val="24"/>
          <w:szCs w:val="24"/>
        </w:rPr>
        <w:fldChar w:fldCharType="end"/>
      </w:r>
    </w:p>
    <w:p w14:paraId="1396EE56">
      <w:pPr>
        <w:pStyle w:val="28"/>
        <w:spacing w:line="360" w:lineRule="auto"/>
        <w:ind w:firstLine="360" w:firstLineChars="200"/>
        <w:contextualSpacing/>
        <w:rPr>
          <w:rStyle w:val="41"/>
          <w:rFonts w:ascii="Times New Roman" w:hAnsi="Times New Roman" w:eastAsiaTheme="minorEastAsia"/>
          <w:b w:val="0"/>
          <w:sz w:val="24"/>
          <w:szCs w:val="24"/>
        </w:rPr>
      </w:pPr>
      <w:r>
        <w:fldChar w:fldCharType="begin"/>
      </w:r>
      <w:r>
        <w:instrText xml:space="preserve"> HYPERLINK \l "_Toc171605469" </w:instrText>
      </w:r>
      <w:r>
        <w:fldChar w:fldCharType="separate"/>
      </w:r>
      <w:r>
        <w:rPr>
          <w:rStyle w:val="41"/>
          <w:rFonts w:ascii="Times New Roman" w:hAnsi="Times New Roman" w:eastAsiaTheme="minorEastAsia"/>
          <w:b w:val="0"/>
          <w:sz w:val="24"/>
          <w:szCs w:val="24"/>
        </w:rPr>
        <w:t>一、评分索引表</w:t>
      </w:r>
      <w:r>
        <w:rPr>
          <w:rStyle w:val="41"/>
          <w:rFonts w:ascii="Times New Roman" w:hAnsi="Times New Roman" w:eastAsiaTheme="minorEastAsia"/>
          <w:b w:val="0"/>
          <w:sz w:val="24"/>
          <w:szCs w:val="24"/>
        </w:rPr>
        <w:tab/>
      </w:r>
      <w:r>
        <w:rPr>
          <w:rStyle w:val="41"/>
          <w:rFonts w:ascii="Times New Roman" w:hAnsi="Times New Roman" w:eastAsiaTheme="minorEastAsia"/>
          <w:b w:val="0"/>
          <w:sz w:val="24"/>
          <w:szCs w:val="24"/>
        </w:rPr>
        <w:fldChar w:fldCharType="begin"/>
      </w:r>
      <w:r>
        <w:rPr>
          <w:rStyle w:val="41"/>
          <w:rFonts w:ascii="Times New Roman" w:hAnsi="Times New Roman" w:eastAsiaTheme="minorEastAsia"/>
          <w:b w:val="0"/>
          <w:sz w:val="24"/>
          <w:szCs w:val="24"/>
        </w:rPr>
        <w:instrText xml:space="preserve"> PAGEREF _Toc171605469 \h </w:instrText>
      </w:r>
      <w:r>
        <w:rPr>
          <w:rStyle w:val="41"/>
          <w:rFonts w:ascii="Times New Roman" w:hAnsi="Times New Roman" w:eastAsiaTheme="minorEastAsia"/>
          <w:b w:val="0"/>
          <w:sz w:val="24"/>
          <w:szCs w:val="24"/>
        </w:rPr>
        <w:fldChar w:fldCharType="separate"/>
      </w:r>
      <w:r>
        <w:rPr>
          <w:rStyle w:val="41"/>
          <w:rFonts w:ascii="Times New Roman" w:hAnsi="Times New Roman" w:eastAsiaTheme="minorEastAsia"/>
          <w:b w:val="0"/>
          <w:sz w:val="24"/>
          <w:szCs w:val="24"/>
        </w:rPr>
        <w:t>32</w:t>
      </w:r>
      <w:r>
        <w:rPr>
          <w:rStyle w:val="41"/>
          <w:rFonts w:ascii="Times New Roman" w:hAnsi="Times New Roman" w:eastAsiaTheme="minorEastAsia"/>
          <w:b w:val="0"/>
          <w:sz w:val="24"/>
          <w:szCs w:val="24"/>
        </w:rPr>
        <w:fldChar w:fldCharType="end"/>
      </w:r>
      <w:r>
        <w:rPr>
          <w:rStyle w:val="41"/>
          <w:rFonts w:ascii="Times New Roman" w:hAnsi="Times New Roman" w:eastAsiaTheme="minorEastAsia"/>
          <w:b w:val="0"/>
          <w:sz w:val="24"/>
          <w:szCs w:val="24"/>
        </w:rPr>
        <w:fldChar w:fldCharType="end"/>
      </w:r>
    </w:p>
    <w:p w14:paraId="20421663">
      <w:pPr>
        <w:pStyle w:val="28"/>
        <w:spacing w:line="360" w:lineRule="auto"/>
        <w:ind w:firstLine="360" w:firstLineChars="200"/>
        <w:contextualSpacing/>
        <w:rPr>
          <w:rStyle w:val="41"/>
          <w:rFonts w:ascii="Times New Roman" w:hAnsi="Times New Roman" w:eastAsiaTheme="minorEastAsia"/>
          <w:b w:val="0"/>
          <w:sz w:val="24"/>
          <w:szCs w:val="24"/>
        </w:rPr>
      </w:pPr>
      <w:r>
        <w:fldChar w:fldCharType="begin"/>
      </w:r>
      <w:r>
        <w:instrText xml:space="preserve"> HYPERLINK \l "_Toc171605470" </w:instrText>
      </w:r>
      <w:r>
        <w:fldChar w:fldCharType="separate"/>
      </w:r>
      <w:r>
        <w:rPr>
          <w:rStyle w:val="41"/>
          <w:rFonts w:ascii="Times New Roman" w:hAnsi="Times New Roman" w:eastAsiaTheme="minorEastAsia"/>
          <w:b w:val="0"/>
          <w:sz w:val="24"/>
          <w:szCs w:val="24"/>
        </w:rPr>
        <w:t>二、资格审查响应对照表</w:t>
      </w:r>
      <w:r>
        <w:rPr>
          <w:rStyle w:val="41"/>
          <w:rFonts w:ascii="Times New Roman" w:hAnsi="Times New Roman" w:eastAsiaTheme="minorEastAsia"/>
          <w:b w:val="0"/>
          <w:sz w:val="24"/>
          <w:szCs w:val="24"/>
        </w:rPr>
        <w:tab/>
      </w:r>
      <w:r>
        <w:rPr>
          <w:rStyle w:val="41"/>
          <w:rFonts w:ascii="Times New Roman" w:hAnsi="Times New Roman" w:eastAsiaTheme="minorEastAsia"/>
          <w:b w:val="0"/>
          <w:sz w:val="24"/>
          <w:szCs w:val="24"/>
        </w:rPr>
        <w:fldChar w:fldCharType="begin"/>
      </w:r>
      <w:r>
        <w:rPr>
          <w:rStyle w:val="41"/>
          <w:rFonts w:ascii="Times New Roman" w:hAnsi="Times New Roman" w:eastAsiaTheme="minorEastAsia"/>
          <w:b w:val="0"/>
          <w:sz w:val="24"/>
          <w:szCs w:val="24"/>
        </w:rPr>
        <w:instrText xml:space="preserve"> PAGEREF _Toc171605470 \h </w:instrText>
      </w:r>
      <w:r>
        <w:rPr>
          <w:rStyle w:val="41"/>
          <w:rFonts w:ascii="Times New Roman" w:hAnsi="Times New Roman" w:eastAsiaTheme="minorEastAsia"/>
          <w:b w:val="0"/>
          <w:sz w:val="24"/>
          <w:szCs w:val="24"/>
        </w:rPr>
        <w:fldChar w:fldCharType="separate"/>
      </w:r>
      <w:r>
        <w:rPr>
          <w:rStyle w:val="41"/>
          <w:rFonts w:ascii="Times New Roman" w:hAnsi="Times New Roman" w:eastAsiaTheme="minorEastAsia"/>
          <w:b w:val="0"/>
          <w:sz w:val="24"/>
          <w:szCs w:val="24"/>
        </w:rPr>
        <w:t>33</w:t>
      </w:r>
      <w:r>
        <w:rPr>
          <w:rStyle w:val="41"/>
          <w:rFonts w:ascii="Times New Roman" w:hAnsi="Times New Roman" w:eastAsiaTheme="minorEastAsia"/>
          <w:b w:val="0"/>
          <w:sz w:val="24"/>
          <w:szCs w:val="24"/>
        </w:rPr>
        <w:fldChar w:fldCharType="end"/>
      </w:r>
      <w:r>
        <w:rPr>
          <w:rStyle w:val="41"/>
          <w:rFonts w:ascii="Times New Roman" w:hAnsi="Times New Roman" w:eastAsiaTheme="minorEastAsia"/>
          <w:b w:val="0"/>
          <w:sz w:val="24"/>
          <w:szCs w:val="24"/>
        </w:rPr>
        <w:fldChar w:fldCharType="end"/>
      </w:r>
    </w:p>
    <w:p w14:paraId="22618FD6">
      <w:pPr>
        <w:pStyle w:val="28"/>
        <w:spacing w:line="360" w:lineRule="auto"/>
        <w:ind w:firstLine="360" w:firstLineChars="200"/>
        <w:contextualSpacing/>
        <w:rPr>
          <w:rStyle w:val="41"/>
          <w:rFonts w:ascii="Times New Roman" w:hAnsi="Times New Roman" w:eastAsiaTheme="minorEastAsia"/>
          <w:b w:val="0"/>
          <w:sz w:val="24"/>
          <w:szCs w:val="24"/>
        </w:rPr>
      </w:pPr>
      <w:r>
        <w:fldChar w:fldCharType="begin"/>
      </w:r>
      <w:r>
        <w:instrText xml:space="preserve"> HYPERLINK \l "_Toc171605471" </w:instrText>
      </w:r>
      <w:r>
        <w:fldChar w:fldCharType="separate"/>
      </w:r>
      <w:r>
        <w:rPr>
          <w:rStyle w:val="41"/>
          <w:rFonts w:ascii="Times New Roman" w:hAnsi="Times New Roman" w:eastAsiaTheme="minorEastAsia"/>
          <w:b w:val="0"/>
          <w:sz w:val="24"/>
          <w:szCs w:val="24"/>
        </w:rPr>
        <w:t>三、符合性审查响应对照表</w:t>
      </w:r>
      <w:r>
        <w:rPr>
          <w:rStyle w:val="41"/>
          <w:rFonts w:ascii="Times New Roman" w:hAnsi="Times New Roman" w:eastAsiaTheme="minorEastAsia"/>
          <w:b w:val="0"/>
          <w:sz w:val="24"/>
          <w:szCs w:val="24"/>
        </w:rPr>
        <w:tab/>
      </w:r>
      <w:r>
        <w:rPr>
          <w:rStyle w:val="41"/>
          <w:rFonts w:ascii="Times New Roman" w:hAnsi="Times New Roman" w:eastAsiaTheme="minorEastAsia"/>
          <w:b w:val="0"/>
          <w:sz w:val="24"/>
          <w:szCs w:val="24"/>
        </w:rPr>
        <w:fldChar w:fldCharType="begin"/>
      </w:r>
      <w:r>
        <w:rPr>
          <w:rStyle w:val="41"/>
          <w:rFonts w:ascii="Times New Roman" w:hAnsi="Times New Roman" w:eastAsiaTheme="minorEastAsia"/>
          <w:b w:val="0"/>
          <w:sz w:val="24"/>
          <w:szCs w:val="24"/>
        </w:rPr>
        <w:instrText xml:space="preserve"> PAGEREF _Toc171605471 \h </w:instrText>
      </w:r>
      <w:r>
        <w:rPr>
          <w:rStyle w:val="41"/>
          <w:rFonts w:ascii="Times New Roman" w:hAnsi="Times New Roman" w:eastAsiaTheme="minorEastAsia"/>
          <w:b w:val="0"/>
          <w:sz w:val="24"/>
          <w:szCs w:val="24"/>
        </w:rPr>
        <w:fldChar w:fldCharType="separate"/>
      </w:r>
      <w:r>
        <w:rPr>
          <w:rStyle w:val="41"/>
          <w:rFonts w:ascii="Times New Roman" w:hAnsi="Times New Roman" w:eastAsiaTheme="minorEastAsia"/>
          <w:b w:val="0"/>
          <w:sz w:val="24"/>
          <w:szCs w:val="24"/>
        </w:rPr>
        <w:t>35</w:t>
      </w:r>
      <w:r>
        <w:rPr>
          <w:rStyle w:val="41"/>
          <w:rFonts w:ascii="Times New Roman" w:hAnsi="Times New Roman" w:eastAsiaTheme="minorEastAsia"/>
          <w:b w:val="0"/>
          <w:sz w:val="24"/>
          <w:szCs w:val="24"/>
        </w:rPr>
        <w:fldChar w:fldCharType="end"/>
      </w:r>
      <w:r>
        <w:rPr>
          <w:rStyle w:val="41"/>
          <w:rFonts w:ascii="Times New Roman" w:hAnsi="Times New Roman" w:eastAsiaTheme="minorEastAsia"/>
          <w:b w:val="0"/>
          <w:sz w:val="24"/>
          <w:szCs w:val="24"/>
        </w:rPr>
        <w:fldChar w:fldCharType="end"/>
      </w:r>
    </w:p>
    <w:p w14:paraId="13D7BD3E">
      <w:pPr>
        <w:pStyle w:val="28"/>
        <w:spacing w:line="360" w:lineRule="auto"/>
        <w:ind w:firstLine="360" w:firstLineChars="200"/>
        <w:contextualSpacing/>
        <w:rPr>
          <w:rStyle w:val="41"/>
          <w:rFonts w:ascii="Times New Roman" w:hAnsi="Times New Roman" w:eastAsiaTheme="minorEastAsia"/>
          <w:b w:val="0"/>
          <w:sz w:val="24"/>
          <w:szCs w:val="24"/>
        </w:rPr>
      </w:pPr>
      <w:r>
        <w:fldChar w:fldCharType="begin"/>
      </w:r>
      <w:r>
        <w:instrText xml:space="preserve"> HYPERLINK \l "_Toc171605472" </w:instrText>
      </w:r>
      <w:r>
        <w:fldChar w:fldCharType="separate"/>
      </w:r>
      <w:r>
        <w:rPr>
          <w:rStyle w:val="41"/>
          <w:rFonts w:ascii="Times New Roman" w:hAnsi="Times New Roman" w:eastAsiaTheme="minorEastAsia"/>
          <w:b w:val="0"/>
          <w:sz w:val="24"/>
          <w:szCs w:val="24"/>
        </w:rPr>
        <w:t>四、磋商响应报价表</w:t>
      </w:r>
      <w:r>
        <w:rPr>
          <w:rStyle w:val="41"/>
          <w:rFonts w:ascii="Times New Roman" w:hAnsi="Times New Roman" w:eastAsiaTheme="minorEastAsia"/>
          <w:b w:val="0"/>
          <w:sz w:val="24"/>
          <w:szCs w:val="24"/>
        </w:rPr>
        <w:tab/>
      </w:r>
      <w:r>
        <w:rPr>
          <w:rStyle w:val="41"/>
          <w:rFonts w:ascii="Times New Roman" w:hAnsi="Times New Roman" w:eastAsiaTheme="minorEastAsia"/>
          <w:b w:val="0"/>
          <w:sz w:val="24"/>
          <w:szCs w:val="24"/>
        </w:rPr>
        <w:fldChar w:fldCharType="begin"/>
      </w:r>
      <w:r>
        <w:rPr>
          <w:rStyle w:val="41"/>
          <w:rFonts w:ascii="Times New Roman" w:hAnsi="Times New Roman" w:eastAsiaTheme="minorEastAsia"/>
          <w:b w:val="0"/>
          <w:sz w:val="24"/>
          <w:szCs w:val="24"/>
        </w:rPr>
        <w:instrText xml:space="preserve"> PAGEREF _Toc171605472 \h </w:instrText>
      </w:r>
      <w:r>
        <w:rPr>
          <w:rStyle w:val="41"/>
          <w:rFonts w:ascii="Times New Roman" w:hAnsi="Times New Roman" w:eastAsiaTheme="minorEastAsia"/>
          <w:b w:val="0"/>
          <w:sz w:val="24"/>
          <w:szCs w:val="24"/>
        </w:rPr>
        <w:fldChar w:fldCharType="separate"/>
      </w:r>
      <w:r>
        <w:rPr>
          <w:rStyle w:val="41"/>
          <w:rFonts w:ascii="Times New Roman" w:hAnsi="Times New Roman" w:eastAsiaTheme="minorEastAsia"/>
          <w:b w:val="0"/>
          <w:sz w:val="24"/>
          <w:szCs w:val="24"/>
        </w:rPr>
        <w:t>40</w:t>
      </w:r>
      <w:r>
        <w:rPr>
          <w:rStyle w:val="41"/>
          <w:rFonts w:ascii="Times New Roman" w:hAnsi="Times New Roman" w:eastAsiaTheme="minorEastAsia"/>
          <w:b w:val="0"/>
          <w:sz w:val="24"/>
          <w:szCs w:val="24"/>
        </w:rPr>
        <w:fldChar w:fldCharType="end"/>
      </w:r>
      <w:r>
        <w:rPr>
          <w:rStyle w:val="41"/>
          <w:rFonts w:ascii="Times New Roman" w:hAnsi="Times New Roman" w:eastAsiaTheme="minorEastAsia"/>
          <w:b w:val="0"/>
          <w:sz w:val="24"/>
          <w:szCs w:val="24"/>
        </w:rPr>
        <w:fldChar w:fldCharType="end"/>
      </w:r>
    </w:p>
    <w:p w14:paraId="5683A55A">
      <w:pPr>
        <w:pStyle w:val="28"/>
        <w:spacing w:line="360" w:lineRule="auto"/>
        <w:ind w:firstLine="360" w:firstLineChars="200"/>
        <w:contextualSpacing/>
        <w:rPr>
          <w:rStyle w:val="41"/>
          <w:rFonts w:ascii="Times New Roman" w:hAnsi="Times New Roman" w:eastAsiaTheme="minorEastAsia"/>
          <w:b w:val="0"/>
          <w:sz w:val="24"/>
          <w:szCs w:val="24"/>
        </w:rPr>
      </w:pPr>
      <w:r>
        <w:fldChar w:fldCharType="begin"/>
      </w:r>
      <w:r>
        <w:instrText xml:space="preserve"> HYPERLINK \l "_Toc171605473" </w:instrText>
      </w:r>
      <w:r>
        <w:fldChar w:fldCharType="separate"/>
      </w:r>
      <w:r>
        <w:rPr>
          <w:rStyle w:val="41"/>
          <w:rFonts w:ascii="Times New Roman" w:hAnsi="Times New Roman" w:eastAsiaTheme="minorEastAsia"/>
          <w:b w:val="0"/>
          <w:sz w:val="24"/>
          <w:szCs w:val="24"/>
        </w:rPr>
        <w:t>五、项目技术及商务需求响应及偏离表</w:t>
      </w:r>
      <w:r>
        <w:rPr>
          <w:rStyle w:val="41"/>
          <w:rFonts w:ascii="Times New Roman" w:hAnsi="Times New Roman" w:eastAsiaTheme="minorEastAsia"/>
          <w:b w:val="0"/>
          <w:sz w:val="24"/>
          <w:szCs w:val="24"/>
        </w:rPr>
        <w:tab/>
      </w:r>
      <w:r>
        <w:rPr>
          <w:rStyle w:val="41"/>
          <w:rFonts w:ascii="Times New Roman" w:hAnsi="Times New Roman" w:eastAsiaTheme="minorEastAsia"/>
          <w:b w:val="0"/>
          <w:sz w:val="24"/>
          <w:szCs w:val="24"/>
        </w:rPr>
        <w:fldChar w:fldCharType="begin"/>
      </w:r>
      <w:r>
        <w:rPr>
          <w:rStyle w:val="41"/>
          <w:rFonts w:ascii="Times New Roman" w:hAnsi="Times New Roman" w:eastAsiaTheme="minorEastAsia"/>
          <w:b w:val="0"/>
          <w:sz w:val="24"/>
          <w:szCs w:val="24"/>
        </w:rPr>
        <w:instrText xml:space="preserve"> PAGEREF _Toc171605473 \h </w:instrText>
      </w:r>
      <w:r>
        <w:rPr>
          <w:rStyle w:val="41"/>
          <w:rFonts w:ascii="Times New Roman" w:hAnsi="Times New Roman" w:eastAsiaTheme="minorEastAsia"/>
          <w:b w:val="0"/>
          <w:sz w:val="24"/>
          <w:szCs w:val="24"/>
        </w:rPr>
        <w:fldChar w:fldCharType="separate"/>
      </w:r>
      <w:r>
        <w:rPr>
          <w:rStyle w:val="41"/>
          <w:rFonts w:ascii="Times New Roman" w:hAnsi="Times New Roman" w:eastAsiaTheme="minorEastAsia"/>
          <w:b w:val="0"/>
          <w:sz w:val="24"/>
          <w:szCs w:val="24"/>
        </w:rPr>
        <w:t>41</w:t>
      </w:r>
      <w:r>
        <w:rPr>
          <w:rStyle w:val="41"/>
          <w:rFonts w:ascii="Times New Roman" w:hAnsi="Times New Roman" w:eastAsiaTheme="minorEastAsia"/>
          <w:b w:val="0"/>
          <w:sz w:val="24"/>
          <w:szCs w:val="24"/>
        </w:rPr>
        <w:fldChar w:fldCharType="end"/>
      </w:r>
      <w:r>
        <w:rPr>
          <w:rStyle w:val="41"/>
          <w:rFonts w:ascii="Times New Roman" w:hAnsi="Times New Roman" w:eastAsiaTheme="minorEastAsia"/>
          <w:b w:val="0"/>
          <w:sz w:val="24"/>
          <w:szCs w:val="24"/>
        </w:rPr>
        <w:fldChar w:fldCharType="end"/>
      </w:r>
    </w:p>
    <w:p w14:paraId="136B3F85">
      <w:pPr>
        <w:pStyle w:val="28"/>
        <w:spacing w:line="360" w:lineRule="auto"/>
        <w:ind w:firstLine="360" w:firstLineChars="200"/>
        <w:contextualSpacing/>
        <w:rPr>
          <w:rStyle w:val="41"/>
          <w:rFonts w:ascii="Times New Roman" w:hAnsi="Times New Roman" w:eastAsiaTheme="minorEastAsia"/>
          <w:b w:val="0"/>
          <w:sz w:val="24"/>
          <w:szCs w:val="24"/>
        </w:rPr>
      </w:pPr>
      <w:r>
        <w:fldChar w:fldCharType="begin"/>
      </w:r>
      <w:r>
        <w:instrText xml:space="preserve"> HYPERLINK \l "_Toc171605474" </w:instrText>
      </w:r>
      <w:r>
        <w:fldChar w:fldCharType="separate"/>
      </w:r>
      <w:r>
        <w:rPr>
          <w:rStyle w:val="41"/>
          <w:rFonts w:ascii="Times New Roman" w:hAnsi="Times New Roman" w:eastAsiaTheme="minorEastAsia"/>
          <w:b w:val="0"/>
          <w:sz w:val="24"/>
          <w:szCs w:val="24"/>
        </w:rPr>
        <w:t>附件</w:t>
      </w:r>
      <w:r>
        <w:rPr>
          <w:rStyle w:val="41"/>
          <w:rFonts w:ascii="Times New Roman" w:hAnsi="Times New Roman" w:eastAsiaTheme="minorEastAsia"/>
          <w:b w:val="0"/>
          <w:sz w:val="24"/>
          <w:szCs w:val="24"/>
        </w:rPr>
        <w:tab/>
      </w:r>
      <w:r>
        <w:rPr>
          <w:rStyle w:val="41"/>
          <w:rFonts w:ascii="Times New Roman" w:hAnsi="Times New Roman" w:eastAsiaTheme="minorEastAsia"/>
          <w:b w:val="0"/>
          <w:sz w:val="24"/>
          <w:szCs w:val="24"/>
        </w:rPr>
        <w:fldChar w:fldCharType="begin"/>
      </w:r>
      <w:r>
        <w:rPr>
          <w:rStyle w:val="41"/>
          <w:rFonts w:ascii="Times New Roman" w:hAnsi="Times New Roman" w:eastAsiaTheme="minorEastAsia"/>
          <w:b w:val="0"/>
          <w:sz w:val="24"/>
          <w:szCs w:val="24"/>
        </w:rPr>
        <w:instrText xml:space="preserve"> PAGEREF _Toc171605474 \h </w:instrText>
      </w:r>
      <w:r>
        <w:rPr>
          <w:rStyle w:val="41"/>
          <w:rFonts w:ascii="Times New Roman" w:hAnsi="Times New Roman" w:eastAsiaTheme="minorEastAsia"/>
          <w:b w:val="0"/>
          <w:sz w:val="24"/>
          <w:szCs w:val="24"/>
        </w:rPr>
        <w:fldChar w:fldCharType="separate"/>
      </w:r>
      <w:r>
        <w:rPr>
          <w:rStyle w:val="41"/>
          <w:rFonts w:ascii="Times New Roman" w:hAnsi="Times New Roman" w:eastAsiaTheme="minorEastAsia"/>
          <w:b w:val="0"/>
          <w:sz w:val="24"/>
          <w:szCs w:val="24"/>
        </w:rPr>
        <w:t>42</w:t>
      </w:r>
      <w:r>
        <w:rPr>
          <w:rStyle w:val="41"/>
          <w:rFonts w:ascii="Times New Roman" w:hAnsi="Times New Roman" w:eastAsiaTheme="minorEastAsia"/>
          <w:b w:val="0"/>
          <w:sz w:val="24"/>
          <w:szCs w:val="24"/>
        </w:rPr>
        <w:fldChar w:fldCharType="end"/>
      </w:r>
      <w:r>
        <w:rPr>
          <w:rStyle w:val="41"/>
          <w:rFonts w:ascii="Times New Roman" w:hAnsi="Times New Roman" w:eastAsiaTheme="minorEastAsia"/>
          <w:b w:val="0"/>
          <w:sz w:val="24"/>
          <w:szCs w:val="24"/>
        </w:rPr>
        <w:fldChar w:fldCharType="end"/>
      </w:r>
    </w:p>
    <w:p w14:paraId="3BFEB482">
      <w:pPr>
        <w:spacing w:line="360" w:lineRule="auto"/>
        <w:contextualSpacing/>
        <w:rPr>
          <w:rFonts w:hint="eastAsia" w:asciiTheme="minorEastAsia" w:hAnsiTheme="minorEastAsia" w:eastAsiaTheme="minorEastAsia"/>
          <w:color w:val="FF0000"/>
          <w:sz w:val="24"/>
        </w:rPr>
      </w:pPr>
      <w:r>
        <w:rPr>
          <w:rFonts w:ascii="Times New Roman" w:hAnsi="Times New Roman" w:eastAsiaTheme="minorEastAsia"/>
          <w:bCs/>
          <w:color w:val="FF0000"/>
          <w:sz w:val="24"/>
        </w:rPr>
        <w:fldChar w:fldCharType="end"/>
      </w:r>
    </w:p>
    <w:p w14:paraId="554FD061">
      <w:pPr>
        <w:adjustRightInd w:val="0"/>
        <w:snapToGrid w:val="0"/>
        <w:spacing w:line="480" w:lineRule="auto"/>
        <w:rPr>
          <w:rFonts w:hint="eastAsia" w:asciiTheme="minorEastAsia" w:hAnsiTheme="minorEastAsia" w:eastAsiaTheme="minorEastAsia"/>
          <w:color w:val="FF0000"/>
          <w:sz w:val="24"/>
        </w:rPr>
      </w:pPr>
      <w:r>
        <w:rPr>
          <w:rFonts w:asciiTheme="minorEastAsia" w:hAnsiTheme="minorEastAsia" w:eastAsiaTheme="minorEastAsia"/>
          <w:color w:val="FF0000"/>
          <w:sz w:val="24"/>
        </w:rPr>
        <w:br w:type="page"/>
      </w:r>
    </w:p>
    <w:p w14:paraId="6107B172">
      <w:pPr>
        <w:spacing w:after="156" w:afterLines="50" w:line="360" w:lineRule="auto"/>
        <w:jc w:val="center"/>
        <w:outlineLvl w:val="0"/>
        <w:rPr>
          <w:rFonts w:hint="eastAsia" w:asciiTheme="minorEastAsia" w:hAnsiTheme="minorEastAsia" w:eastAsiaTheme="minorEastAsia" w:cstheme="minorBidi"/>
          <w:b/>
          <w:bCs/>
          <w:smallCaps/>
          <w:sz w:val="24"/>
        </w:rPr>
      </w:pPr>
      <w:bookmarkStart w:id="2" w:name="_Toc47452161"/>
      <w:bookmarkStart w:id="3" w:name="_Toc14577347"/>
      <w:bookmarkStart w:id="4" w:name="_Toc61149549"/>
      <w:bookmarkStart w:id="5" w:name="_Toc513029209"/>
      <w:bookmarkStart w:id="6" w:name="_Hlk8656391"/>
      <w:r>
        <w:rPr>
          <w:rFonts w:asciiTheme="minorEastAsia" w:hAnsiTheme="minorEastAsia" w:eastAsiaTheme="minorEastAsia"/>
          <w:b/>
          <w:bCs/>
          <w:sz w:val="24"/>
        </w:rPr>
        <w:fldChar w:fldCharType="begin"/>
      </w:r>
      <w:r>
        <w:rPr>
          <w:rFonts w:asciiTheme="minorEastAsia" w:hAnsiTheme="minorEastAsia" w:eastAsiaTheme="minorEastAsia"/>
          <w:bCs/>
          <w:sz w:val="24"/>
        </w:rPr>
        <w:instrText xml:space="preserve"> TOC \o "1-2" \h \z \u </w:instrText>
      </w:r>
      <w:r>
        <w:rPr>
          <w:rFonts w:hint="eastAsia" w:asciiTheme="minorEastAsia" w:hAnsiTheme="minorEastAsia" w:eastAsiaTheme="minorEastAsia"/>
          <w:b/>
          <w:bCs/>
          <w:sz w:val="24"/>
        </w:rPr>
        <w:fldChar w:fldCharType="separate"/>
      </w:r>
      <w:r>
        <w:rPr>
          <w:rFonts w:asciiTheme="minorEastAsia" w:hAnsiTheme="minorEastAsia" w:eastAsiaTheme="minorEastAsia"/>
          <w:bCs/>
          <w:caps/>
          <w:sz w:val="24"/>
        </w:rPr>
        <w:fldChar w:fldCharType="end"/>
      </w:r>
      <w:bookmarkStart w:id="7" w:name="_Toc171605449"/>
      <w:bookmarkStart w:id="8" w:name="_Toc155687983"/>
      <w:bookmarkStart w:id="9" w:name="_Toc171512429"/>
      <w:r>
        <w:rPr>
          <w:rFonts w:hint="eastAsia" w:ascii="华文中宋" w:hAnsi="华文中宋" w:eastAsia="华文中宋"/>
          <w:b/>
          <w:bCs/>
          <w:sz w:val="32"/>
          <w:szCs w:val="32"/>
        </w:rPr>
        <w:t xml:space="preserve">第一章 </w:t>
      </w:r>
      <w:r>
        <w:rPr>
          <w:rFonts w:ascii="华文中宋" w:hAnsi="华文中宋" w:eastAsia="华文中宋"/>
          <w:b/>
          <w:bCs/>
          <w:sz w:val="32"/>
          <w:szCs w:val="32"/>
        </w:rPr>
        <w:t xml:space="preserve"> </w:t>
      </w:r>
      <w:r>
        <w:rPr>
          <w:rFonts w:hint="eastAsia" w:ascii="华文中宋" w:hAnsi="华文中宋" w:eastAsia="华文中宋"/>
          <w:b/>
          <w:bCs/>
          <w:sz w:val="32"/>
          <w:szCs w:val="32"/>
        </w:rPr>
        <w:t>采购邀请</w:t>
      </w:r>
      <w:bookmarkEnd w:id="7"/>
      <w:bookmarkEnd w:id="8"/>
      <w:bookmarkEnd w:id="9"/>
    </w:p>
    <w:p w14:paraId="7F2F5786">
      <w:pPr>
        <w:spacing w:line="360" w:lineRule="auto"/>
        <w:ind w:firstLine="480" w:firstLineChars="200"/>
        <w:rPr>
          <w:rFonts w:ascii="Times New Roman" w:hAnsi="Times New Roman"/>
          <w:sz w:val="24"/>
        </w:rPr>
      </w:pPr>
      <w:r>
        <w:rPr>
          <w:rFonts w:ascii="Times New Roman" w:hAnsi="Times New Roman"/>
          <w:sz w:val="24"/>
        </w:rPr>
        <w:t>南京越鑫项目管理咨询有限公司受南京市栖霞区医院的委托，就其所需的南京市栖霞区医院HIS系统维保服务项目实施竞争性磋商采购，欢迎符合条件的供应商参加磋商。</w:t>
      </w:r>
    </w:p>
    <w:p w14:paraId="563DAC36">
      <w:pPr>
        <w:spacing w:line="360" w:lineRule="auto"/>
        <w:ind w:firstLine="480" w:firstLineChars="200"/>
        <w:rPr>
          <w:rFonts w:ascii="Times New Roman" w:hAnsi="Times New Roman"/>
          <w:sz w:val="24"/>
        </w:rPr>
      </w:pPr>
      <w:r>
        <w:rPr>
          <w:rFonts w:ascii="Times New Roman" w:hAnsi="Times New Roman"/>
          <w:sz w:val="24"/>
        </w:rPr>
        <w:t>南京市栖霞区医院HIS系统维保服务项目的潜在供应商应在</w:t>
      </w:r>
      <w:r>
        <w:rPr>
          <w:rFonts w:hint="eastAsia" w:ascii="Times New Roman" w:hAnsi="Times New Roman"/>
          <w:sz w:val="24"/>
        </w:rPr>
        <w:t>南京市江宁区绿都大道31号都荟天地城C4幢508室</w:t>
      </w:r>
      <w:r>
        <w:rPr>
          <w:rFonts w:ascii="Times New Roman" w:hAnsi="Times New Roman"/>
          <w:sz w:val="24"/>
        </w:rPr>
        <w:t>（南京越鑫项目管理咨询有限公司）获取磋商文件，并于202</w:t>
      </w:r>
      <w:r>
        <w:rPr>
          <w:rFonts w:hint="eastAsia" w:ascii="Times New Roman" w:hAnsi="Times New Roman"/>
          <w:sz w:val="24"/>
        </w:rPr>
        <w:t>6</w:t>
      </w:r>
      <w:r>
        <w:rPr>
          <w:rFonts w:ascii="Times New Roman" w:hAnsi="Times New Roman"/>
          <w:sz w:val="24"/>
        </w:rPr>
        <w:t>年</w:t>
      </w:r>
      <w:r>
        <w:rPr>
          <w:rFonts w:hint="eastAsia" w:ascii="Times New Roman" w:hAnsi="Times New Roman"/>
          <w:sz w:val="24"/>
        </w:rPr>
        <w:t>06</w:t>
      </w:r>
      <w:r>
        <w:rPr>
          <w:rFonts w:ascii="Times New Roman" w:hAnsi="Times New Roman"/>
          <w:sz w:val="24"/>
        </w:rPr>
        <w:t>月</w:t>
      </w:r>
      <w:r>
        <w:rPr>
          <w:rFonts w:hint="eastAsia" w:ascii="Times New Roman" w:hAnsi="Times New Roman"/>
          <w:sz w:val="24"/>
        </w:rPr>
        <w:t>30</w:t>
      </w:r>
      <w:r>
        <w:rPr>
          <w:rFonts w:ascii="Times New Roman" w:hAnsi="Times New Roman"/>
          <w:sz w:val="24"/>
        </w:rPr>
        <w:t>日</w:t>
      </w:r>
      <w:r>
        <w:rPr>
          <w:rFonts w:hint="eastAsia" w:ascii="Times New Roman" w:hAnsi="Times New Roman"/>
          <w:sz w:val="24"/>
        </w:rPr>
        <w:t>14</w:t>
      </w:r>
      <w:r>
        <w:rPr>
          <w:rFonts w:ascii="Times New Roman" w:hAnsi="Times New Roman"/>
          <w:sz w:val="24"/>
        </w:rPr>
        <w:t>时</w:t>
      </w:r>
      <w:r>
        <w:rPr>
          <w:rFonts w:hint="eastAsia" w:ascii="Times New Roman" w:hAnsi="Times New Roman"/>
          <w:sz w:val="24"/>
        </w:rPr>
        <w:t>00</w:t>
      </w:r>
      <w:r>
        <w:rPr>
          <w:rFonts w:ascii="Times New Roman" w:hAnsi="Times New Roman"/>
          <w:sz w:val="24"/>
        </w:rPr>
        <w:t>分（北京时间）前递交响应文件。</w:t>
      </w:r>
    </w:p>
    <w:p w14:paraId="17046943">
      <w:pPr>
        <w:spacing w:line="360" w:lineRule="auto"/>
        <w:rPr>
          <w:b/>
          <w:bCs/>
          <w:sz w:val="24"/>
        </w:rPr>
      </w:pPr>
      <w:r>
        <w:rPr>
          <w:rFonts w:hint="eastAsia"/>
          <w:b/>
          <w:bCs/>
          <w:sz w:val="24"/>
        </w:rPr>
        <w:t>一、项目基本情况</w:t>
      </w:r>
    </w:p>
    <w:p w14:paraId="60859DB0">
      <w:pPr>
        <w:widowControl/>
        <w:spacing w:line="360" w:lineRule="auto"/>
        <w:ind w:firstLine="480" w:firstLineChars="200"/>
        <w:rPr>
          <w:rFonts w:ascii="Times New Roman" w:hAnsi="Times New Roman"/>
          <w:bCs/>
          <w:kern w:val="0"/>
          <w:sz w:val="24"/>
          <w:highlight w:val="yellow"/>
        </w:rPr>
      </w:pPr>
      <w:bookmarkStart w:id="10" w:name="_Hlk28680462"/>
      <w:r>
        <w:rPr>
          <w:rFonts w:ascii="Times New Roman" w:hAnsi="Times New Roman"/>
          <w:bCs/>
          <w:kern w:val="0"/>
          <w:sz w:val="24"/>
        </w:rPr>
        <w:t>1.1项目编号：NJYX-FW-2026009</w:t>
      </w:r>
    </w:p>
    <w:p w14:paraId="00FF549D">
      <w:pPr>
        <w:widowControl/>
        <w:spacing w:line="360" w:lineRule="auto"/>
        <w:ind w:firstLine="480" w:firstLineChars="200"/>
        <w:rPr>
          <w:rFonts w:ascii="Times New Roman" w:hAnsi="Times New Roman"/>
          <w:sz w:val="24"/>
        </w:rPr>
      </w:pPr>
      <w:r>
        <w:rPr>
          <w:rFonts w:ascii="Times New Roman" w:hAnsi="Times New Roman"/>
          <w:bCs/>
          <w:kern w:val="0"/>
          <w:sz w:val="24"/>
        </w:rPr>
        <w:t>1.2项目名称：</w:t>
      </w:r>
      <w:r>
        <w:rPr>
          <w:rFonts w:ascii="Times New Roman" w:hAnsi="Times New Roman"/>
          <w:sz w:val="24"/>
        </w:rPr>
        <w:t>南京市栖霞区医院</w:t>
      </w:r>
      <w:r>
        <w:rPr>
          <w:rFonts w:hint="eastAsia" w:ascii="Times New Roman" w:hAnsi="Times New Roman"/>
          <w:sz w:val="24"/>
        </w:rPr>
        <w:t>HIS</w:t>
      </w:r>
      <w:r>
        <w:rPr>
          <w:rFonts w:ascii="Times New Roman" w:hAnsi="Times New Roman"/>
          <w:sz w:val="24"/>
        </w:rPr>
        <w:t>系统维保服务项目</w:t>
      </w:r>
    </w:p>
    <w:p w14:paraId="5E5DBF2F">
      <w:pPr>
        <w:widowControl/>
        <w:spacing w:line="360" w:lineRule="auto"/>
        <w:ind w:firstLine="480" w:firstLineChars="200"/>
        <w:rPr>
          <w:rFonts w:ascii="Times New Roman" w:hAnsi="Times New Roman"/>
          <w:bCs/>
          <w:kern w:val="0"/>
          <w:sz w:val="24"/>
        </w:rPr>
      </w:pPr>
      <w:r>
        <w:rPr>
          <w:rFonts w:ascii="Times New Roman" w:hAnsi="Times New Roman"/>
          <w:bCs/>
          <w:kern w:val="0"/>
          <w:sz w:val="24"/>
        </w:rPr>
        <w:t>1.3采购方式：竞争性磋商</w:t>
      </w:r>
    </w:p>
    <w:p w14:paraId="4D7C5819">
      <w:pPr>
        <w:widowControl/>
        <w:spacing w:line="360" w:lineRule="auto"/>
        <w:ind w:firstLine="480" w:firstLineChars="200"/>
        <w:rPr>
          <w:rFonts w:ascii="Times New Roman" w:hAnsi="Times New Roman"/>
          <w:bCs/>
          <w:kern w:val="0"/>
          <w:sz w:val="24"/>
        </w:rPr>
      </w:pPr>
      <w:r>
        <w:rPr>
          <w:rFonts w:ascii="Times New Roman" w:hAnsi="Times New Roman"/>
          <w:bCs/>
          <w:kern w:val="0"/>
          <w:sz w:val="24"/>
        </w:rPr>
        <w:t>1.4预算金额：</w:t>
      </w:r>
      <w:r>
        <w:rPr>
          <w:rFonts w:hint="eastAsia" w:ascii="Times New Roman" w:hAnsi="Times New Roman"/>
          <w:bCs/>
          <w:kern w:val="0"/>
          <w:sz w:val="24"/>
        </w:rPr>
        <w:t>13</w:t>
      </w:r>
      <w:r>
        <w:rPr>
          <w:rFonts w:ascii="Times New Roman" w:hAnsi="Times New Roman"/>
          <w:bCs/>
          <w:kern w:val="0"/>
          <w:sz w:val="24"/>
        </w:rPr>
        <w:t>万元</w:t>
      </w:r>
      <w:r>
        <w:rPr>
          <w:rFonts w:hint="eastAsia" w:ascii="Times New Roman" w:hAnsi="Times New Roman"/>
          <w:bCs/>
          <w:kern w:val="0"/>
          <w:sz w:val="24"/>
        </w:rPr>
        <w:t>/年</w:t>
      </w:r>
      <w:r>
        <w:rPr>
          <w:rFonts w:ascii="Times New Roman" w:hAnsi="Times New Roman"/>
          <w:bCs/>
          <w:kern w:val="0"/>
          <w:sz w:val="24"/>
        </w:rPr>
        <w:t>；</w:t>
      </w:r>
    </w:p>
    <w:p w14:paraId="364C9D36">
      <w:pPr>
        <w:widowControl/>
        <w:spacing w:line="360" w:lineRule="auto"/>
        <w:ind w:firstLine="480" w:firstLineChars="200"/>
        <w:rPr>
          <w:rFonts w:ascii="Times New Roman" w:hAnsi="Times New Roman"/>
          <w:bCs/>
          <w:color w:val="0000FF"/>
          <w:kern w:val="0"/>
          <w:sz w:val="24"/>
        </w:rPr>
      </w:pPr>
      <w:r>
        <w:rPr>
          <w:rFonts w:ascii="Times New Roman" w:hAnsi="Times New Roman"/>
          <w:bCs/>
          <w:kern w:val="0"/>
          <w:sz w:val="24"/>
        </w:rPr>
        <w:t>1.5</w:t>
      </w:r>
      <w:r>
        <w:rPr>
          <w:rFonts w:ascii="Times New Roman" w:hAnsi="Times New Roman"/>
          <w:bCs/>
          <w:color w:val="000000"/>
          <w:kern w:val="0"/>
          <w:sz w:val="24"/>
        </w:rPr>
        <w:t>本项目设定最高限</w:t>
      </w:r>
      <w:r>
        <w:rPr>
          <w:rFonts w:ascii="Times New Roman" w:hAnsi="Times New Roman"/>
          <w:bCs/>
          <w:kern w:val="0"/>
          <w:sz w:val="24"/>
        </w:rPr>
        <w:t>价</w:t>
      </w:r>
      <w:r>
        <w:rPr>
          <w:rFonts w:ascii="Times New Roman" w:hAnsi="Times New Roman"/>
          <w:sz w:val="24"/>
        </w:rPr>
        <w:t>，最高限价</w:t>
      </w:r>
      <w:r>
        <w:rPr>
          <w:rFonts w:ascii="Times New Roman" w:hAnsi="Times New Roman"/>
          <w:bCs/>
          <w:kern w:val="0"/>
          <w:sz w:val="24"/>
        </w:rPr>
        <w:t>为</w:t>
      </w:r>
      <w:r>
        <w:rPr>
          <w:rFonts w:hint="eastAsia" w:ascii="Times New Roman" w:hAnsi="Times New Roman"/>
          <w:bCs/>
          <w:kern w:val="0"/>
          <w:sz w:val="24"/>
        </w:rPr>
        <w:t>13</w:t>
      </w:r>
      <w:r>
        <w:rPr>
          <w:rFonts w:ascii="Times New Roman" w:hAnsi="Times New Roman"/>
          <w:bCs/>
          <w:kern w:val="0"/>
          <w:sz w:val="24"/>
        </w:rPr>
        <w:t>万元</w:t>
      </w:r>
      <w:r>
        <w:rPr>
          <w:rFonts w:hint="eastAsia" w:ascii="Times New Roman" w:hAnsi="Times New Roman"/>
          <w:bCs/>
          <w:kern w:val="0"/>
          <w:sz w:val="24"/>
        </w:rPr>
        <w:t>/年</w:t>
      </w:r>
      <w:r>
        <w:rPr>
          <w:rFonts w:ascii="Times New Roman" w:hAnsi="Times New Roman"/>
          <w:bCs/>
          <w:kern w:val="0"/>
          <w:sz w:val="24"/>
        </w:rPr>
        <w:t>；</w:t>
      </w:r>
    </w:p>
    <w:p w14:paraId="3437EA33">
      <w:pPr>
        <w:widowControl/>
        <w:spacing w:line="360" w:lineRule="auto"/>
        <w:ind w:firstLine="480" w:firstLineChars="200"/>
        <w:rPr>
          <w:rFonts w:ascii="Times New Roman" w:hAnsi="Times New Roman"/>
          <w:bCs/>
          <w:color w:val="0000FF"/>
          <w:kern w:val="0"/>
          <w:sz w:val="24"/>
        </w:rPr>
      </w:pPr>
      <w:r>
        <w:rPr>
          <w:rFonts w:ascii="Times New Roman" w:hAnsi="Times New Roman"/>
          <w:bCs/>
          <w:kern w:val="0"/>
          <w:sz w:val="24"/>
        </w:rPr>
        <w:t>1.6采购需求：医院</w:t>
      </w:r>
      <w:r>
        <w:rPr>
          <w:rFonts w:hint="eastAsia" w:ascii="Times New Roman" w:hAnsi="Times New Roman"/>
          <w:bCs/>
          <w:kern w:val="0"/>
          <w:sz w:val="24"/>
        </w:rPr>
        <w:t>HIS</w:t>
      </w:r>
      <w:r>
        <w:rPr>
          <w:rFonts w:ascii="Times New Roman" w:hAnsi="Times New Roman"/>
          <w:bCs/>
          <w:kern w:val="0"/>
          <w:sz w:val="24"/>
        </w:rPr>
        <w:t>系统维保服务项目</w:t>
      </w:r>
      <w:r>
        <w:rPr>
          <w:rFonts w:hint="eastAsia" w:ascii="Times New Roman" w:hAnsi="Times New Roman"/>
          <w:bCs/>
          <w:kern w:val="0"/>
          <w:sz w:val="24"/>
        </w:rPr>
        <w:t>，</w:t>
      </w:r>
      <w:r>
        <w:rPr>
          <w:rFonts w:ascii="Times New Roman" w:hAnsi="Times New Roman"/>
          <w:bCs/>
          <w:kern w:val="0"/>
          <w:sz w:val="24"/>
        </w:rPr>
        <w:t>详见</w:t>
      </w:r>
      <w:r>
        <w:rPr>
          <w:rFonts w:hint="eastAsia" w:ascii="Times New Roman" w:hAnsi="Times New Roman"/>
          <w:bCs/>
          <w:kern w:val="0"/>
          <w:sz w:val="24"/>
        </w:rPr>
        <w:t>磋商</w:t>
      </w:r>
      <w:r>
        <w:rPr>
          <w:rFonts w:ascii="Times New Roman" w:hAnsi="Times New Roman"/>
          <w:bCs/>
          <w:kern w:val="0"/>
          <w:sz w:val="24"/>
        </w:rPr>
        <w:t>文件</w:t>
      </w:r>
      <w:r>
        <w:rPr>
          <w:rFonts w:ascii="宋体" w:hAnsi="宋体"/>
          <w:bCs/>
          <w:kern w:val="0"/>
          <w:sz w:val="24"/>
        </w:rPr>
        <w:t>“第四章 项目需求”</w:t>
      </w:r>
      <w:r>
        <w:rPr>
          <w:rFonts w:ascii="Times New Roman" w:hAnsi="Times New Roman"/>
          <w:bCs/>
          <w:kern w:val="0"/>
          <w:sz w:val="24"/>
        </w:rPr>
        <w:t>；</w:t>
      </w:r>
    </w:p>
    <w:p w14:paraId="6020683D">
      <w:pPr>
        <w:widowControl/>
        <w:spacing w:line="360" w:lineRule="auto"/>
        <w:ind w:firstLine="480" w:firstLineChars="200"/>
        <w:rPr>
          <w:rFonts w:ascii="Times New Roman" w:hAnsi="Times New Roman"/>
          <w:bCs/>
          <w:kern w:val="0"/>
          <w:sz w:val="24"/>
        </w:rPr>
      </w:pPr>
      <w:r>
        <w:rPr>
          <w:rFonts w:ascii="Times New Roman" w:hAnsi="Times New Roman"/>
          <w:bCs/>
          <w:kern w:val="0"/>
          <w:sz w:val="24"/>
        </w:rPr>
        <w:t>1.7合同履行期限：详见</w:t>
      </w:r>
      <w:r>
        <w:rPr>
          <w:rFonts w:hint="eastAsia" w:ascii="Times New Roman" w:hAnsi="Times New Roman"/>
          <w:bCs/>
          <w:kern w:val="0"/>
          <w:sz w:val="24"/>
        </w:rPr>
        <w:t>磋商</w:t>
      </w:r>
      <w:r>
        <w:rPr>
          <w:rFonts w:ascii="Times New Roman" w:hAnsi="Times New Roman"/>
          <w:bCs/>
          <w:kern w:val="0"/>
          <w:sz w:val="24"/>
        </w:rPr>
        <w:t>文件</w:t>
      </w:r>
      <w:r>
        <w:rPr>
          <w:rFonts w:ascii="宋体" w:hAnsi="宋体"/>
          <w:bCs/>
          <w:kern w:val="0"/>
          <w:sz w:val="24"/>
        </w:rPr>
        <w:t>“第四章  项目需求”；</w:t>
      </w:r>
    </w:p>
    <w:p w14:paraId="564BD176">
      <w:pPr>
        <w:widowControl/>
        <w:spacing w:line="360" w:lineRule="auto"/>
        <w:ind w:firstLine="480" w:firstLineChars="200"/>
        <w:rPr>
          <w:rFonts w:hint="eastAsia" w:ascii="宋体" w:hAnsi="宋体" w:cs="宋体"/>
          <w:sz w:val="24"/>
        </w:rPr>
      </w:pPr>
      <w:r>
        <w:rPr>
          <w:rFonts w:ascii="Times New Roman" w:hAnsi="Times New Roman"/>
          <w:bCs/>
          <w:kern w:val="0"/>
          <w:sz w:val="24"/>
        </w:rPr>
        <w:t>1.8本项目采购标的所属行业为：</w:t>
      </w:r>
      <w:bookmarkEnd w:id="10"/>
      <w:r>
        <w:rPr>
          <w:rFonts w:hint="eastAsia" w:ascii="Times New Roman" w:hAnsi="Times New Roman"/>
          <w:bCs/>
          <w:kern w:val="0"/>
          <w:sz w:val="24"/>
        </w:rPr>
        <w:t>软件和信息技术服务业</w:t>
      </w:r>
    </w:p>
    <w:p w14:paraId="03183BA4">
      <w:pPr>
        <w:spacing w:line="360" w:lineRule="auto"/>
        <w:rPr>
          <w:b/>
          <w:bCs/>
          <w:sz w:val="24"/>
        </w:rPr>
      </w:pPr>
      <w:r>
        <w:rPr>
          <w:rFonts w:hint="eastAsia"/>
          <w:b/>
          <w:bCs/>
          <w:sz w:val="24"/>
        </w:rPr>
        <w:t>二、申请人的资格要求</w:t>
      </w:r>
    </w:p>
    <w:p w14:paraId="53B4C32B">
      <w:pPr>
        <w:spacing w:line="360" w:lineRule="auto"/>
        <w:ind w:firstLine="480" w:firstLineChars="200"/>
        <w:rPr>
          <w:rFonts w:ascii="Times New Roman" w:hAnsi="Times New Roman"/>
          <w:sz w:val="24"/>
        </w:rPr>
      </w:pPr>
      <w:r>
        <w:rPr>
          <w:rFonts w:ascii="Times New Roman" w:hAnsi="Times New Roman"/>
          <w:sz w:val="24"/>
        </w:rPr>
        <w:t>2.1</w:t>
      </w:r>
      <w:r>
        <w:rPr>
          <w:rFonts w:hint="eastAsia" w:ascii="Times New Roman" w:hAnsi="Times New Roman"/>
          <w:sz w:val="24"/>
        </w:rPr>
        <w:t>参照</w:t>
      </w:r>
      <w:r>
        <w:rPr>
          <w:rFonts w:ascii="Times New Roman" w:hAnsi="Times New Roman"/>
          <w:sz w:val="24"/>
        </w:rPr>
        <w:t>《中华人民共和国政府采购法》第二十二条规定</w:t>
      </w:r>
      <w:r>
        <w:rPr>
          <w:rFonts w:hint="eastAsia" w:ascii="Times New Roman" w:hAnsi="Times New Roman"/>
          <w:sz w:val="24"/>
        </w:rPr>
        <w:t>，满足以下内容</w:t>
      </w:r>
      <w:r>
        <w:rPr>
          <w:rFonts w:ascii="Times New Roman" w:hAnsi="Times New Roman"/>
          <w:sz w:val="24"/>
        </w:rPr>
        <w:t>：</w:t>
      </w:r>
    </w:p>
    <w:p w14:paraId="58B01DA0">
      <w:pPr>
        <w:spacing w:line="360" w:lineRule="auto"/>
        <w:ind w:firstLine="480" w:firstLineChars="200"/>
        <w:rPr>
          <w:rFonts w:ascii="Times New Roman" w:hAnsi="Times New Roman"/>
          <w:sz w:val="24"/>
        </w:rPr>
      </w:pPr>
      <w:r>
        <w:rPr>
          <w:rFonts w:ascii="Times New Roman" w:hAnsi="Times New Roman"/>
          <w:sz w:val="24"/>
        </w:rPr>
        <w:t>（1）具有独立承担民事责任的能力</w:t>
      </w:r>
      <w:r>
        <w:rPr>
          <w:rFonts w:hint="eastAsia" w:ascii="Times New Roman" w:hAnsi="Times New Roman"/>
          <w:sz w:val="24"/>
        </w:rPr>
        <w:t>（</w:t>
      </w:r>
      <w:r>
        <w:rPr>
          <w:rFonts w:hint="eastAsia" w:ascii="宋体" w:hAnsi="宋体" w:cs="宋体"/>
          <w:kern w:val="0"/>
          <w:sz w:val="24"/>
        </w:rPr>
        <w:t>提供法人或其他组织的营业执照等证明文件，自然人的身份证明</w:t>
      </w:r>
      <w:r>
        <w:rPr>
          <w:rFonts w:hint="eastAsia" w:ascii="Times New Roman" w:hAnsi="Times New Roman"/>
          <w:sz w:val="24"/>
        </w:rPr>
        <w:t>）</w:t>
      </w:r>
      <w:r>
        <w:rPr>
          <w:rFonts w:ascii="Times New Roman" w:hAnsi="Times New Roman"/>
          <w:sz w:val="24"/>
        </w:rPr>
        <w:t>；</w:t>
      </w:r>
    </w:p>
    <w:p w14:paraId="776D5BE9">
      <w:pPr>
        <w:spacing w:line="360" w:lineRule="auto"/>
        <w:ind w:firstLine="480" w:firstLineChars="200"/>
        <w:rPr>
          <w:rFonts w:ascii="Times New Roman" w:hAnsi="Times New Roman"/>
          <w:sz w:val="24"/>
        </w:rPr>
      </w:pPr>
      <w:r>
        <w:rPr>
          <w:rFonts w:ascii="Times New Roman" w:hAnsi="Times New Roman"/>
          <w:sz w:val="24"/>
        </w:rPr>
        <w:t>（2）具有良好的商业信誉和健全的财务会计制度</w:t>
      </w:r>
      <w:r>
        <w:rPr>
          <w:rFonts w:hint="eastAsia" w:ascii="Times New Roman" w:hAnsi="Times New Roman"/>
          <w:sz w:val="24"/>
        </w:rPr>
        <w:t>（提供2024或2025年度审计报告，或提交响应文件截止时间前6个月内任意一个月的财务报表，或提交响应文件截止时间前6个月内银行出具的资信证明，或财政部门认可的专业担保机构出具的投标担保函）</w:t>
      </w:r>
      <w:r>
        <w:rPr>
          <w:rFonts w:ascii="Times New Roman" w:hAnsi="Times New Roman"/>
          <w:sz w:val="24"/>
        </w:rPr>
        <w:t>；</w:t>
      </w:r>
    </w:p>
    <w:p w14:paraId="396C0337">
      <w:pPr>
        <w:spacing w:line="360" w:lineRule="auto"/>
        <w:ind w:firstLine="480" w:firstLineChars="200"/>
        <w:rPr>
          <w:rFonts w:ascii="Times New Roman" w:hAnsi="Times New Roman"/>
          <w:sz w:val="24"/>
        </w:rPr>
      </w:pPr>
      <w:r>
        <w:rPr>
          <w:rFonts w:ascii="Times New Roman" w:hAnsi="Times New Roman"/>
          <w:sz w:val="24"/>
        </w:rPr>
        <w:t>（3）具有履行合同所必需的设备和专业技术能力</w:t>
      </w:r>
      <w:r>
        <w:rPr>
          <w:rFonts w:hint="eastAsia" w:ascii="Times New Roman" w:hAnsi="Times New Roman"/>
          <w:sz w:val="24"/>
        </w:rPr>
        <w:t>（提供根据项目需求提供履行合同所必需的设备和专业技术能力的声明</w:t>
      </w:r>
      <w:bookmarkStart w:id="11" w:name="_Hlk128041996"/>
      <w:r>
        <w:rPr>
          <w:rFonts w:hint="eastAsia" w:ascii="Times New Roman" w:hAnsi="Times New Roman"/>
          <w:sz w:val="24"/>
        </w:rPr>
        <w:t>或证明材料</w:t>
      </w:r>
      <w:bookmarkEnd w:id="11"/>
      <w:r>
        <w:rPr>
          <w:rFonts w:hint="eastAsia" w:ascii="Times New Roman" w:hAnsi="Times New Roman"/>
          <w:sz w:val="24"/>
        </w:rPr>
        <w:t>）</w:t>
      </w:r>
      <w:r>
        <w:rPr>
          <w:rFonts w:ascii="Times New Roman" w:hAnsi="Times New Roman"/>
          <w:sz w:val="24"/>
        </w:rPr>
        <w:t>；</w:t>
      </w:r>
    </w:p>
    <w:p w14:paraId="7FC41B56">
      <w:pPr>
        <w:spacing w:line="360" w:lineRule="auto"/>
        <w:ind w:firstLine="480" w:firstLineChars="200"/>
        <w:rPr>
          <w:rFonts w:ascii="Times New Roman" w:hAnsi="Times New Roman"/>
          <w:sz w:val="24"/>
        </w:rPr>
      </w:pPr>
      <w:r>
        <w:rPr>
          <w:rFonts w:ascii="Times New Roman" w:hAnsi="Times New Roman"/>
          <w:sz w:val="24"/>
        </w:rPr>
        <w:t>（4）有依法缴纳税收和社会保障资金的良好记录</w:t>
      </w:r>
      <w:r>
        <w:rPr>
          <w:rFonts w:hint="eastAsia" w:ascii="Times New Roman" w:hAnsi="Times New Roman"/>
          <w:sz w:val="24"/>
        </w:rPr>
        <w:t>（提供提交响应文件截止时间前一年内至少一个月依法缴纳税收及缴纳社会保障资金的证明材料。供应商依法享受缓缴、免缴税收、社会保障资金的提供证明材料）</w:t>
      </w:r>
      <w:r>
        <w:rPr>
          <w:rFonts w:ascii="Times New Roman" w:hAnsi="Times New Roman"/>
          <w:sz w:val="24"/>
        </w:rPr>
        <w:t>；</w:t>
      </w:r>
    </w:p>
    <w:p w14:paraId="2159A196">
      <w:pPr>
        <w:spacing w:line="360" w:lineRule="auto"/>
        <w:ind w:firstLine="480" w:firstLineChars="200"/>
        <w:rPr>
          <w:rFonts w:ascii="Times New Roman" w:hAnsi="Times New Roman"/>
          <w:sz w:val="24"/>
        </w:rPr>
      </w:pPr>
      <w:r>
        <w:rPr>
          <w:rFonts w:ascii="Times New Roman" w:hAnsi="Times New Roman"/>
          <w:sz w:val="24"/>
        </w:rPr>
        <w:t>（5）参加政府采购活动前三年内，在经营活动中没有重大违法记录</w:t>
      </w:r>
      <w:r>
        <w:rPr>
          <w:rFonts w:hint="eastAsia" w:ascii="Times New Roman" w:hAnsi="Times New Roman"/>
          <w:sz w:val="24"/>
        </w:rPr>
        <w:t>（提供承诺书）</w:t>
      </w:r>
      <w:r>
        <w:rPr>
          <w:rFonts w:ascii="Times New Roman" w:hAnsi="Times New Roman"/>
          <w:sz w:val="24"/>
        </w:rPr>
        <w:t>；</w:t>
      </w:r>
    </w:p>
    <w:p w14:paraId="0698CE57">
      <w:pPr>
        <w:spacing w:line="360" w:lineRule="auto"/>
        <w:ind w:firstLine="480" w:firstLineChars="200"/>
        <w:rPr>
          <w:rFonts w:ascii="Times New Roman" w:hAnsi="Times New Roman"/>
          <w:sz w:val="24"/>
        </w:rPr>
      </w:pPr>
      <w:r>
        <w:rPr>
          <w:rFonts w:ascii="Times New Roman" w:hAnsi="Times New Roman"/>
          <w:sz w:val="24"/>
        </w:rPr>
        <w:t>（6）法律、行政法规规定的其他条件</w:t>
      </w:r>
      <w:r>
        <w:rPr>
          <w:rFonts w:hint="eastAsia" w:ascii="Times New Roman" w:hAnsi="Times New Roman"/>
          <w:sz w:val="24"/>
        </w:rPr>
        <w:t>：无</w:t>
      </w:r>
    </w:p>
    <w:p w14:paraId="2F3080BA">
      <w:pPr>
        <w:spacing w:line="360" w:lineRule="auto"/>
        <w:ind w:firstLine="480" w:firstLineChars="200"/>
        <w:rPr>
          <w:rFonts w:ascii="Times New Roman" w:hAnsi="Times New Roman"/>
          <w:sz w:val="24"/>
        </w:rPr>
      </w:pPr>
      <w:r>
        <w:rPr>
          <w:rFonts w:ascii="Times New Roman" w:hAnsi="Times New Roman"/>
          <w:sz w:val="24"/>
        </w:rPr>
        <w:t>2.2</w:t>
      </w:r>
      <w:r>
        <w:rPr>
          <w:rFonts w:hint="eastAsia" w:ascii="Times New Roman" w:hAnsi="Times New Roman"/>
          <w:sz w:val="24"/>
        </w:rPr>
        <w:t>参照</w:t>
      </w:r>
      <w:r>
        <w:rPr>
          <w:rFonts w:ascii="Times New Roman" w:hAnsi="Times New Roman"/>
          <w:sz w:val="24"/>
        </w:rPr>
        <w:t>落实政府采购政策需满足的资格要求：</w:t>
      </w:r>
    </w:p>
    <w:p w14:paraId="72C71DFC">
      <w:pPr>
        <w:spacing w:line="360" w:lineRule="auto"/>
        <w:ind w:firstLine="480" w:firstLineChars="200"/>
        <w:rPr>
          <w:rFonts w:ascii="Times New Roman" w:hAnsi="Times New Roman"/>
          <w:sz w:val="24"/>
        </w:rPr>
      </w:pPr>
      <w:r>
        <w:rPr>
          <w:rFonts w:ascii="Times New Roman" w:hAnsi="Times New Roman"/>
          <w:kern w:val="0"/>
          <w:sz w:val="24"/>
        </w:rPr>
        <w:t>本项目按照采用以下第</w:t>
      </w:r>
      <w:r>
        <w:rPr>
          <w:rFonts w:ascii="Times New Roman" w:hAnsi="Times New Roman"/>
          <w:kern w:val="0"/>
          <w:sz w:val="24"/>
          <w:u w:val="single"/>
        </w:rPr>
        <w:t>（4）</w:t>
      </w:r>
      <w:r>
        <w:rPr>
          <w:rFonts w:ascii="Times New Roman" w:hAnsi="Times New Roman"/>
          <w:kern w:val="0"/>
          <w:sz w:val="24"/>
        </w:rPr>
        <w:t>种方式落实政府采购促进中小企业发展的要求：</w:t>
      </w:r>
    </w:p>
    <w:p w14:paraId="5BD63226">
      <w:pPr>
        <w:spacing w:line="360" w:lineRule="auto"/>
        <w:ind w:firstLine="480" w:firstLineChars="200"/>
        <w:rPr>
          <w:rFonts w:ascii="Times New Roman" w:hAnsi="Times New Roman"/>
          <w:kern w:val="0"/>
          <w:sz w:val="24"/>
        </w:rPr>
      </w:pPr>
      <w:r>
        <w:rPr>
          <w:rFonts w:ascii="Times New Roman" w:hAnsi="Times New Roman"/>
          <w:kern w:val="0"/>
          <w:sz w:val="24"/>
        </w:rPr>
        <w:t>（1）本项目整体专门面向中小企业采购；</w:t>
      </w:r>
    </w:p>
    <w:p w14:paraId="434EC155">
      <w:pPr>
        <w:spacing w:line="360" w:lineRule="auto"/>
        <w:ind w:firstLine="480" w:firstLineChars="200"/>
        <w:rPr>
          <w:rFonts w:ascii="Times New Roman" w:hAnsi="Times New Roman"/>
          <w:kern w:val="0"/>
          <w:sz w:val="24"/>
        </w:rPr>
      </w:pPr>
      <w:r>
        <w:rPr>
          <w:rFonts w:ascii="Times New Roman" w:hAnsi="Times New Roman"/>
          <w:kern w:val="0"/>
          <w:sz w:val="24"/>
        </w:rPr>
        <w:t>（2）本项目整体专门面向小微企业采购；</w:t>
      </w:r>
    </w:p>
    <w:p w14:paraId="3F5BB870">
      <w:pPr>
        <w:spacing w:line="360" w:lineRule="auto"/>
        <w:ind w:firstLine="480" w:firstLineChars="200"/>
        <w:rPr>
          <w:rFonts w:ascii="Times New Roman" w:hAnsi="Times New Roman"/>
          <w:kern w:val="0"/>
          <w:sz w:val="24"/>
        </w:rPr>
      </w:pPr>
      <w:r>
        <w:rPr>
          <w:rFonts w:ascii="Times New Roman" w:hAnsi="Times New Roman"/>
          <w:kern w:val="0"/>
          <w:sz w:val="24"/>
        </w:rPr>
        <w:t>（3）本项目通过以下第</w:t>
      </w:r>
      <w:r>
        <w:rPr>
          <w:rFonts w:ascii="Times New Roman" w:hAnsi="Times New Roman"/>
          <w:kern w:val="0"/>
          <w:sz w:val="24"/>
          <w:u w:val="single"/>
        </w:rPr>
        <w:t xml:space="preserve"> / </w:t>
      </w:r>
      <w:r>
        <w:rPr>
          <w:rFonts w:ascii="Times New Roman" w:hAnsi="Times New Roman"/>
          <w:kern w:val="0"/>
          <w:sz w:val="24"/>
        </w:rPr>
        <w:t>种方式预留部分采购份额，面向中小企业采购：</w:t>
      </w:r>
    </w:p>
    <w:p w14:paraId="3CBF835E">
      <w:pPr>
        <w:spacing w:line="360" w:lineRule="auto"/>
        <w:ind w:firstLine="720" w:firstLineChars="300"/>
        <w:rPr>
          <w:rFonts w:ascii="Times New Roman" w:hAnsi="Times New Roman"/>
          <w:kern w:val="0"/>
          <w:sz w:val="24"/>
        </w:rPr>
      </w:pPr>
      <w:r>
        <w:rPr>
          <w:rFonts w:cs="Cambria Math" w:asciiTheme="minorEastAsia" w:hAnsiTheme="minorEastAsia"/>
          <w:kern w:val="0"/>
          <w:sz w:val="24"/>
        </w:rPr>
        <w:t>①</w:t>
      </w:r>
      <w:r>
        <w:rPr>
          <w:rFonts w:asciiTheme="minorEastAsia" w:hAnsiTheme="minorEastAsia"/>
          <w:kern w:val="0"/>
          <w:sz w:val="24"/>
        </w:rPr>
        <w:t>本</w:t>
      </w:r>
      <w:r>
        <w:rPr>
          <w:rFonts w:ascii="Times New Roman" w:hAnsi="Times New Roman"/>
          <w:kern w:val="0"/>
          <w:sz w:val="24"/>
        </w:rPr>
        <w:t>项目要求供应商以联合体形式参加，中小企业合同金额应当达到的比例为</w:t>
      </w:r>
      <w:r>
        <w:rPr>
          <w:rFonts w:ascii="Times New Roman" w:hAnsi="Times New Roman"/>
          <w:kern w:val="0"/>
          <w:sz w:val="24"/>
          <w:u w:val="single"/>
        </w:rPr>
        <w:t xml:space="preserve"> / </w:t>
      </w:r>
      <w:r>
        <w:rPr>
          <w:rFonts w:ascii="Times New Roman" w:hAnsi="Times New Roman"/>
          <w:kern w:val="0"/>
          <w:sz w:val="24"/>
        </w:rPr>
        <w:t>%；</w:t>
      </w:r>
    </w:p>
    <w:p w14:paraId="1A1F8F75">
      <w:pPr>
        <w:spacing w:line="360" w:lineRule="auto"/>
        <w:ind w:left="210" w:leftChars="100" w:firstLine="480" w:firstLineChars="200"/>
        <w:rPr>
          <w:rFonts w:ascii="Times New Roman" w:hAnsi="Times New Roman"/>
          <w:kern w:val="0"/>
          <w:sz w:val="24"/>
        </w:rPr>
      </w:pPr>
      <w:r>
        <w:rPr>
          <w:rFonts w:cs="Cambria Math" w:asciiTheme="minorEastAsia" w:hAnsiTheme="minorEastAsia"/>
          <w:kern w:val="0"/>
          <w:sz w:val="24"/>
        </w:rPr>
        <w:t>②</w:t>
      </w:r>
      <w:r>
        <w:rPr>
          <w:rFonts w:ascii="Times New Roman" w:hAnsi="Times New Roman"/>
          <w:kern w:val="0"/>
          <w:sz w:val="24"/>
        </w:rPr>
        <w:t>本项目要求供应商进行合同分包，中小企业合同金额应当达到的比例为</w:t>
      </w:r>
      <w:r>
        <w:rPr>
          <w:rFonts w:ascii="Times New Roman" w:hAnsi="Times New Roman"/>
          <w:kern w:val="0"/>
          <w:sz w:val="24"/>
          <w:u w:val="single"/>
        </w:rPr>
        <w:t xml:space="preserve">/ </w:t>
      </w:r>
      <w:r>
        <w:rPr>
          <w:rFonts w:ascii="Times New Roman" w:hAnsi="Times New Roman"/>
          <w:kern w:val="0"/>
          <w:sz w:val="24"/>
        </w:rPr>
        <w:t>%。</w:t>
      </w:r>
    </w:p>
    <w:p w14:paraId="47CF3AF8">
      <w:pPr>
        <w:spacing w:line="360" w:lineRule="auto"/>
        <w:ind w:firstLine="480" w:firstLineChars="200"/>
        <w:rPr>
          <w:rFonts w:ascii="Times New Roman" w:hAnsi="Times New Roman"/>
          <w:sz w:val="24"/>
        </w:rPr>
      </w:pPr>
      <w:r>
        <w:rPr>
          <w:rFonts w:ascii="Times New Roman" w:hAnsi="Times New Roman"/>
          <w:kern w:val="0"/>
          <w:sz w:val="24"/>
        </w:rPr>
        <w:t>（4）本项目为非预留份额专门面向中小企业的采购项目或采购包，执行价格扣除优惠政策，详见</w:t>
      </w:r>
      <w:r>
        <w:rPr>
          <w:rFonts w:asciiTheme="minorEastAsia" w:hAnsiTheme="minorEastAsia" w:eastAsiaTheme="minorEastAsia"/>
          <w:kern w:val="0"/>
          <w:sz w:val="24"/>
        </w:rPr>
        <w:t>“第五章 评审方法和评审标准”</w:t>
      </w:r>
      <w:r>
        <w:rPr>
          <w:rFonts w:ascii="Times New Roman" w:hAnsi="Times New Roman"/>
          <w:kern w:val="0"/>
          <w:sz w:val="24"/>
        </w:rPr>
        <w:t>。</w:t>
      </w:r>
    </w:p>
    <w:p w14:paraId="0D76ED75">
      <w:pPr>
        <w:spacing w:line="360" w:lineRule="auto"/>
        <w:ind w:firstLine="480" w:firstLineChars="200"/>
        <w:rPr>
          <w:rFonts w:ascii="Times New Roman" w:hAnsi="Times New Roman"/>
          <w:sz w:val="24"/>
        </w:rPr>
      </w:pPr>
      <w:r>
        <w:rPr>
          <w:rFonts w:ascii="Times New Roman" w:hAnsi="Times New Roman"/>
          <w:sz w:val="24"/>
        </w:rPr>
        <w:t>2.3本项目</w:t>
      </w:r>
      <w:r>
        <w:rPr>
          <w:rFonts w:ascii="Times New Roman" w:hAnsi="Times New Roman"/>
          <w:b/>
          <w:bCs/>
          <w:sz w:val="24"/>
        </w:rPr>
        <w:t>不接受</w:t>
      </w:r>
      <w:r>
        <w:rPr>
          <w:rFonts w:ascii="Times New Roman" w:hAnsi="Times New Roman"/>
          <w:sz w:val="24"/>
        </w:rPr>
        <w:t>联合体参与磋商；</w:t>
      </w:r>
    </w:p>
    <w:p w14:paraId="26805F06">
      <w:pPr>
        <w:spacing w:line="360" w:lineRule="auto"/>
        <w:ind w:firstLine="480" w:firstLineChars="200"/>
        <w:rPr>
          <w:rFonts w:ascii="Times New Roman" w:hAnsi="Times New Roman"/>
          <w:sz w:val="24"/>
        </w:rPr>
      </w:pPr>
      <w:r>
        <w:rPr>
          <w:rFonts w:ascii="Times New Roman" w:hAnsi="Times New Roman"/>
          <w:sz w:val="24"/>
        </w:rPr>
        <w:t>2.4本项目的特定资格要求：无；</w:t>
      </w:r>
    </w:p>
    <w:p w14:paraId="25CA2187">
      <w:pPr>
        <w:spacing w:line="360" w:lineRule="auto"/>
        <w:ind w:firstLine="480" w:firstLineChars="200"/>
        <w:rPr>
          <w:rFonts w:ascii="Times New Roman" w:hAnsi="Times New Roman"/>
          <w:sz w:val="24"/>
        </w:rPr>
      </w:pPr>
      <w:r>
        <w:rPr>
          <w:rFonts w:ascii="Times New Roman" w:hAnsi="Times New Roman"/>
          <w:sz w:val="24"/>
        </w:rPr>
        <w:t>2.5拒绝以下供应商参加本次采购活动：</w:t>
      </w:r>
    </w:p>
    <w:p w14:paraId="5675024C">
      <w:pPr>
        <w:spacing w:line="360" w:lineRule="auto"/>
        <w:ind w:firstLine="480" w:firstLineChars="200"/>
        <w:rPr>
          <w:rFonts w:hint="eastAsia" w:ascii="宋体" w:hAnsi="宋体" w:cs="宋体"/>
          <w:sz w:val="24"/>
        </w:rPr>
      </w:pPr>
      <w:r>
        <w:rPr>
          <w:rFonts w:ascii="Times New Roman" w:hAnsi="Times New Roman"/>
          <w:sz w:val="24"/>
        </w:rPr>
        <w:t>（1）</w:t>
      </w:r>
      <w:r>
        <w:rPr>
          <w:rFonts w:hint="eastAsia" w:ascii="宋体" w:hAnsi="宋体" w:cs="宋体"/>
          <w:sz w:val="24"/>
        </w:rPr>
        <w:t>被“信用中国”网站</w:t>
      </w:r>
      <w:r>
        <w:rPr>
          <w:rFonts w:hint="eastAsia" w:ascii="Times New Roman" w:hAnsi="Times New Roman"/>
          <w:sz w:val="24"/>
        </w:rPr>
        <w:t>（</w:t>
      </w:r>
      <w:r>
        <w:rPr>
          <w:rFonts w:ascii="Times New Roman" w:hAnsi="Times New Roman"/>
          <w:sz w:val="24"/>
        </w:rPr>
        <w:t>www.creditchina.gov.cn</w:t>
      </w:r>
      <w:r>
        <w:rPr>
          <w:rFonts w:hint="eastAsia" w:ascii="Times New Roman" w:hAnsi="Times New Roman"/>
          <w:sz w:val="24"/>
        </w:rPr>
        <w:t>）</w:t>
      </w:r>
      <w:r>
        <w:rPr>
          <w:rFonts w:hint="eastAsia" w:ascii="宋体" w:hAnsi="宋体" w:cs="宋体"/>
          <w:sz w:val="24"/>
        </w:rPr>
        <w:t>列入失信被执行人、重大税收违法失信主体、政府采购严重违法失信行为记录名单及其他不符合《中华人民共和国政府采购法》第二十二条规定条件的信用记录。</w:t>
      </w:r>
    </w:p>
    <w:p w14:paraId="61E5F7AC">
      <w:pPr>
        <w:spacing w:line="360" w:lineRule="auto"/>
        <w:ind w:firstLine="480" w:firstLineChars="200"/>
        <w:rPr>
          <w:rFonts w:hint="eastAsia" w:ascii="宋体" w:hAnsi="宋体" w:cs="宋体"/>
          <w:sz w:val="24"/>
        </w:rPr>
      </w:pPr>
      <w:r>
        <w:rPr>
          <w:rFonts w:hint="eastAsia" w:ascii="Times New Roman" w:hAnsi="Times New Roman"/>
          <w:sz w:val="24"/>
        </w:rPr>
        <w:t>（2）供</w:t>
      </w:r>
      <w:r>
        <w:rPr>
          <w:rFonts w:hint="eastAsia" w:ascii="宋体" w:hAnsi="宋体" w:cs="宋体"/>
          <w:sz w:val="24"/>
        </w:rPr>
        <w:t>应商单位负责人为同一人或者存在直接控股、管理关系的不同供应商，不得参加同一合同项下的政府采购活动；</w:t>
      </w:r>
    </w:p>
    <w:p w14:paraId="4E5B6810">
      <w:pPr>
        <w:spacing w:line="360" w:lineRule="auto"/>
        <w:ind w:firstLine="480" w:firstLineChars="200"/>
        <w:rPr>
          <w:rFonts w:hint="eastAsia" w:ascii="宋体" w:hAnsi="宋体" w:cs="宋体"/>
          <w:sz w:val="24"/>
          <w:lang w:eastAsia="zh-Hans"/>
        </w:rPr>
      </w:pPr>
      <w:r>
        <w:rPr>
          <w:rFonts w:hint="eastAsia" w:ascii="Times New Roman" w:hAnsi="Times New Roman"/>
          <w:sz w:val="24"/>
        </w:rPr>
        <w:t>（3）为</w:t>
      </w:r>
      <w:r>
        <w:rPr>
          <w:rFonts w:hint="eastAsia" w:ascii="宋体" w:hAnsi="宋体" w:cs="宋体"/>
          <w:sz w:val="24"/>
        </w:rPr>
        <w:t>本项目提供整体设计、规范编制或者项目管理、监理、检测等服务的供应商，不得再参加本项目的采购活动；</w:t>
      </w:r>
    </w:p>
    <w:p w14:paraId="23B3FAD7">
      <w:pPr>
        <w:spacing w:line="360" w:lineRule="auto"/>
        <w:rPr>
          <w:b/>
          <w:bCs/>
          <w:sz w:val="24"/>
        </w:rPr>
      </w:pPr>
      <w:r>
        <w:rPr>
          <w:rFonts w:hint="eastAsia"/>
          <w:b/>
          <w:bCs/>
          <w:sz w:val="24"/>
        </w:rPr>
        <w:t>三、获取磋商文件</w:t>
      </w:r>
    </w:p>
    <w:p w14:paraId="4AAAD974">
      <w:pPr>
        <w:spacing w:line="360" w:lineRule="auto"/>
        <w:ind w:firstLine="480" w:firstLineChars="200"/>
        <w:rPr>
          <w:rFonts w:ascii="Times New Roman" w:hAnsi="Times New Roman"/>
          <w:sz w:val="24"/>
        </w:rPr>
      </w:pPr>
      <w:r>
        <w:rPr>
          <w:rFonts w:ascii="Times New Roman" w:hAnsi="Times New Roman"/>
          <w:sz w:val="24"/>
        </w:rPr>
        <w:t>3.1时间：202</w:t>
      </w:r>
      <w:r>
        <w:rPr>
          <w:rFonts w:hint="eastAsia" w:ascii="Times New Roman" w:hAnsi="Times New Roman"/>
          <w:sz w:val="24"/>
        </w:rPr>
        <w:t>6</w:t>
      </w:r>
      <w:r>
        <w:rPr>
          <w:rFonts w:ascii="Times New Roman" w:hAnsi="Times New Roman"/>
          <w:sz w:val="24"/>
        </w:rPr>
        <w:t>年</w:t>
      </w:r>
      <w:r>
        <w:rPr>
          <w:rFonts w:hint="eastAsia" w:ascii="Times New Roman" w:hAnsi="Times New Roman"/>
          <w:sz w:val="24"/>
        </w:rPr>
        <w:t>06</w:t>
      </w:r>
      <w:r>
        <w:rPr>
          <w:rFonts w:ascii="Times New Roman" w:hAnsi="Times New Roman"/>
          <w:sz w:val="24"/>
        </w:rPr>
        <w:t>月</w:t>
      </w:r>
      <w:r>
        <w:rPr>
          <w:rFonts w:hint="eastAsia" w:ascii="Times New Roman" w:hAnsi="Times New Roman"/>
          <w:sz w:val="24"/>
        </w:rPr>
        <w:t>18</w:t>
      </w:r>
      <w:r>
        <w:rPr>
          <w:rFonts w:ascii="Times New Roman" w:hAnsi="Times New Roman"/>
          <w:sz w:val="24"/>
        </w:rPr>
        <w:t>日09时00</w:t>
      </w:r>
      <w:r>
        <w:rPr>
          <w:rFonts w:ascii="Times New Roman" w:hAnsi="Times New Roman"/>
          <w:sz w:val="24"/>
          <w:lang w:eastAsia="zh-Hans"/>
        </w:rPr>
        <w:t>分</w:t>
      </w:r>
      <w:r>
        <w:rPr>
          <w:rFonts w:ascii="Times New Roman" w:hAnsi="Times New Roman"/>
          <w:sz w:val="24"/>
        </w:rPr>
        <w:t>整起至202</w:t>
      </w:r>
      <w:r>
        <w:rPr>
          <w:rFonts w:hint="eastAsia" w:ascii="Times New Roman" w:hAnsi="Times New Roman"/>
          <w:sz w:val="24"/>
        </w:rPr>
        <w:t>6</w:t>
      </w:r>
      <w:r>
        <w:rPr>
          <w:rFonts w:ascii="Times New Roman" w:hAnsi="Times New Roman"/>
          <w:sz w:val="24"/>
        </w:rPr>
        <w:t>年</w:t>
      </w:r>
      <w:r>
        <w:rPr>
          <w:rFonts w:hint="eastAsia" w:ascii="Times New Roman" w:hAnsi="Times New Roman"/>
          <w:sz w:val="24"/>
        </w:rPr>
        <w:t>06</w:t>
      </w:r>
      <w:r>
        <w:rPr>
          <w:rFonts w:ascii="Times New Roman" w:hAnsi="Times New Roman"/>
          <w:sz w:val="24"/>
        </w:rPr>
        <w:t>月</w:t>
      </w:r>
      <w:r>
        <w:rPr>
          <w:rFonts w:hint="eastAsia" w:ascii="Times New Roman" w:hAnsi="Times New Roman"/>
          <w:sz w:val="24"/>
        </w:rPr>
        <w:t>25</w:t>
      </w:r>
      <w:r>
        <w:rPr>
          <w:rFonts w:ascii="Times New Roman" w:hAnsi="Times New Roman"/>
          <w:sz w:val="24"/>
        </w:rPr>
        <w:t>日1</w:t>
      </w:r>
      <w:r>
        <w:rPr>
          <w:rFonts w:hint="eastAsia" w:ascii="Times New Roman" w:hAnsi="Times New Roman"/>
          <w:sz w:val="24"/>
        </w:rPr>
        <w:t>7</w:t>
      </w:r>
      <w:r>
        <w:rPr>
          <w:rFonts w:ascii="Times New Roman" w:hAnsi="Times New Roman"/>
          <w:sz w:val="24"/>
        </w:rPr>
        <w:t>时00</w:t>
      </w:r>
      <w:r>
        <w:rPr>
          <w:rFonts w:ascii="Times New Roman" w:hAnsi="Times New Roman"/>
          <w:sz w:val="24"/>
          <w:lang w:eastAsia="zh-Hans"/>
        </w:rPr>
        <w:t>分</w:t>
      </w:r>
      <w:r>
        <w:rPr>
          <w:rFonts w:ascii="Times New Roman" w:hAnsi="Times New Roman"/>
          <w:sz w:val="24"/>
        </w:rPr>
        <w:t>（北京时间，法定节假日除外）；</w:t>
      </w:r>
    </w:p>
    <w:p w14:paraId="17651EB2">
      <w:pPr>
        <w:spacing w:line="360" w:lineRule="auto"/>
        <w:ind w:firstLine="480" w:firstLineChars="200"/>
        <w:rPr>
          <w:rFonts w:hint="eastAsia" w:ascii="宋体" w:hAnsi="宋体" w:cs="宋体"/>
          <w:sz w:val="24"/>
        </w:rPr>
      </w:pPr>
      <w:r>
        <w:rPr>
          <w:rFonts w:ascii="Times New Roman" w:hAnsi="Times New Roman"/>
          <w:sz w:val="24"/>
        </w:rPr>
        <w:t>3.2</w:t>
      </w:r>
      <w:r>
        <w:rPr>
          <w:rFonts w:hint="eastAsia" w:ascii="宋体" w:hAnsi="宋体" w:cs="宋体"/>
          <w:sz w:val="24"/>
        </w:rPr>
        <w:t>方式：由潜在供应商代表按附件“采购文件授权获取表”的要求填报相关信息，并将填报完整准确的“采购文件授权获取表”发送至邮箱</w:t>
      </w:r>
      <w:r>
        <w:rPr>
          <w:rFonts w:ascii="Times New Roman" w:hAnsi="Times New Roman"/>
          <w:sz w:val="24"/>
        </w:rPr>
        <w:t>njyxxm2019@163.com</w:t>
      </w:r>
      <w:r>
        <w:rPr>
          <w:rFonts w:hint="eastAsia" w:ascii="宋体" w:hAnsi="宋体" w:cs="宋体"/>
          <w:sz w:val="24"/>
        </w:rPr>
        <w:t>（注：“采购文件</w:t>
      </w:r>
      <w:r>
        <w:rPr>
          <w:rFonts w:ascii="宋体" w:hAnsi="宋体" w:cs="宋体"/>
          <w:sz w:val="24"/>
        </w:rPr>
        <w:t>授权</w:t>
      </w:r>
      <w:r>
        <w:rPr>
          <w:rFonts w:hint="eastAsia" w:ascii="宋体" w:hAnsi="宋体" w:cs="宋体"/>
          <w:sz w:val="24"/>
        </w:rPr>
        <w:t>获取表”发送成功后与代理机构联系，审核通过后获取采购文件。）</w:t>
      </w:r>
    </w:p>
    <w:p w14:paraId="64B9FD05">
      <w:pPr>
        <w:spacing w:line="360" w:lineRule="auto"/>
        <w:ind w:firstLine="480" w:firstLineChars="200"/>
        <w:rPr>
          <w:rFonts w:ascii="Times New Roman" w:hAnsi="Times New Roman"/>
          <w:sz w:val="24"/>
        </w:rPr>
      </w:pPr>
      <w:r>
        <w:rPr>
          <w:rFonts w:ascii="Times New Roman" w:hAnsi="Times New Roman"/>
          <w:sz w:val="24"/>
        </w:rPr>
        <w:t>3.</w:t>
      </w:r>
      <w:r>
        <w:rPr>
          <w:rFonts w:hint="eastAsia" w:ascii="Times New Roman" w:hAnsi="Times New Roman"/>
          <w:sz w:val="24"/>
        </w:rPr>
        <w:t>3</w:t>
      </w:r>
      <w:r>
        <w:rPr>
          <w:rFonts w:ascii="Times New Roman" w:hAnsi="Times New Roman"/>
          <w:sz w:val="24"/>
        </w:rPr>
        <w:t>其他相关事项：未按要求获取</w:t>
      </w:r>
      <w:r>
        <w:rPr>
          <w:rFonts w:hint="eastAsia" w:ascii="Times New Roman" w:hAnsi="Times New Roman"/>
          <w:sz w:val="24"/>
        </w:rPr>
        <w:t>磋商</w:t>
      </w:r>
      <w:r>
        <w:rPr>
          <w:rFonts w:ascii="Times New Roman" w:hAnsi="Times New Roman"/>
          <w:sz w:val="24"/>
        </w:rPr>
        <w:t>文件的供应商不得参与磋商。</w:t>
      </w:r>
    </w:p>
    <w:p w14:paraId="4E2CA3EC">
      <w:pPr>
        <w:spacing w:line="360" w:lineRule="auto"/>
        <w:rPr>
          <w:b/>
          <w:bCs/>
          <w:sz w:val="24"/>
        </w:rPr>
      </w:pPr>
      <w:r>
        <w:rPr>
          <w:rFonts w:hint="eastAsia"/>
          <w:b/>
          <w:bCs/>
          <w:sz w:val="24"/>
        </w:rPr>
        <w:t>四、响应文件提交</w:t>
      </w:r>
    </w:p>
    <w:p w14:paraId="21997F49">
      <w:pPr>
        <w:spacing w:line="360" w:lineRule="auto"/>
        <w:ind w:firstLine="480" w:firstLineChars="200"/>
        <w:rPr>
          <w:rFonts w:ascii="Times New Roman" w:hAnsi="Times New Roman"/>
          <w:sz w:val="24"/>
        </w:rPr>
      </w:pPr>
      <w:r>
        <w:rPr>
          <w:rFonts w:ascii="Times New Roman" w:hAnsi="Times New Roman"/>
          <w:sz w:val="24"/>
        </w:rPr>
        <w:t>4.1提交响应文件开始时间：202</w:t>
      </w:r>
      <w:r>
        <w:rPr>
          <w:rFonts w:hint="eastAsia" w:ascii="Times New Roman" w:hAnsi="Times New Roman"/>
          <w:sz w:val="24"/>
        </w:rPr>
        <w:t>6</w:t>
      </w:r>
      <w:r>
        <w:rPr>
          <w:rFonts w:ascii="Times New Roman" w:hAnsi="Times New Roman"/>
          <w:sz w:val="24"/>
        </w:rPr>
        <w:t>年</w:t>
      </w:r>
      <w:r>
        <w:rPr>
          <w:rFonts w:hint="eastAsia" w:ascii="Times New Roman" w:hAnsi="Times New Roman"/>
          <w:sz w:val="24"/>
        </w:rPr>
        <w:t>06</w:t>
      </w:r>
      <w:r>
        <w:rPr>
          <w:rFonts w:ascii="Times New Roman" w:hAnsi="Times New Roman"/>
          <w:sz w:val="24"/>
        </w:rPr>
        <w:t>月</w:t>
      </w:r>
      <w:r>
        <w:rPr>
          <w:rFonts w:hint="eastAsia" w:ascii="Times New Roman" w:hAnsi="Times New Roman"/>
          <w:sz w:val="24"/>
        </w:rPr>
        <w:t>30</w:t>
      </w:r>
      <w:r>
        <w:rPr>
          <w:rFonts w:ascii="Times New Roman" w:hAnsi="Times New Roman"/>
          <w:sz w:val="24"/>
        </w:rPr>
        <w:t>日</w:t>
      </w:r>
      <w:r>
        <w:rPr>
          <w:rFonts w:hint="eastAsia" w:ascii="Times New Roman" w:hAnsi="Times New Roman"/>
          <w:sz w:val="24"/>
        </w:rPr>
        <w:t>13</w:t>
      </w:r>
      <w:r>
        <w:rPr>
          <w:rFonts w:ascii="Times New Roman" w:hAnsi="Times New Roman"/>
          <w:sz w:val="24"/>
        </w:rPr>
        <w:t>时</w:t>
      </w:r>
      <w:r>
        <w:rPr>
          <w:rFonts w:hint="eastAsia" w:ascii="Times New Roman" w:hAnsi="Times New Roman"/>
          <w:sz w:val="24"/>
        </w:rPr>
        <w:t>30</w:t>
      </w:r>
      <w:r>
        <w:rPr>
          <w:rFonts w:ascii="Times New Roman" w:hAnsi="Times New Roman"/>
          <w:sz w:val="24"/>
          <w:lang w:eastAsia="zh-Hans"/>
        </w:rPr>
        <w:t>分</w:t>
      </w:r>
      <w:r>
        <w:rPr>
          <w:rFonts w:ascii="Times New Roman" w:hAnsi="Times New Roman"/>
          <w:sz w:val="24"/>
        </w:rPr>
        <w:t>（北京时间）</w:t>
      </w:r>
    </w:p>
    <w:p w14:paraId="18B4D23D">
      <w:pPr>
        <w:spacing w:line="360" w:lineRule="auto"/>
        <w:ind w:firstLine="480" w:firstLineChars="200"/>
        <w:rPr>
          <w:rFonts w:ascii="Times New Roman" w:hAnsi="Times New Roman"/>
          <w:sz w:val="24"/>
        </w:rPr>
      </w:pPr>
      <w:r>
        <w:rPr>
          <w:rFonts w:ascii="Times New Roman" w:hAnsi="Times New Roman"/>
          <w:sz w:val="24"/>
        </w:rPr>
        <w:t>4.2提交响应文件截止时间：202</w:t>
      </w:r>
      <w:r>
        <w:rPr>
          <w:rFonts w:hint="eastAsia" w:ascii="Times New Roman" w:hAnsi="Times New Roman"/>
          <w:sz w:val="24"/>
        </w:rPr>
        <w:t>6年06</w:t>
      </w:r>
      <w:r>
        <w:rPr>
          <w:rFonts w:ascii="Times New Roman" w:hAnsi="Times New Roman"/>
          <w:sz w:val="24"/>
        </w:rPr>
        <w:t>月</w:t>
      </w:r>
      <w:r>
        <w:rPr>
          <w:rFonts w:hint="eastAsia" w:ascii="Times New Roman" w:hAnsi="Times New Roman"/>
          <w:sz w:val="24"/>
        </w:rPr>
        <w:t>30</w:t>
      </w:r>
      <w:r>
        <w:rPr>
          <w:rFonts w:ascii="Times New Roman" w:hAnsi="Times New Roman"/>
          <w:sz w:val="24"/>
        </w:rPr>
        <w:t>日</w:t>
      </w:r>
      <w:r>
        <w:rPr>
          <w:rFonts w:hint="eastAsia" w:ascii="Times New Roman" w:hAnsi="Times New Roman"/>
          <w:sz w:val="24"/>
        </w:rPr>
        <w:t>14</w:t>
      </w:r>
      <w:r>
        <w:rPr>
          <w:rFonts w:ascii="Times New Roman" w:hAnsi="Times New Roman"/>
          <w:sz w:val="24"/>
        </w:rPr>
        <w:t>时</w:t>
      </w:r>
      <w:r>
        <w:rPr>
          <w:rFonts w:hint="eastAsia" w:ascii="Times New Roman" w:hAnsi="Times New Roman"/>
          <w:sz w:val="24"/>
        </w:rPr>
        <w:t>00</w:t>
      </w:r>
      <w:r>
        <w:rPr>
          <w:rFonts w:ascii="Times New Roman" w:hAnsi="Times New Roman"/>
          <w:sz w:val="24"/>
        </w:rPr>
        <w:t>分（北京时间）</w:t>
      </w:r>
    </w:p>
    <w:p w14:paraId="6BF222E8">
      <w:pPr>
        <w:spacing w:line="360" w:lineRule="auto"/>
        <w:ind w:firstLine="480" w:firstLineChars="200"/>
        <w:rPr>
          <w:rFonts w:ascii="Times New Roman" w:hAnsi="Times New Roman"/>
          <w:sz w:val="24"/>
        </w:rPr>
      </w:pPr>
      <w:r>
        <w:rPr>
          <w:rFonts w:ascii="Times New Roman" w:hAnsi="Times New Roman"/>
          <w:sz w:val="24"/>
        </w:rPr>
        <w:t>4.3地点：南京市栖霞区尧佳路28号南京市栖霞区医院3号楼602室</w:t>
      </w:r>
    </w:p>
    <w:p w14:paraId="433219B0">
      <w:pPr>
        <w:spacing w:line="360" w:lineRule="auto"/>
        <w:rPr>
          <w:b/>
          <w:bCs/>
          <w:sz w:val="24"/>
        </w:rPr>
      </w:pPr>
      <w:r>
        <w:rPr>
          <w:rFonts w:hint="eastAsia"/>
          <w:b/>
          <w:bCs/>
          <w:sz w:val="24"/>
        </w:rPr>
        <w:t>五、响应文件开启</w:t>
      </w:r>
    </w:p>
    <w:p w14:paraId="74105511">
      <w:pPr>
        <w:spacing w:line="360" w:lineRule="auto"/>
        <w:ind w:firstLine="480" w:firstLineChars="200"/>
        <w:rPr>
          <w:rFonts w:ascii="Times New Roman" w:hAnsi="Times New Roman"/>
          <w:sz w:val="24"/>
        </w:rPr>
      </w:pPr>
      <w:r>
        <w:rPr>
          <w:rFonts w:ascii="Times New Roman" w:hAnsi="Times New Roman"/>
          <w:sz w:val="24"/>
        </w:rPr>
        <w:t>5.1时间：202</w:t>
      </w:r>
      <w:r>
        <w:rPr>
          <w:rFonts w:hint="eastAsia" w:ascii="Times New Roman" w:hAnsi="Times New Roman"/>
          <w:sz w:val="24"/>
        </w:rPr>
        <w:t>6</w:t>
      </w:r>
      <w:r>
        <w:rPr>
          <w:rFonts w:ascii="Times New Roman" w:hAnsi="Times New Roman"/>
          <w:sz w:val="24"/>
        </w:rPr>
        <w:t>年</w:t>
      </w:r>
      <w:r>
        <w:rPr>
          <w:rFonts w:hint="eastAsia" w:ascii="Times New Roman" w:hAnsi="Times New Roman"/>
          <w:sz w:val="24"/>
        </w:rPr>
        <w:t>06</w:t>
      </w:r>
      <w:r>
        <w:rPr>
          <w:rFonts w:ascii="Times New Roman" w:hAnsi="Times New Roman"/>
          <w:sz w:val="24"/>
        </w:rPr>
        <w:t>月</w:t>
      </w:r>
      <w:r>
        <w:rPr>
          <w:rFonts w:hint="eastAsia" w:ascii="Times New Roman" w:hAnsi="Times New Roman"/>
          <w:sz w:val="24"/>
        </w:rPr>
        <w:t>30</w:t>
      </w:r>
      <w:r>
        <w:rPr>
          <w:rFonts w:ascii="Times New Roman" w:hAnsi="Times New Roman"/>
          <w:sz w:val="24"/>
        </w:rPr>
        <w:t>日</w:t>
      </w:r>
      <w:r>
        <w:rPr>
          <w:rFonts w:hint="eastAsia" w:ascii="Times New Roman" w:hAnsi="Times New Roman"/>
          <w:sz w:val="24"/>
        </w:rPr>
        <w:t>14</w:t>
      </w:r>
      <w:r>
        <w:rPr>
          <w:rFonts w:ascii="Times New Roman" w:hAnsi="Times New Roman"/>
          <w:sz w:val="24"/>
        </w:rPr>
        <w:t>时</w:t>
      </w:r>
      <w:r>
        <w:rPr>
          <w:rFonts w:hint="eastAsia" w:ascii="Times New Roman" w:hAnsi="Times New Roman"/>
          <w:sz w:val="24"/>
        </w:rPr>
        <w:t>00</w:t>
      </w:r>
      <w:r>
        <w:rPr>
          <w:rFonts w:ascii="Times New Roman" w:hAnsi="Times New Roman"/>
          <w:sz w:val="24"/>
        </w:rPr>
        <w:t>分（北京时间）</w:t>
      </w:r>
    </w:p>
    <w:p w14:paraId="319C6F1A">
      <w:pPr>
        <w:spacing w:line="360" w:lineRule="auto"/>
        <w:ind w:firstLine="480" w:firstLineChars="200"/>
        <w:rPr>
          <w:rFonts w:ascii="Times New Roman" w:hAnsi="Times New Roman"/>
          <w:sz w:val="24"/>
        </w:rPr>
      </w:pPr>
      <w:r>
        <w:rPr>
          <w:rFonts w:ascii="Times New Roman" w:hAnsi="Times New Roman"/>
          <w:sz w:val="24"/>
        </w:rPr>
        <w:t>5.2地点：南京市栖霞区尧佳路28号南京市栖霞区医院3号楼602室</w:t>
      </w:r>
    </w:p>
    <w:p w14:paraId="595F1116">
      <w:pPr>
        <w:spacing w:line="360" w:lineRule="auto"/>
        <w:rPr>
          <w:b/>
          <w:bCs/>
          <w:sz w:val="24"/>
        </w:rPr>
      </w:pPr>
      <w:r>
        <w:rPr>
          <w:rFonts w:hint="eastAsia"/>
          <w:b/>
          <w:bCs/>
          <w:sz w:val="24"/>
        </w:rPr>
        <w:t>六、公告发布媒体及公告期限</w:t>
      </w:r>
    </w:p>
    <w:p w14:paraId="2F1F4E43">
      <w:pPr>
        <w:spacing w:line="360" w:lineRule="auto"/>
        <w:ind w:firstLine="480" w:firstLineChars="200"/>
        <w:rPr>
          <w:rFonts w:ascii="Times New Roman" w:hAnsi="Times New Roman"/>
          <w:sz w:val="24"/>
        </w:rPr>
      </w:pPr>
      <w:r>
        <w:rPr>
          <w:rFonts w:hint="eastAsia" w:ascii="Times New Roman" w:hAnsi="Times New Roman"/>
          <w:sz w:val="24"/>
        </w:rPr>
        <w:t>6.1自本公告在“南京市栖霞区人民政府官网”发布之日起3个工作日。</w:t>
      </w:r>
    </w:p>
    <w:p w14:paraId="5F0A2EF0">
      <w:pPr>
        <w:spacing w:line="360" w:lineRule="auto"/>
        <w:rPr>
          <w:b/>
          <w:bCs/>
          <w:sz w:val="24"/>
        </w:rPr>
      </w:pPr>
      <w:r>
        <w:rPr>
          <w:rFonts w:hint="eastAsia"/>
          <w:b/>
          <w:bCs/>
          <w:sz w:val="24"/>
        </w:rPr>
        <w:t>七、其他补充事宜</w:t>
      </w:r>
    </w:p>
    <w:p w14:paraId="24B79BC9">
      <w:pPr>
        <w:spacing w:line="360" w:lineRule="auto"/>
        <w:ind w:firstLine="480" w:firstLineChars="200"/>
        <w:rPr>
          <w:rFonts w:ascii="Times New Roman" w:hAnsi="Times New Roman"/>
          <w:sz w:val="24"/>
        </w:rPr>
      </w:pPr>
      <w:r>
        <w:rPr>
          <w:rFonts w:ascii="Times New Roman" w:hAnsi="Times New Roman"/>
          <w:sz w:val="24"/>
        </w:rPr>
        <w:t>7.1磋商响应文件制作份数要求：</w:t>
      </w:r>
    </w:p>
    <w:p w14:paraId="32E02565">
      <w:pPr>
        <w:spacing w:line="360" w:lineRule="auto"/>
        <w:ind w:firstLine="480" w:firstLineChars="200"/>
        <w:rPr>
          <w:rFonts w:ascii="Times New Roman" w:hAnsi="Times New Roman"/>
          <w:sz w:val="24"/>
        </w:rPr>
      </w:pPr>
      <w:r>
        <w:rPr>
          <w:rFonts w:ascii="Times New Roman" w:hAnsi="Times New Roman"/>
          <w:sz w:val="24"/>
        </w:rPr>
        <w:t>正本份数：1份；副本份数：</w:t>
      </w:r>
      <w:r>
        <w:rPr>
          <w:rFonts w:hint="eastAsia" w:ascii="Times New Roman" w:hAnsi="Times New Roman"/>
          <w:sz w:val="24"/>
        </w:rPr>
        <w:t>3</w:t>
      </w:r>
      <w:r>
        <w:rPr>
          <w:rFonts w:ascii="Times New Roman" w:hAnsi="Times New Roman"/>
          <w:sz w:val="24"/>
        </w:rPr>
        <w:t>份；电子文件（word格式和盖章扫描pdf格式，U盘）1份</w:t>
      </w:r>
    </w:p>
    <w:p w14:paraId="5C075015">
      <w:pPr>
        <w:spacing w:line="360" w:lineRule="auto"/>
        <w:ind w:firstLine="480" w:firstLineChars="200"/>
        <w:rPr>
          <w:rFonts w:ascii="Times New Roman" w:hAnsi="Times New Roman"/>
          <w:sz w:val="24"/>
        </w:rPr>
      </w:pPr>
      <w:r>
        <w:rPr>
          <w:rFonts w:ascii="Times New Roman" w:hAnsi="Times New Roman"/>
          <w:sz w:val="24"/>
        </w:rPr>
        <w:t>7.2本次磋商</w:t>
      </w:r>
      <w:r>
        <w:rPr>
          <w:rFonts w:ascii="Times New Roman" w:hAnsi="Times New Roman"/>
          <w:b/>
          <w:bCs/>
          <w:sz w:val="24"/>
        </w:rPr>
        <w:t>不收取</w:t>
      </w:r>
      <w:r>
        <w:rPr>
          <w:rFonts w:ascii="Times New Roman" w:hAnsi="Times New Roman"/>
          <w:sz w:val="24"/>
        </w:rPr>
        <w:t>磋商保证金；</w:t>
      </w:r>
    </w:p>
    <w:p w14:paraId="29E665A0">
      <w:pPr>
        <w:spacing w:line="360" w:lineRule="auto"/>
        <w:ind w:firstLine="480" w:firstLineChars="200"/>
        <w:rPr>
          <w:rFonts w:ascii="Times New Roman" w:hAnsi="Times New Roman"/>
          <w:sz w:val="24"/>
        </w:rPr>
      </w:pPr>
      <w:r>
        <w:rPr>
          <w:rFonts w:hint="eastAsia" w:ascii="Times New Roman" w:hAnsi="Times New Roman"/>
          <w:sz w:val="24"/>
        </w:rPr>
        <w:t>7.3本项目不组织集中勘察及答疑，供应商如对采购需求有疑问，请咨询采购单位联系人。</w:t>
      </w:r>
    </w:p>
    <w:p w14:paraId="06D57F93">
      <w:pPr>
        <w:spacing w:line="360" w:lineRule="auto"/>
        <w:ind w:firstLine="480" w:firstLineChars="200"/>
        <w:rPr>
          <w:rFonts w:hint="eastAsia" w:ascii="宋体" w:hAnsi="宋体" w:cs="宋体"/>
          <w:sz w:val="24"/>
        </w:rPr>
      </w:pPr>
      <w:r>
        <w:rPr>
          <w:rFonts w:ascii="Times New Roman" w:hAnsi="Times New Roman"/>
          <w:sz w:val="24"/>
        </w:rPr>
        <w:t>7.4</w:t>
      </w:r>
      <w:r>
        <w:rPr>
          <w:rFonts w:hint="eastAsia" w:ascii="宋体" w:hAnsi="宋体" w:cs="宋体"/>
          <w:sz w:val="24"/>
        </w:rPr>
        <w:t>政府采购信用承诺</w:t>
      </w:r>
    </w:p>
    <w:p w14:paraId="478BD2B7">
      <w:pPr>
        <w:wordWrap w:val="0"/>
        <w:spacing w:line="360" w:lineRule="auto"/>
        <w:ind w:firstLine="480" w:firstLineChars="200"/>
        <w:jc w:val="left"/>
        <w:rPr>
          <w:rFonts w:ascii="Times New Roman" w:hAnsi="Times New Roman"/>
          <w:sz w:val="24"/>
        </w:rPr>
      </w:pPr>
      <w:r>
        <w:rPr>
          <w:rFonts w:ascii="Times New Roman" w:hAnsi="Times New Roman"/>
          <w:sz w:val="24"/>
        </w:rPr>
        <w:t>根据《关于在政府采购活动中推行信用承诺制的通知》宁财购通〔2021〕5号规定，参加南京地区政府采购活动的供应商，应以书面形式向采购人或政府采购代理机构作出信用承诺。供应商应尽早做好承诺工作，点击</w:t>
      </w:r>
      <w:r>
        <w:rPr>
          <w:rFonts w:hint="eastAsia" w:asciiTheme="minorEastAsia" w:hAnsiTheme="minorEastAsia"/>
          <w:sz w:val="24"/>
        </w:rPr>
        <w:t>“</w:t>
      </w:r>
      <w:r>
        <w:rPr>
          <w:rFonts w:asciiTheme="minorEastAsia" w:hAnsiTheme="minorEastAsia"/>
          <w:sz w:val="24"/>
        </w:rPr>
        <w:t>南京公共采购信息网</w:t>
      </w:r>
      <w:r>
        <w:rPr>
          <w:rFonts w:hint="eastAsia" w:asciiTheme="minorEastAsia" w:hAnsiTheme="minorEastAsia"/>
          <w:sz w:val="24"/>
        </w:rPr>
        <w:t>”</w:t>
      </w:r>
      <w:r>
        <w:rPr>
          <w:rFonts w:ascii="Times New Roman" w:hAnsi="Times New Roman"/>
          <w:sz w:val="24"/>
        </w:rPr>
        <w:t>首页（https://njgc.jfh.com/）</w:t>
      </w:r>
      <w:r>
        <w:rPr>
          <w:rFonts w:hint="eastAsia" w:ascii="Times New Roman" w:hAnsi="Times New Roman"/>
          <w:sz w:val="24"/>
        </w:rPr>
        <w:t>“</w:t>
      </w:r>
      <w:r>
        <w:rPr>
          <w:rFonts w:ascii="Times New Roman" w:hAnsi="Times New Roman"/>
          <w:sz w:val="24"/>
        </w:rPr>
        <w:t>南京市政府采购供应商诚信档案</w:t>
      </w:r>
      <w:r>
        <w:rPr>
          <w:rFonts w:hint="eastAsia" w:ascii="Times New Roman" w:hAnsi="Times New Roman"/>
          <w:sz w:val="24"/>
        </w:rPr>
        <w:t>”</w:t>
      </w:r>
      <w:r>
        <w:rPr>
          <w:rFonts w:ascii="Times New Roman" w:hAnsi="Times New Roman"/>
          <w:sz w:val="24"/>
        </w:rPr>
        <w:t>系统链接打开系统页面（http://180.101.238.212:8280/hodeframe2018_cxda/index.action;jsessionid=769BA9C8E1729422E7173B991C8EC1E5）登录（未注册的供应商应先点击</w:t>
      </w:r>
      <w:r>
        <w:rPr>
          <w:rFonts w:hint="eastAsia" w:ascii="Times New Roman" w:hAnsi="Times New Roman"/>
          <w:sz w:val="24"/>
        </w:rPr>
        <w:t>“</w:t>
      </w:r>
      <w:r>
        <w:rPr>
          <w:rFonts w:ascii="Times New Roman" w:hAnsi="Times New Roman"/>
          <w:sz w:val="24"/>
        </w:rPr>
        <w:t>供应商注册点这里</w:t>
      </w:r>
      <w:r>
        <w:rPr>
          <w:rFonts w:hint="eastAsia" w:ascii="Times New Roman" w:hAnsi="Times New Roman"/>
          <w:sz w:val="24"/>
        </w:rPr>
        <w:t>”</w:t>
      </w:r>
      <w:r>
        <w:rPr>
          <w:rFonts w:ascii="Times New Roman" w:hAnsi="Times New Roman"/>
          <w:sz w:val="24"/>
        </w:rPr>
        <w:t>并按要求完成注册），然后在</w:t>
      </w:r>
      <w:r>
        <w:rPr>
          <w:rFonts w:hint="eastAsia" w:ascii="Times New Roman" w:hAnsi="Times New Roman"/>
          <w:sz w:val="24"/>
        </w:rPr>
        <w:t>“</w:t>
      </w:r>
      <w:r>
        <w:rPr>
          <w:rFonts w:ascii="Times New Roman" w:hAnsi="Times New Roman"/>
          <w:sz w:val="24"/>
        </w:rPr>
        <w:t>信用记录</w:t>
      </w:r>
      <w:r>
        <w:rPr>
          <w:rFonts w:hint="eastAsia" w:ascii="Times New Roman" w:hAnsi="Times New Roman"/>
          <w:sz w:val="24"/>
        </w:rPr>
        <w:t>”</w:t>
      </w:r>
      <w:r>
        <w:rPr>
          <w:rFonts w:ascii="Times New Roman" w:hAnsi="Times New Roman"/>
          <w:sz w:val="24"/>
        </w:rPr>
        <w:t>模块页面点击</w:t>
      </w:r>
      <w:r>
        <w:rPr>
          <w:rFonts w:hint="eastAsia" w:ascii="Times New Roman" w:hAnsi="Times New Roman"/>
          <w:sz w:val="24"/>
        </w:rPr>
        <w:t>“</w:t>
      </w:r>
      <w:r>
        <w:rPr>
          <w:rFonts w:ascii="Times New Roman" w:hAnsi="Times New Roman"/>
          <w:sz w:val="24"/>
        </w:rPr>
        <w:t>信用记录打印</w:t>
      </w:r>
      <w:r>
        <w:rPr>
          <w:rFonts w:hint="eastAsia" w:ascii="Times New Roman" w:hAnsi="Times New Roman"/>
          <w:sz w:val="24"/>
        </w:rPr>
        <w:t>”</w:t>
      </w:r>
      <w:r>
        <w:rPr>
          <w:rFonts w:ascii="Times New Roman" w:hAnsi="Times New Roman"/>
          <w:sz w:val="24"/>
        </w:rPr>
        <w:t>下载本单位《南京市政府采购供应商信用记录表暨信用承诺书》，由法人签字并盖单位公章，</w:t>
      </w:r>
      <w:r>
        <w:rPr>
          <w:rFonts w:hint="eastAsia" w:ascii="Times New Roman" w:hAnsi="Times New Roman"/>
          <w:sz w:val="24"/>
        </w:rPr>
        <w:t>装订在</w:t>
      </w:r>
      <w:r>
        <w:rPr>
          <w:rFonts w:ascii="Times New Roman" w:hAnsi="Times New Roman"/>
          <w:sz w:val="24"/>
        </w:rPr>
        <w:t>响应文件</w:t>
      </w:r>
      <w:r>
        <w:rPr>
          <w:rFonts w:hint="eastAsia" w:ascii="Times New Roman" w:hAnsi="Times New Roman"/>
          <w:sz w:val="24"/>
        </w:rPr>
        <w:t>中</w:t>
      </w:r>
      <w:r>
        <w:rPr>
          <w:rFonts w:ascii="Times New Roman" w:hAnsi="Times New Roman"/>
          <w:sz w:val="24"/>
        </w:rPr>
        <w:t>。</w:t>
      </w:r>
    </w:p>
    <w:p w14:paraId="5A1F85AE">
      <w:pPr>
        <w:spacing w:line="360" w:lineRule="auto"/>
        <w:ind w:firstLine="480" w:firstLineChars="200"/>
        <w:rPr>
          <w:rFonts w:ascii="Times New Roman" w:hAnsi="Times New Roman"/>
          <w:sz w:val="24"/>
        </w:rPr>
      </w:pPr>
      <w:r>
        <w:rPr>
          <w:rFonts w:ascii="Times New Roman" w:hAnsi="Times New Roman"/>
          <w:sz w:val="24"/>
        </w:rPr>
        <w:t>在政府采购资格审查环节，供应商只需提供书面《南京市政府采购供应商信用记录表暨信用承诺书》，即可替代以下证明材料：</w:t>
      </w:r>
    </w:p>
    <w:p w14:paraId="06583DD4">
      <w:pPr>
        <w:spacing w:line="360" w:lineRule="auto"/>
        <w:ind w:firstLine="480" w:firstLineChars="200"/>
        <w:rPr>
          <w:rFonts w:ascii="Times New Roman" w:hAnsi="Times New Roman"/>
          <w:sz w:val="24"/>
        </w:rPr>
      </w:pPr>
      <w:r>
        <w:rPr>
          <w:rFonts w:ascii="Times New Roman" w:hAnsi="Times New Roman"/>
          <w:sz w:val="24"/>
        </w:rPr>
        <w:t>（1）符合国家相关规定的财务状况报告；</w:t>
      </w:r>
    </w:p>
    <w:p w14:paraId="0248AAC9">
      <w:pPr>
        <w:spacing w:line="360" w:lineRule="auto"/>
        <w:ind w:firstLine="480" w:firstLineChars="200"/>
        <w:rPr>
          <w:rFonts w:ascii="Times New Roman" w:hAnsi="Times New Roman"/>
          <w:sz w:val="24"/>
        </w:rPr>
      </w:pPr>
      <w:r>
        <w:rPr>
          <w:rFonts w:ascii="Times New Roman" w:hAnsi="Times New Roman"/>
          <w:sz w:val="24"/>
        </w:rPr>
        <w:t>（2）依法缴纳税收的证明材料；</w:t>
      </w:r>
    </w:p>
    <w:p w14:paraId="38CCA069">
      <w:pPr>
        <w:spacing w:line="360" w:lineRule="auto"/>
        <w:ind w:firstLine="480" w:firstLineChars="200"/>
        <w:rPr>
          <w:rFonts w:ascii="Times New Roman" w:hAnsi="Times New Roman"/>
          <w:sz w:val="24"/>
        </w:rPr>
      </w:pPr>
      <w:r>
        <w:rPr>
          <w:rFonts w:ascii="Times New Roman" w:hAnsi="Times New Roman"/>
          <w:sz w:val="24"/>
        </w:rPr>
        <w:t>（3）依法缴纳社会保障资金的证明材料；</w:t>
      </w:r>
    </w:p>
    <w:p w14:paraId="1D32A940">
      <w:pPr>
        <w:spacing w:line="360" w:lineRule="auto"/>
        <w:ind w:firstLine="480" w:firstLineChars="200"/>
        <w:rPr>
          <w:rFonts w:ascii="Times New Roman" w:hAnsi="Times New Roman"/>
          <w:sz w:val="24"/>
        </w:rPr>
      </w:pPr>
      <w:r>
        <w:rPr>
          <w:rFonts w:ascii="Times New Roman" w:hAnsi="Times New Roman"/>
          <w:sz w:val="24"/>
        </w:rPr>
        <w:t>（4）具备履行政府采购合同所必需的设备和专业技术能力的证明材料；</w:t>
      </w:r>
    </w:p>
    <w:p w14:paraId="3B93C335">
      <w:pPr>
        <w:spacing w:line="360" w:lineRule="auto"/>
        <w:ind w:firstLine="480" w:firstLineChars="200"/>
        <w:rPr>
          <w:rFonts w:ascii="Times New Roman" w:hAnsi="Times New Roman"/>
          <w:sz w:val="24"/>
        </w:rPr>
      </w:pPr>
      <w:r>
        <w:rPr>
          <w:rFonts w:ascii="Times New Roman" w:hAnsi="Times New Roman"/>
          <w:sz w:val="24"/>
        </w:rPr>
        <w:t>（5）参加政府采购活动前三年内在经营活动中没有重大违法记录的证明材料；</w:t>
      </w:r>
    </w:p>
    <w:p w14:paraId="2EB4A29E">
      <w:pPr>
        <w:spacing w:line="360" w:lineRule="auto"/>
        <w:ind w:firstLine="480" w:firstLineChars="200"/>
        <w:rPr>
          <w:rFonts w:ascii="Times New Roman" w:hAnsi="Times New Roman"/>
          <w:sz w:val="24"/>
        </w:rPr>
      </w:pPr>
      <w:r>
        <w:rPr>
          <w:rFonts w:ascii="Times New Roman" w:hAnsi="Times New Roman"/>
          <w:sz w:val="24"/>
        </w:rPr>
        <w:t>（6）未被列入失信被执行人、重大税收违法失信主体、政府采购严重违法失信行为记录名单的证明材料。</w:t>
      </w:r>
    </w:p>
    <w:p w14:paraId="62CF637C">
      <w:pPr>
        <w:spacing w:line="360" w:lineRule="auto"/>
        <w:ind w:firstLine="480" w:firstLineChars="200"/>
        <w:rPr>
          <w:rFonts w:ascii="Times New Roman" w:hAnsi="Times New Roman"/>
          <w:sz w:val="24"/>
        </w:rPr>
      </w:pPr>
      <w:r>
        <w:rPr>
          <w:rFonts w:ascii="Times New Roman" w:hAnsi="Times New Roman"/>
          <w:sz w:val="24"/>
        </w:rPr>
        <w:t>供应商在中标（成交）后，应按采购文件要求，将上述由信用承诺书替代的证明材料提交采购人或采购代理机构核验。经核验无误后，由采购人或采购代理机构发出中标（成交）通知书。供应商涉及以下情形的，不适用信用承诺：</w:t>
      </w:r>
    </w:p>
    <w:p w14:paraId="49286EF4">
      <w:pPr>
        <w:spacing w:line="360" w:lineRule="auto"/>
        <w:ind w:firstLine="480" w:firstLineChars="200"/>
        <w:rPr>
          <w:rFonts w:ascii="Times New Roman" w:hAnsi="Times New Roman"/>
          <w:sz w:val="24"/>
        </w:rPr>
      </w:pPr>
      <w:r>
        <w:rPr>
          <w:rFonts w:ascii="Times New Roman" w:hAnsi="Times New Roman"/>
          <w:sz w:val="24"/>
        </w:rPr>
        <w:t>（1）供应商被列入严重失信主体名单；</w:t>
      </w:r>
    </w:p>
    <w:p w14:paraId="2F35577D">
      <w:pPr>
        <w:spacing w:line="360" w:lineRule="auto"/>
        <w:ind w:firstLine="480" w:firstLineChars="200"/>
        <w:rPr>
          <w:rFonts w:ascii="Times New Roman" w:hAnsi="Times New Roman"/>
          <w:sz w:val="24"/>
        </w:rPr>
      </w:pPr>
      <w:r>
        <w:rPr>
          <w:rFonts w:ascii="Times New Roman" w:hAnsi="Times New Roman"/>
          <w:sz w:val="24"/>
        </w:rPr>
        <w:t>（2）被相关监管部门作出行政处罚且尚在处罚有效期内；</w:t>
      </w:r>
    </w:p>
    <w:p w14:paraId="2C6A2FE0">
      <w:pPr>
        <w:spacing w:line="360" w:lineRule="auto"/>
        <w:ind w:firstLine="480" w:firstLineChars="200"/>
        <w:rPr>
          <w:rFonts w:ascii="Times New Roman" w:hAnsi="Times New Roman"/>
          <w:sz w:val="24"/>
        </w:rPr>
      </w:pPr>
      <w:r>
        <w:rPr>
          <w:rFonts w:ascii="Times New Roman" w:hAnsi="Times New Roman"/>
          <w:sz w:val="24"/>
        </w:rPr>
        <w:t>（3）其他法律、行政法规规定的不适用信用承诺的情形。供应商对信用承诺内容的真实性、合法性、有效性负责。如作出虚假信用承诺，视同为</w:t>
      </w:r>
      <w:r>
        <w:rPr>
          <w:rFonts w:ascii="宋体" w:hAnsi="宋体"/>
          <w:sz w:val="24"/>
        </w:rPr>
        <w:t>“</w:t>
      </w:r>
      <w:r>
        <w:rPr>
          <w:rFonts w:ascii="Times New Roman" w:hAnsi="Times New Roman"/>
          <w:sz w:val="24"/>
        </w:rPr>
        <w:t>提供虚假材料谋取中标、成交</w:t>
      </w:r>
      <w:r>
        <w:rPr>
          <w:rFonts w:ascii="宋体" w:hAnsi="宋体"/>
          <w:sz w:val="24"/>
        </w:rPr>
        <w:t>”</w:t>
      </w:r>
      <w:r>
        <w:rPr>
          <w:rFonts w:ascii="Times New Roman" w:hAnsi="Times New Roman"/>
          <w:sz w:val="24"/>
        </w:rPr>
        <w:t>的违法行为。</w:t>
      </w:r>
    </w:p>
    <w:p w14:paraId="101E0C99">
      <w:pPr>
        <w:spacing w:line="360" w:lineRule="auto"/>
        <w:ind w:firstLine="480" w:firstLineChars="200"/>
        <w:rPr>
          <w:rFonts w:ascii="Times New Roman" w:hAnsi="Times New Roman"/>
          <w:sz w:val="24"/>
        </w:rPr>
      </w:pPr>
      <w:r>
        <w:rPr>
          <w:rFonts w:hint="eastAsia" w:ascii="Times New Roman" w:hAnsi="Times New Roman"/>
          <w:sz w:val="24"/>
        </w:rPr>
        <w:t>根据《南京市政府采购供应商信用管理工作暂行办法》（宁财规〔2018〕10号），供应商参加本次政府采购活动时，</w:t>
      </w:r>
      <w:r>
        <w:rPr>
          <w:rFonts w:hint="eastAsia" w:ascii="Times New Roman" w:hAnsi="Times New Roman"/>
          <w:b/>
          <w:bCs/>
          <w:i/>
          <w:iCs/>
          <w:sz w:val="24"/>
          <w:u w:val="single"/>
        </w:rPr>
        <w:t>在采购文件发布之日起至递交响应文件截止日前</w:t>
      </w:r>
      <w:r>
        <w:rPr>
          <w:rFonts w:hint="eastAsia" w:ascii="Times New Roman" w:hAnsi="Times New Roman"/>
          <w:sz w:val="24"/>
        </w:rPr>
        <w:t>，应在线打印“南京市政府采购供应商信用记录表暨信用承诺书”，经</w:t>
      </w:r>
      <w:r>
        <w:rPr>
          <w:rFonts w:hint="eastAsia" w:ascii="Times New Roman" w:hAnsi="Times New Roman"/>
          <w:b/>
          <w:bCs/>
          <w:i/>
          <w:iCs/>
          <w:sz w:val="24"/>
          <w:u w:val="single"/>
        </w:rPr>
        <w:t>法人签字并盖单位公章</w:t>
      </w:r>
      <w:r>
        <w:rPr>
          <w:rFonts w:hint="eastAsia" w:ascii="Times New Roman" w:hAnsi="Times New Roman"/>
          <w:sz w:val="24"/>
        </w:rPr>
        <w:t>后作为响应文件的组成部分。</w:t>
      </w:r>
      <w:r>
        <w:rPr>
          <w:rFonts w:hint="eastAsia" w:ascii="Times New Roman" w:hAnsi="Times New Roman"/>
          <w:b/>
          <w:bCs/>
          <w:i/>
          <w:iCs/>
          <w:sz w:val="24"/>
          <w:u w:val="single"/>
        </w:rPr>
        <w:t>《南京市政府采购供应商信用记录表暨信用承诺书》是供应商参加本项目采购活动的必备材料，未按要求提供的，视为无效响应。</w:t>
      </w:r>
    </w:p>
    <w:p w14:paraId="00BB7993">
      <w:pPr>
        <w:spacing w:line="360" w:lineRule="auto"/>
        <w:rPr>
          <w:rFonts w:ascii="Times New Roman" w:hAnsi="Times New Roman"/>
          <w:sz w:val="24"/>
        </w:rPr>
      </w:pPr>
      <w:r>
        <w:rPr>
          <w:rFonts w:hint="eastAsia"/>
          <w:b/>
          <w:bCs/>
          <w:sz w:val="24"/>
        </w:rPr>
        <w:t>八、凡对本次采购提出询问，请按以下方式联系</w:t>
      </w:r>
    </w:p>
    <w:p w14:paraId="33339DAC">
      <w:pPr>
        <w:spacing w:line="360" w:lineRule="auto"/>
        <w:ind w:firstLine="480" w:firstLineChars="200"/>
        <w:rPr>
          <w:rFonts w:ascii="Times New Roman" w:hAnsi="Times New Roman"/>
          <w:sz w:val="24"/>
        </w:rPr>
      </w:pPr>
      <w:r>
        <w:rPr>
          <w:rFonts w:ascii="Times New Roman" w:hAnsi="Times New Roman"/>
          <w:sz w:val="24"/>
        </w:rPr>
        <w:t>8.1采购人信息</w:t>
      </w:r>
    </w:p>
    <w:p w14:paraId="52A46801">
      <w:pPr>
        <w:spacing w:line="360" w:lineRule="auto"/>
        <w:ind w:firstLine="480" w:firstLineChars="200"/>
        <w:rPr>
          <w:rFonts w:ascii="Times New Roman" w:hAnsi="Times New Roman"/>
          <w:sz w:val="24"/>
        </w:rPr>
      </w:pPr>
      <w:r>
        <w:rPr>
          <w:rFonts w:hint="eastAsia" w:ascii="Times New Roman" w:hAnsi="Times New Roman"/>
          <w:sz w:val="24"/>
        </w:rPr>
        <w:t>名  称：南京市栖霞区医院</w:t>
      </w:r>
    </w:p>
    <w:p w14:paraId="0836D70B">
      <w:pPr>
        <w:spacing w:line="360" w:lineRule="auto"/>
        <w:ind w:firstLine="480" w:firstLineChars="200"/>
        <w:rPr>
          <w:rFonts w:ascii="Times New Roman" w:hAnsi="Times New Roman"/>
          <w:sz w:val="24"/>
        </w:rPr>
      </w:pPr>
      <w:r>
        <w:rPr>
          <w:rFonts w:hint="eastAsia" w:ascii="Times New Roman" w:hAnsi="Times New Roman"/>
          <w:sz w:val="24"/>
        </w:rPr>
        <w:t>地  址：南京市栖霞区尧佳路28号</w:t>
      </w:r>
    </w:p>
    <w:p w14:paraId="3AE46AF5">
      <w:pPr>
        <w:spacing w:line="360" w:lineRule="auto"/>
        <w:ind w:firstLine="480" w:firstLineChars="200"/>
        <w:rPr>
          <w:rFonts w:ascii="Times New Roman" w:hAnsi="Times New Roman"/>
          <w:sz w:val="24"/>
        </w:rPr>
      </w:pPr>
      <w:r>
        <w:rPr>
          <w:rFonts w:hint="eastAsia" w:ascii="Times New Roman" w:hAnsi="Times New Roman"/>
          <w:sz w:val="24"/>
        </w:rPr>
        <w:t>联系人：朱科</w:t>
      </w:r>
    </w:p>
    <w:p w14:paraId="00814037">
      <w:pPr>
        <w:spacing w:line="360" w:lineRule="auto"/>
        <w:ind w:firstLine="480" w:firstLineChars="200"/>
        <w:rPr>
          <w:rFonts w:ascii="Times New Roman" w:hAnsi="Times New Roman"/>
          <w:sz w:val="24"/>
        </w:rPr>
      </w:pPr>
      <w:r>
        <w:rPr>
          <w:rFonts w:hint="eastAsia" w:ascii="Times New Roman" w:hAnsi="Times New Roman"/>
          <w:sz w:val="24"/>
        </w:rPr>
        <w:t>联系电话：025-85576003-1112</w:t>
      </w:r>
    </w:p>
    <w:p w14:paraId="2F5A6439">
      <w:pPr>
        <w:spacing w:line="360" w:lineRule="auto"/>
        <w:ind w:firstLine="480" w:firstLineChars="200"/>
        <w:rPr>
          <w:rFonts w:ascii="Times New Roman" w:hAnsi="Times New Roman"/>
          <w:sz w:val="24"/>
        </w:rPr>
      </w:pPr>
      <w:r>
        <w:rPr>
          <w:rFonts w:ascii="Times New Roman" w:hAnsi="Times New Roman"/>
          <w:sz w:val="24"/>
        </w:rPr>
        <w:t>8.2采购代理机构信息</w:t>
      </w:r>
    </w:p>
    <w:p w14:paraId="39C39ABA">
      <w:pPr>
        <w:spacing w:line="360" w:lineRule="auto"/>
        <w:ind w:firstLine="480" w:firstLineChars="200"/>
        <w:rPr>
          <w:rFonts w:ascii="Times New Roman" w:hAnsi="Times New Roman"/>
          <w:sz w:val="24"/>
        </w:rPr>
      </w:pPr>
      <w:r>
        <w:rPr>
          <w:rFonts w:ascii="Times New Roman" w:hAnsi="Times New Roman"/>
          <w:sz w:val="24"/>
        </w:rPr>
        <w:t>名</w:t>
      </w:r>
      <w:r>
        <w:rPr>
          <w:rFonts w:hint="eastAsia" w:ascii="Times New Roman" w:hAnsi="Times New Roman"/>
          <w:sz w:val="24"/>
        </w:rPr>
        <w:t xml:space="preserve">  </w:t>
      </w:r>
      <w:r>
        <w:rPr>
          <w:rFonts w:ascii="Times New Roman" w:hAnsi="Times New Roman"/>
          <w:sz w:val="24"/>
        </w:rPr>
        <w:t>称：南京越鑫项目管理咨询有限公司</w:t>
      </w:r>
    </w:p>
    <w:p w14:paraId="20139801">
      <w:pPr>
        <w:spacing w:line="360" w:lineRule="auto"/>
        <w:ind w:firstLine="480" w:firstLineChars="200"/>
        <w:rPr>
          <w:rFonts w:ascii="Times New Roman" w:hAnsi="Times New Roman"/>
          <w:sz w:val="24"/>
        </w:rPr>
      </w:pPr>
      <w:r>
        <w:rPr>
          <w:rFonts w:ascii="Times New Roman" w:hAnsi="Times New Roman"/>
          <w:sz w:val="24"/>
        </w:rPr>
        <w:t>地</w:t>
      </w:r>
      <w:r>
        <w:rPr>
          <w:rFonts w:hint="eastAsia" w:ascii="Times New Roman" w:hAnsi="Times New Roman"/>
          <w:sz w:val="24"/>
        </w:rPr>
        <w:t xml:space="preserve">  </w:t>
      </w:r>
      <w:r>
        <w:rPr>
          <w:rFonts w:ascii="Times New Roman" w:hAnsi="Times New Roman"/>
          <w:sz w:val="24"/>
        </w:rPr>
        <w:t>址：</w:t>
      </w:r>
      <w:r>
        <w:rPr>
          <w:rFonts w:hint="eastAsia" w:ascii="Times New Roman" w:hAnsi="Times New Roman"/>
          <w:sz w:val="24"/>
        </w:rPr>
        <w:t>南京市江宁区绿都大道31号都荟天地城C4幢508室</w:t>
      </w:r>
    </w:p>
    <w:p w14:paraId="2ABB2E50">
      <w:pPr>
        <w:spacing w:line="360" w:lineRule="auto"/>
        <w:ind w:firstLine="480" w:firstLineChars="200"/>
        <w:rPr>
          <w:rFonts w:ascii="Times New Roman" w:hAnsi="Times New Roman"/>
          <w:sz w:val="24"/>
        </w:rPr>
      </w:pPr>
      <w:r>
        <w:rPr>
          <w:rFonts w:ascii="Times New Roman" w:hAnsi="Times New Roman"/>
          <w:sz w:val="24"/>
        </w:rPr>
        <w:t>联系人：</w:t>
      </w:r>
      <w:r>
        <w:rPr>
          <w:rFonts w:hint="eastAsia" w:ascii="Times New Roman" w:hAnsi="Times New Roman"/>
          <w:sz w:val="24"/>
        </w:rPr>
        <w:t>邢工</w:t>
      </w:r>
    </w:p>
    <w:p w14:paraId="69EC85A2">
      <w:pPr>
        <w:spacing w:line="360" w:lineRule="auto"/>
        <w:ind w:firstLine="480" w:firstLineChars="200"/>
        <w:rPr>
          <w:rFonts w:ascii="Times New Roman" w:hAnsi="Times New Roman"/>
          <w:sz w:val="24"/>
        </w:rPr>
      </w:pPr>
      <w:r>
        <w:rPr>
          <w:rFonts w:ascii="Times New Roman" w:hAnsi="Times New Roman"/>
          <w:sz w:val="24"/>
        </w:rPr>
        <w:t>联系电话：</w:t>
      </w:r>
      <w:r>
        <w:rPr>
          <w:rFonts w:hint="eastAsia" w:ascii="Times New Roman" w:hAnsi="Times New Roman"/>
          <w:sz w:val="24"/>
        </w:rPr>
        <w:t>13814140456</w:t>
      </w:r>
    </w:p>
    <w:p w14:paraId="751A1760">
      <w:pPr>
        <w:widowControl/>
        <w:jc w:val="left"/>
      </w:pPr>
      <w:r>
        <w:br w:type="page"/>
      </w:r>
    </w:p>
    <w:p w14:paraId="6527BAE8">
      <w:pPr>
        <w:spacing w:after="156" w:afterLines="50" w:line="360" w:lineRule="auto"/>
        <w:jc w:val="center"/>
        <w:outlineLvl w:val="0"/>
        <w:rPr>
          <w:rFonts w:hint="eastAsia" w:ascii="华文中宋" w:hAnsi="华文中宋" w:eastAsia="华文中宋"/>
          <w:b/>
          <w:bCs/>
          <w:sz w:val="32"/>
          <w:szCs w:val="32"/>
        </w:rPr>
      </w:pPr>
      <w:bookmarkStart w:id="12" w:name="_Toc171512430"/>
      <w:bookmarkStart w:id="13" w:name="_Toc171605450"/>
      <w:bookmarkStart w:id="14" w:name="_Toc155687984"/>
      <w:r>
        <w:rPr>
          <w:rFonts w:hint="eastAsia" w:ascii="华文中宋" w:hAnsi="华文中宋" w:eastAsia="华文中宋"/>
          <w:b/>
          <w:bCs/>
          <w:sz w:val="32"/>
          <w:szCs w:val="32"/>
        </w:rPr>
        <w:t>第二章</w:t>
      </w:r>
      <w:r>
        <w:rPr>
          <w:rFonts w:ascii="华文中宋" w:hAnsi="华文中宋" w:eastAsia="华文中宋"/>
          <w:b/>
          <w:bCs/>
          <w:sz w:val="32"/>
          <w:szCs w:val="32"/>
        </w:rPr>
        <w:t xml:space="preserve">  </w:t>
      </w:r>
      <w:r>
        <w:rPr>
          <w:rFonts w:hint="eastAsia" w:ascii="华文中宋" w:hAnsi="华文中宋" w:eastAsia="华文中宋"/>
          <w:b/>
          <w:bCs/>
          <w:sz w:val="32"/>
          <w:szCs w:val="32"/>
        </w:rPr>
        <w:t>供应商须知</w:t>
      </w:r>
      <w:bookmarkEnd w:id="12"/>
      <w:bookmarkEnd w:id="13"/>
      <w:bookmarkEnd w:id="14"/>
    </w:p>
    <w:p w14:paraId="403A45A0">
      <w:pPr>
        <w:spacing w:line="360" w:lineRule="auto"/>
        <w:jc w:val="center"/>
        <w:rPr>
          <w:b/>
          <w:bCs/>
          <w:sz w:val="24"/>
          <w:szCs w:val="32"/>
        </w:rPr>
      </w:pPr>
      <w:r>
        <w:rPr>
          <w:rFonts w:hint="eastAsia"/>
          <w:b/>
          <w:bCs/>
          <w:sz w:val="24"/>
          <w:szCs w:val="32"/>
        </w:rPr>
        <w:t>（参加竞争性磋商的供应商以下简称“磋商供应商”）</w:t>
      </w:r>
    </w:p>
    <w:p w14:paraId="168DE1D2">
      <w:pPr>
        <w:jc w:val="center"/>
        <w:outlineLvl w:val="1"/>
        <w:rPr>
          <w:b/>
          <w:bCs/>
          <w:sz w:val="28"/>
          <w:szCs w:val="36"/>
        </w:rPr>
      </w:pPr>
      <w:bookmarkStart w:id="15" w:name="_Toc155687985"/>
      <w:bookmarkStart w:id="16" w:name="_Toc171605451"/>
      <w:bookmarkStart w:id="17" w:name="_Toc171512431"/>
      <w:r>
        <w:rPr>
          <w:rFonts w:hint="eastAsia"/>
          <w:b/>
          <w:bCs/>
          <w:sz w:val="28"/>
          <w:szCs w:val="36"/>
        </w:rPr>
        <w:t>一、总 则</w:t>
      </w:r>
      <w:bookmarkEnd w:id="15"/>
      <w:bookmarkEnd w:id="16"/>
      <w:bookmarkEnd w:id="17"/>
    </w:p>
    <w:p w14:paraId="5C1CEED5">
      <w:pPr>
        <w:tabs>
          <w:tab w:val="left" w:pos="900"/>
        </w:tabs>
        <w:spacing w:line="360" w:lineRule="auto"/>
        <w:rPr>
          <w:rFonts w:hint="eastAsia" w:ascii="宋体" w:hAnsi="宋体"/>
          <w:b/>
          <w:sz w:val="24"/>
        </w:rPr>
      </w:pPr>
      <w:r>
        <w:rPr>
          <w:rFonts w:hint="eastAsia" w:ascii="Times New Roman" w:hAnsi="Times New Roman"/>
          <w:sz w:val="24"/>
        </w:rPr>
        <w:t>1、</w:t>
      </w:r>
      <w:r>
        <w:rPr>
          <w:rFonts w:hint="eastAsia" w:ascii="宋体" w:hAnsi="宋体"/>
          <w:b/>
          <w:sz w:val="24"/>
        </w:rPr>
        <w:t>适用范围</w:t>
      </w:r>
    </w:p>
    <w:p w14:paraId="157CDF2A">
      <w:pPr>
        <w:tabs>
          <w:tab w:val="left" w:pos="900"/>
        </w:tabs>
        <w:spacing w:line="360" w:lineRule="auto"/>
        <w:rPr>
          <w:rFonts w:ascii="Times New Roman" w:hAnsi="Times New Roman"/>
          <w:sz w:val="24"/>
        </w:rPr>
      </w:pPr>
      <w:r>
        <w:rPr>
          <w:rFonts w:ascii="Times New Roman" w:hAnsi="Times New Roman"/>
          <w:sz w:val="24"/>
        </w:rPr>
        <w:t>1.1本竞争性磋商文件（以下简称磋商文件）仅适用此项目。</w:t>
      </w:r>
    </w:p>
    <w:p w14:paraId="728A1690">
      <w:pPr>
        <w:tabs>
          <w:tab w:val="left" w:pos="900"/>
        </w:tabs>
        <w:spacing w:line="360" w:lineRule="auto"/>
        <w:rPr>
          <w:rFonts w:ascii="Times New Roman" w:hAnsi="Times New Roman"/>
          <w:sz w:val="24"/>
        </w:rPr>
      </w:pPr>
      <w:r>
        <w:rPr>
          <w:rFonts w:ascii="Times New Roman" w:hAnsi="Times New Roman"/>
          <w:sz w:val="24"/>
        </w:rPr>
        <w:t>1.2本项目为非政府采购项目，参考政府采购相关规定实施采购。</w:t>
      </w:r>
    </w:p>
    <w:p w14:paraId="4D4847DA">
      <w:pPr>
        <w:tabs>
          <w:tab w:val="left" w:pos="900"/>
        </w:tabs>
        <w:spacing w:line="360" w:lineRule="auto"/>
        <w:rPr>
          <w:rFonts w:ascii="Times New Roman" w:hAnsi="Times New Roman"/>
          <w:sz w:val="24"/>
        </w:rPr>
      </w:pPr>
      <w:r>
        <w:rPr>
          <w:rFonts w:ascii="Times New Roman" w:hAnsi="Times New Roman"/>
          <w:sz w:val="24"/>
        </w:rPr>
        <w:t>1.3如本项目按照项目分包，则须分别确定各分包成交供应商。</w:t>
      </w:r>
    </w:p>
    <w:p w14:paraId="68F9579A">
      <w:pPr>
        <w:tabs>
          <w:tab w:val="left" w:pos="900"/>
        </w:tabs>
        <w:spacing w:line="360" w:lineRule="auto"/>
        <w:rPr>
          <w:rFonts w:hint="eastAsia" w:ascii="宋体" w:hAnsi="宋体"/>
          <w:b/>
          <w:sz w:val="24"/>
        </w:rPr>
      </w:pPr>
      <w:r>
        <w:rPr>
          <w:rFonts w:ascii="Times New Roman" w:hAnsi="Times New Roman"/>
          <w:b/>
          <w:sz w:val="24"/>
        </w:rPr>
        <w:t>2、</w:t>
      </w:r>
      <w:r>
        <w:rPr>
          <w:rFonts w:hint="eastAsia" w:ascii="宋体" w:hAnsi="宋体"/>
          <w:b/>
          <w:sz w:val="24"/>
        </w:rPr>
        <w:t>项目采购方式</w:t>
      </w:r>
    </w:p>
    <w:p w14:paraId="40A28DE1">
      <w:pPr>
        <w:tabs>
          <w:tab w:val="left" w:pos="900"/>
        </w:tabs>
        <w:spacing w:line="360" w:lineRule="auto"/>
        <w:rPr>
          <w:rFonts w:hint="eastAsia" w:ascii="宋体" w:hAnsi="宋体"/>
          <w:sz w:val="24"/>
        </w:rPr>
      </w:pPr>
      <w:r>
        <w:rPr>
          <w:rFonts w:ascii="Times New Roman" w:hAnsi="Times New Roman"/>
          <w:sz w:val="24"/>
        </w:rPr>
        <w:t>2.1</w:t>
      </w:r>
      <w:r>
        <w:rPr>
          <w:rFonts w:hint="eastAsia" w:ascii="宋体" w:hAnsi="宋体"/>
          <w:sz w:val="24"/>
        </w:rPr>
        <w:t>本次采购采取竞争性磋商的方式。</w:t>
      </w:r>
    </w:p>
    <w:p w14:paraId="3729CFE6">
      <w:pPr>
        <w:tabs>
          <w:tab w:val="left" w:pos="900"/>
        </w:tabs>
        <w:spacing w:line="360" w:lineRule="auto"/>
        <w:rPr>
          <w:rFonts w:hint="eastAsia" w:ascii="宋体" w:hAnsi="宋体"/>
          <w:b/>
          <w:sz w:val="24"/>
        </w:rPr>
      </w:pPr>
      <w:r>
        <w:rPr>
          <w:rFonts w:hint="eastAsia" w:ascii="Times New Roman" w:hAnsi="Times New Roman"/>
          <w:b/>
          <w:sz w:val="24"/>
        </w:rPr>
        <w:t>3、</w:t>
      </w:r>
      <w:r>
        <w:rPr>
          <w:rFonts w:hint="eastAsia" w:ascii="宋体" w:hAnsi="宋体"/>
          <w:b/>
          <w:sz w:val="24"/>
        </w:rPr>
        <w:t>合格的磋商供应商</w:t>
      </w:r>
    </w:p>
    <w:p w14:paraId="5A197841">
      <w:pPr>
        <w:tabs>
          <w:tab w:val="left" w:pos="900"/>
        </w:tabs>
        <w:spacing w:line="360" w:lineRule="auto"/>
        <w:rPr>
          <w:rFonts w:hint="eastAsia" w:ascii="宋体" w:hAnsi="宋体"/>
          <w:sz w:val="24"/>
        </w:rPr>
      </w:pPr>
      <w:r>
        <w:rPr>
          <w:rFonts w:hint="eastAsia" w:ascii="Times New Roman" w:hAnsi="Times New Roman"/>
          <w:sz w:val="24"/>
        </w:rPr>
        <w:t>3.1</w:t>
      </w:r>
      <w:r>
        <w:rPr>
          <w:rFonts w:hint="eastAsia" w:ascii="宋体" w:hAnsi="宋体"/>
          <w:sz w:val="24"/>
        </w:rPr>
        <w:t>满足本磋商文件“采购邀请”中供应商资格要求的规定。</w:t>
      </w:r>
    </w:p>
    <w:p w14:paraId="1E273D51">
      <w:pPr>
        <w:tabs>
          <w:tab w:val="left" w:pos="900"/>
        </w:tabs>
        <w:spacing w:line="360" w:lineRule="auto"/>
        <w:rPr>
          <w:rFonts w:hint="eastAsia" w:ascii="宋体" w:hAnsi="宋体"/>
          <w:sz w:val="24"/>
        </w:rPr>
      </w:pPr>
      <w:r>
        <w:rPr>
          <w:rFonts w:hint="eastAsia" w:ascii="Times New Roman" w:hAnsi="Times New Roman"/>
          <w:sz w:val="24"/>
        </w:rPr>
        <w:t>3.2</w:t>
      </w:r>
      <w:r>
        <w:rPr>
          <w:rFonts w:hint="eastAsia" w:ascii="宋体" w:hAnsi="宋体"/>
          <w:sz w:val="24"/>
        </w:rPr>
        <w:t>满足本磋商文件实质性要求的规定。</w:t>
      </w:r>
    </w:p>
    <w:p w14:paraId="62680EE3">
      <w:pPr>
        <w:tabs>
          <w:tab w:val="left" w:pos="900"/>
        </w:tabs>
        <w:spacing w:line="360" w:lineRule="auto"/>
        <w:rPr>
          <w:rFonts w:hint="eastAsia" w:ascii="宋体" w:hAnsi="宋体"/>
          <w:b/>
          <w:sz w:val="24"/>
        </w:rPr>
      </w:pPr>
      <w:r>
        <w:rPr>
          <w:rFonts w:ascii="Times New Roman" w:hAnsi="Times New Roman"/>
          <w:b/>
          <w:sz w:val="24"/>
        </w:rPr>
        <w:t>4、</w:t>
      </w:r>
      <w:r>
        <w:rPr>
          <w:rFonts w:hint="eastAsia" w:ascii="宋体" w:hAnsi="宋体"/>
          <w:b/>
          <w:sz w:val="24"/>
        </w:rPr>
        <w:t>参加磋商费用</w:t>
      </w:r>
    </w:p>
    <w:p w14:paraId="4D0FF8B9">
      <w:pPr>
        <w:tabs>
          <w:tab w:val="left" w:pos="900"/>
        </w:tabs>
        <w:spacing w:line="360" w:lineRule="auto"/>
        <w:rPr>
          <w:rFonts w:hint="eastAsia" w:ascii="宋体" w:hAnsi="宋体"/>
          <w:sz w:val="24"/>
        </w:rPr>
      </w:pPr>
      <w:r>
        <w:rPr>
          <w:rFonts w:hint="eastAsia" w:ascii="Times New Roman" w:hAnsi="Times New Roman"/>
          <w:sz w:val="24"/>
        </w:rPr>
        <w:t>4.1</w:t>
      </w:r>
      <w:r>
        <w:rPr>
          <w:rFonts w:hint="eastAsia" w:ascii="宋体" w:hAnsi="宋体"/>
          <w:sz w:val="24"/>
        </w:rPr>
        <w:t>参加磋商供应商应自行承担所有与参加磋商有关的费用。不论最终的成交结果如何，南京越鑫项目管理咨询有限公司（以下简称代理机构）在任何情况下均无义务和责任承担这些费用。</w:t>
      </w:r>
    </w:p>
    <w:p w14:paraId="78C5BE60">
      <w:pPr>
        <w:tabs>
          <w:tab w:val="left" w:pos="900"/>
        </w:tabs>
        <w:spacing w:line="360" w:lineRule="auto"/>
        <w:rPr>
          <w:rFonts w:hint="eastAsia" w:ascii="宋体" w:hAnsi="宋体"/>
          <w:sz w:val="24"/>
        </w:rPr>
      </w:pPr>
      <w:r>
        <w:rPr>
          <w:rFonts w:hint="eastAsia" w:ascii="Times New Roman" w:hAnsi="Times New Roman"/>
          <w:sz w:val="24"/>
        </w:rPr>
        <w:t>4.2</w:t>
      </w:r>
      <w:r>
        <w:rPr>
          <w:rFonts w:hint="eastAsia" w:ascii="宋体" w:hAnsi="宋体"/>
          <w:sz w:val="24"/>
        </w:rPr>
        <w:t>本次磋商采购收取磋商文件工本费、代理服务费。</w:t>
      </w:r>
      <w:r>
        <w:rPr>
          <w:rFonts w:ascii="Times New Roman" w:hAnsi="Times New Roman"/>
          <w:sz w:val="24"/>
        </w:rPr>
        <w:t>本项目代理服务费以</w:t>
      </w:r>
      <w:r>
        <w:rPr>
          <w:rFonts w:hint="eastAsia" w:ascii="Times New Roman" w:hAnsi="Times New Roman"/>
          <w:sz w:val="24"/>
        </w:rPr>
        <w:t>三年合计</w:t>
      </w:r>
      <w:r>
        <w:rPr>
          <w:rFonts w:ascii="Times New Roman" w:hAnsi="Times New Roman"/>
          <w:sz w:val="24"/>
        </w:rPr>
        <w:t>成交金额为基础，参照</w:t>
      </w:r>
      <w:r>
        <w:rPr>
          <w:rFonts w:asciiTheme="minorEastAsia" w:hAnsiTheme="minorEastAsia" w:eastAsiaTheme="minorEastAsia"/>
          <w:sz w:val="24"/>
        </w:rPr>
        <w:t>“计价格</w:t>
      </w:r>
      <w:r>
        <w:rPr>
          <w:rFonts w:ascii="Times New Roman" w:hAnsi="Times New Roman"/>
          <w:sz w:val="24"/>
          <w:szCs w:val="28"/>
          <w:lang w:eastAsia="zh-Hans"/>
        </w:rPr>
        <w:t>〔20</w:t>
      </w:r>
      <w:r>
        <w:rPr>
          <w:rFonts w:ascii="Times New Roman" w:hAnsi="Times New Roman"/>
          <w:sz w:val="24"/>
          <w:szCs w:val="28"/>
        </w:rPr>
        <w:t>02</w:t>
      </w:r>
      <w:r>
        <w:rPr>
          <w:rFonts w:ascii="Times New Roman" w:hAnsi="Times New Roman"/>
          <w:sz w:val="24"/>
          <w:szCs w:val="28"/>
          <w:lang w:eastAsia="zh-Hans"/>
        </w:rPr>
        <w:t>〕</w:t>
      </w:r>
      <w:r>
        <w:rPr>
          <w:rFonts w:ascii="Times New Roman" w:hAnsi="Times New Roman"/>
          <w:sz w:val="24"/>
        </w:rPr>
        <w:t>1980号</w:t>
      </w:r>
      <w:r>
        <w:rPr>
          <w:rFonts w:hint="eastAsia" w:ascii="Times New Roman" w:hAnsi="Times New Roman"/>
          <w:sz w:val="24"/>
        </w:rPr>
        <w:t>”</w:t>
      </w:r>
      <w:r>
        <w:rPr>
          <w:rFonts w:ascii="Times New Roman" w:hAnsi="Times New Roman"/>
          <w:sz w:val="24"/>
        </w:rPr>
        <w:t>文件和</w:t>
      </w:r>
      <w:r>
        <w:rPr>
          <w:rFonts w:hint="eastAsia" w:ascii="Times New Roman" w:hAnsi="Times New Roman"/>
          <w:sz w:val="24"/>
        </w:rPr>
        <w:t>“</w:t>
      </w:r>
      <w:r>
        <w:rPr>
          <w:rFonts w:ascii="Times New Roman" w:hAnsi="Times New Roman"/>
          <w:sz w:val="24"/>
        </w:rPr>
        <w:t>发改委</w:t>
      </w:r>
      <w:r>
        <w:rPr>
          <w:rFonts w:ascii="Times New Roman" w:hAnsi="Times New Roman"/>
          <w:sz w:val="24"/>
          <w:szCs w:val="28"/>
          <w:lang w:eastAsia="zh-Hans"/>
        </w:rPr>
        <w:t>〔20</w:t>
      </w:r>
      <w:r>
        <w:rPr>
          <w:rFonts w:ascii="Times New Roman" w:hAnsi="Times New Roman"/>
          <w:sz w:val="24"/>
          <w:szCs w:val="28"/>
        </w:rPr>
        <w:t>03</w:t>
      </w:r>
      <w:r>
        <w:rPr>
          <w:rFonts w:ascii="Times New Roman" w:hAnsi="Times New Roman"/>
          <w:sz w:val="24"/>
          <w:szCs w:val="28"/>
          <w:lang w:eastAsia="zh-Hans"/>
        </w:rPr>
        <w:t>〕</w:t>
      </w:r>
      <w:r>
        <w:rPr>
          <w:rFonts w:ascii="Times New Roman" w:hAnsi="Times New Roman"/>
          <w:sz w:val="24"/>
        </w:rPr>
        <w:t>857号</w:t>
      </w:r>
      <w:r>
        <w:rPr>
          <w:rFonts w:hint="eastAsia" w:ascii="Times New Roman" w:hAnsi="Times New Roman"/>
          <w:sz w:val="24"/>
        </w:rPr>
        <w:t>”</w:t>
      </w:r>
      <w:r>
        <w:rPr>
          <w:rFonts w:ascii="Times New Roman" w:hAnsi="Times New Roman"/>
          <w:sz w:val="24"/>
        </w:rPr>
        <w:t>文件收费标准的8</w:t>
      </w:r>
      <w:r>
        <w:rPr>
          <w:rFonts w:hint="eastAsia" w:ascii="Times New Roman" w:hAnsi="Times New Roman"/>
          <w:sz w:val="24"/>
        </w:rPr>
        <w:t>2</w:t>
      </w:r>
      <w:r>
        <w:rPr>
          <w:rFonts w:ascii="Times New Roman" w:hAnsi="Times New Roman"/>
          <w:sz w:val="24"/>
        </w:rPr>
        <w:t>%收取，如计算出的代理服务费低于</w:t>
      </w:r>
      <w:r>
        <w:rPr>
          <w:rFonts w:hint="eastAsia" w:ascii="Times New Roman" w:hAnsi="Times New Roman"/>
          <w:sz w:val="24"/>
        </w:rPr>
        <w:t>3300</w:t>
      </w:r>
      <w:r>
        <w:rPr>
          <w:rFonts w:ascii="Times New Roman" w:hAnsi="Times New Roman"/>
          <w:sz w:val="24"/>
        </w:rPr>
        <w:t>元的，则按</w:t>
      </w:r>
      <w:r>
        <w:rPr>
          <w:rFonts w:hint="eastAsia" w:ascii="Times New Roman" w:hAnsi="Times New Roman"/>
          <w:sz w:val="24"/>
        </w:rPr>
        <w:t>3300</w:t>
      </w:r>
      <w:r>
        <w:rPr>
          <w:rFonts w:ascii="Times New Roman" w:hAnsi="Times New Roman"/>
          <w:sz w:val="24"/>
        </w:rPr>
        <w:t>元收取。</w:t>
      </w:r>
      <w:r>
        <w:rPr>
          <w:rFonts w:hint="eastAsia" w:ascii="宋体" w:hAnsi="宋体"/>
          <w:sz w:val="24"/>
        </w:rPr>
        <w:t>代理服务费由成交供应商在领取成交通知书时向代理机构缴纳。</w:t>
      </w:r>
    </w:p>
    <w:p w14:paraId="55255BAA">
      <w:pPr>
        <w:tabs>
          <w:tab w:val="left" w:pos="900"/>
        </w:tabs>
        <w:spacing w:line="360" w:lineRule="auto"/>
        <w:rPr>
          <w:rFonts w:hint="eastAsia" w:ascii="宋体" w:hAnsi="宋体"/>
          <w:b/>
          <w:sz w:val="24"/>
        </w:rPr>
      </w:pPr>
      <w:r>
        <w:rPr>
          <w:rFonts w:hint="eastAsia" w:ascii="Times New Roman" w:hAnsi="Times New Roman"/>
          <w:b/>
          <w:sz w:val="24"/>
        </w:rPr>
        <w:t>5、</w:t>
      </w:r>
      <w:r>
        <w:rPr>
          <w:rFonts w:hint="eastAsia" w:ascii="宋体" w:hAnsi="宋体"/>
          <w:b/>
          <w:sz w:val="24"/>
        </w:rPr>
        <w:t>磋商文件的约束力</w:t>
      </w:r>
    </w:p>
    <w:p w14:paraId="153A6D17">
      <w:pPr>
        <w:tabs>
          <w:tab w:val="left" w:pos="900"/>
        </w:tabs>
        <w:spacing w:line="360" w:lineRule="auto"/>
        <w:rPr>
          <w:rFonts w:hint="eastAsia" w:ascii="宋体" w:hAnsi="宋体"/>
          <w:sz w:val="24"/>
        </w:rPr>
      </w:pPr>
      <w:r>
        <w:rPr>
          <w:rFonts w:hint="eastAsia" w:ascii="Times New Roman" w:hAnsi="Times New Roman"/>
          <w:sz w:val="24"/>
        </w:rPr>
        <w:t>5.1</w:t>
      </w:r>
      <w:r>
        <w:rPr>
          <w:rFonts w:hint="eastAsia" w:ascii="宋体" w:hAnsi="宋体"/>
          <w:sz w:val="24"/>
        </w:rPr>
        <w:t>供应商一旦获取了本磋商文件并决定参加磋商，即被认为接受了本磋商文件的规定和约束，并且视为自竞争性磋商公告期限届满之日起已经知道或应当知道自身权益是否受到了损害。</w:t>
      </w:r>
    </w:p>
    <w:p w14:paraId="7D77C725">
      <w:pPr>
        <w:tabs>
          <w:tab w:val="left" w:pos="900"/>
        </w:tabs>
        <w:spacing w:line="360" w:lineRule="auto"/>
        <w:rPr>
          <w:rFonts w:hint="eastAsia" w:ascii="宋体" w:hAnsi="宋体"/>
          <w:b/>
          <w:sz w:val="24"/>
        </w:rPr>
      </w:pPr>
      <w:r>
        <w:rPr>
          <w:rFonts w:hint="eastAsia" w:ascii="Times New Roman" w:hAnsi="Times New Roman"/>
          <w:b/>
          <w:sz w:val="24"/>
        </w:rPr>
        <w:t>6、</w:t>
      </w:r>
      <w:r>
        <w:rPr>
          <w:rFonts w:hint="eastAsia" w:ascii="宋体" w:hAnsi="宋体"/>
          <w:b/>
          <w:sz w:val="24"/>
        </w:rPr>
        <w:t>磋商文件的澄清及修改</w:t>
      </w:r>
    </w:p>
    <w:p w14:paraId="771FD4B1">
      <w:pPr>
        <w:tabs>
          <w:tab w:val="left" w:pos="900"/>
        </w:tabs>
        <w:spacing w:line="360" w:lineRule="auto"/>
        <w:rPr>
          <w:rFonts w:hint="eastAsia" w:ascii="宋体" w:hAnsi="宋体"/>
          <w:sz w:val="24"/>
        </w:rPr>
      </w:pPr>
      <w:r>
        <w:rPr>
          <w:rFonts w:hint="eastAsia" w:ascii="Times New Roman" w:hAnsi="Times New Roman"/>
          <w:sz w:val="24"/>
        </w:rPr>
        <w:t>6.1</w:t>
      </w:r>
      <w:r>
        <w:rPr>
          <w:rFonts w:hint="eastAsia" w:ascii="宋体" w:hAnsi="宋体"/>
          <w:sz w:val="24"/>
        </w:rPr>
        <w:t>任何要求对磋商文件进行澄清的供应商，均应在提交首次响应文件截止时间</w:t>
      </w:r>
      <w:r>
        <w:rPr>
          <w:rFonts w:ascii="Times New Roman" w:hAnsi="Times New Roman"/>
          <w:sz w:val="24"/>
        </w:rPr>
        <w:t>5</w:t>
      </w:r>
      <w:r>
        <w:rPr>
          <w:rFonts w:hint="eastAsia" w:ascii="宋体" w:hAnsi="宋体"/>
          <w:sz w:val="24"/>
        </w:rPr>
        <w:t>日前按采购邀请中的通讯地址，以书面形式通知代理机构。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w:t>
      </w:r>
      <w:r>
        <w:rPr>
          <w:rFonts w:hint="eastAsia" w:ascii="Times New Roman" w:hAnsi="Times New Roman"/>
          <w:sz w:val="24"/>
        </w:rPr>
        <w:t>5</w:t>
      </w:r>
      <w:r>
        <w:rPr>
          <w:rFonts w:hint="eastAsia" w:ascii="宋体" w:hAnsi="宋体"/>
          <w:sz w:val="24"/>
        </w:rPr>
        <w:t>日前，在本项目原磋商公告发布媒体上发布书面更正公告形式通知所有获取磋商文件的供应商。不足</w:t>
      </w:r>
      <w:r>
        <w:rPr>
          <w:rFonts w:ascii="Times New Roman" w:hAnsi="Times New Roman"/>
          <w:sz w:val="24"/>
        </w:rPr>
        <w:t>5</w:t>
      </w:r>
      <w:r>
        <w:rPr>
          <w:rFonts w:hint="eastAsia" w:ascii="宋体" w:hAnsi="宋体"/>
          <w:sz w:val="24"/>
        </w:rPr>
        <w:t>日的，代理机构应当顺延提交首次响应文件截止时间。</w:t>
      </w:r>
    </w:p>
    <w:p w14:paraId="1B2F8D0E">
      <w:pPr>
        <w:tabs>
          <w:tab w:val="left" w:pos="900"/>
        </w:tabs>
        <w:spacing w:line="360" w:lineRule="auto"/>
        <w:rPr>
          <w:rFonts w:hint="eastAsia" w:ascii="宋体" w:hAnsi="宋体"/>
          <w:sz w:val="24"/>
        </w:rPr>
      </w:pPr>
      <w:r>
        <w:rPr>
          <w:rFonts w:hint="eastAsia" w:ascii="Times New Roman" w:hAnsi="Times New Roman"/>
          <w:sz w:val="24"/>
        </w:rPr>
        <w:t>6.2</w:t>
      </w:r>
      <w:r>
        <w:rPr>
          <w:rFonts w:hint="eastAsia" w:ascii="宋体" w:hAnsi="宋体"/>
          <w:sz w:val="24"/>
        </w:rPr>
        <w:t>代理机构可以视采购项目的具体情况，组织供应商进行现场考察或召开磋商前答疑会，但不单独或分别组织只有一个供应商参加的现场考察和答疑会。</w:t>
      </w:r>
    </w:p>
    <w:p w14:paraId="0A430437">
      <w:pPr>
        <w:jc w:val="center"/>
        <w:outlineLvl w:val="1"/>
        <w:rPr>
          <w:b/>
          <w:bCs/>
          <w:sz w:val="28"/>
          <w:szCs w:val="36"/>
        </w:rPr>
      </w:pPr>
      <w:bookmarkStart w:id="18" w:name="_Toc171512432"/>
      <w:bookmarkStart w:id="19" w:name="_Toc171605452"/>
      <w:bookmarkStart w:id="20" w:name="_Toc155687986"/>
      <w:r>
        <w:rPr>
          <w:rFonts w:hint="eastAsia"/>
          <w:b/>
          <w:bCs/>
          <w:sz w:val="28"/>
          <w:szCs w:val="36"/>
        </w:rPr>
        <w:t>二、磋商响应文件的编制及保证金收取</w:t>
      </w:r>
      <w:bookmarkEnd w:id="18"/>
      <w:bookmarkEnd w:id="19"/>
      <w:bookmarkEnd w:id="20"/>
    </w:p>
    <w:p w14:paraId="48057950">
      <w:pPr>
        <w:tabs>
          <w:tab w:val="left" w:pos="900"/>
        </w:tabs>
        <w:spacing w:line="360" w:lineRule="auto"/>
        <w:rPr>
          <w:rFonts w:hint="eastAsia" w:ascii="宋体" w:hAnsi="宋体"/>
          <w:b/>
          <w:sz w:val="24"/>
        </w:rPr>
      </w:pPr>
      <w:r>
        <w:rPr>
          <w:rFonts w:ascii="Times New Roman" w:hAnsi="Times New Roman"/>
          <w:b/>
          <w:sz w:val="24"/>
        </w:rPr>
        <w:t>7、</w:t>
      </w:r>
      <w:r>
        <w:rPr>
          <w:rFonts w:hint="eastAsia" w:ascii="宋体" w:hAnsi="宋体"/>
          <w:b/>
          <w:sz w:val="24"/>
        </w:rPr>
        <w:t>磋商响应文件的份数和签署</w:t>
      </w:r>
    </w:p>
    <w:p w14:paraId="150BC8E8">
      <w:pPr>
        <w:tabs>
          <w:tab w:val="left" w:pos="900"/>
        </w:tabs>
        <w:spacing w:line="360" w:lineRule="auto"/>
        <w:rPr>
          <w:rFonts w:hint="eastAsia" w:ascii="宋体" w:hAnsi="宋体"/>
          <w:sz w:val="24"/>
        </w:rPr>
      </w:pPr>
      <w:r>
        <w:rPr>
          <w:rFonts w:ascii="Times New Roman" w:hAnsi="Times New Roman"/>
          <w:sz w:val="24"/>
        </w:rPr>
        <w:t>7.1</w:t>
      </w:r>
      <w:r>
        <w:rPr>
          <w:rFonts w:hint="eastAsia" w:ascii="宋体" w:hAnsi="宋体"/>
          <w:sz w:val="24"/>
        </w:rPr>
        <w:t>磋商供应商应严格按照采购邀请要求的份数准备磋商响应文件（以下简称响应文件），每份响应文件须清楚地标明“正本”或“副本”字样，一旦正本和副本不符，以正本为准。</w:t>
      </w:r>
    </w:p>
    <w:p w14:paraId="002733C4">
      <w:pPr>
        <w:spacing w:line="360" w:lineRule="auto"/>
        <w:rPr>
          <w:rFonts w:hint="eastAsia" w:ascii="宋体" w:hAnsi="宋体"/>
          <w:sz w:val="24"/>
        </w:rPr>
      </w:pPr>
      <w:r>
        <w:rPr>
          <w:rFonts w:hint="eastAsia" w:ascii="Times New Roman" w:hAnsi="Times New Roman"/>
          <w:sz w:val="24"/>
        </w:rPr>
        <w:t>7</w:t>
      </w:r>
      <w:r>
        <w:rPr>
          <w:rFonts w:ascii="Times New Roman" w:hAnsi="Times New Roman"/>
          <w:sz w:val="24"/>
        </w:rPr>
        <w:t>.2</w:t>
      </w:r>
      <w:r>
        <w:rPr>
          <w:rFonts w:hint="eastAsia" w:ascii="宋体" w:hAnsi="宋体"/>
          <w:sz w:val="24"/>
        </w:rPr>
        <w:t>响应文件的正本和所有的副本均需打印或复印。响应文件正本中，除磋商文件规定的可提交复印件外，其他文件均须提交原件，文字材料需打印或用不褪色墨水书写，响应文件正本须加盖磋商供应商公章。本磋商文件所表述（指定）的公章是指刻有供应商法定名称的印章，不包括合同、财务、税务、发票等形式的业务专用章。</w:t>
      </w:r>
    </w:p>
    <w:p w14:paraId="7AF9A49D">
      <w:pPr>
        <w:tabs>
          <w:tab w:val="left" w:pos="900"/>
        </w:tabs>
        <w:spacing w:line="360" w:lineRule="auto"/>
        <w:rPr>
          <w:rFonts w:hint="eastAsia" w:ascii="宋体" w:hAnsi="宋体"/>
          <w:sz w:val="24"/>
        </w:rPr>
      </w:pPr>
      <w:r>
        <w:rPr>
          <w:rFonts w:ascii="Times New Roman" w:hAnsi="Times New Roman"/>
          <w:sz w:val="24"/>
        </w:rPr>
        <w:t>7</w:t>
      </w:r>
      <w:r>
        <w:rPr>
          <w:rFonts w:hint="eastAsia" w:ascii="Times New Roman" w:hAnsi="Times New Roman"/>
          <w:sz w:val="24"/>
        </w:rPr>
        <w:t>.</w:t>
      </w:r>
      <w:r>
        <w:rPr>
          <w:rFonts w:ascii="Times New Roman" w:hAnsi="Times New Roman"/>
          <w:sz w:val="24"/>
        </w:rPr>
        <w:t>3</w:t>
      </w:r>
      <w:r>
        <w:rPr>
          <w:rFonts w:hint="eastAsia" w:ascii="宋体" w:hAnsi="宋体"/>
          <w:sz w:val="24"/>
        </w:rPr>
        <w:t>除磋商供应商对错处做必要修改外，响应文件不得行间插字、涂改或增删。如有修改错漏处，必须由响应文件签署人签字或盖章。</w:t>
      </w:r>
    </w:p>
    <w:p w14:paraId="562D2700">
      <w:pPr>
        <w:tabs>
          <w:tab w:val="left" w:pos="900"/>
        </w:tabs>
        <w:spacing w:line="360" w:lineRule="auto"/>
        <w:rPr>
          <w:rFonts w:hint="eastAsia" w:ascii="宋体" w:hAnsi="宋体"/>
          <w:b/>
          <w:sz w:val="24"/>
        </w:rPr>
      </w:pPr>
      <w:r>
        <w:rPr>
          <w:rFonts w:ascii="Times New Roman" w:hAnsi="Times New Roman"/>
          <w:b/>
          <w:sz w:val="24"/>
        </w:rPr>
        <w:t>8、</w:t>
      </w:r>
      <w:r>
        <w:rPr>
          <w:rFonts w:hint="eastAsia" w:ascii="宋体" w:hAnsi="宋体"/>
          <w:b/>
          <w:sz w:val="24"/>
        </w:rPr>
        <w:t>响应文件的语言及度量衡单位</w:t>
      </w:r>
    </w:p>
    <w:p w14:paraId="1D3E1EEB">
      <w:pPr>
        <w:tabs>
          <w:tab w:val="left" w:pos="900"/>
        </w:tabs>
        <w:spacing w:line="360" w:lineRule="auto"/>
        <w:rPr>
          <w:rFonts w:hint="eastAsia" w:ascii="宋体" w:hAnsi="宋体"/>
          <w:sz w:val="24"/>
        </w:rPr>
      </w:pPr>
      <w:r>
        <w:rPr>
          <w:rFonts w:ascii="Times New Roman" w:hAnsi="Times New Roman"/>
          <w:sz w:val="24"/>
        </w:rPr>
        <w:t>8.1</w:t>
      </w:r>
      <w:r>
        <w:rPr>
          <w:rFonts w:hint="eastAsia" w:ascii="宋体" w:hAnsi="宋体"/>
          <w:sz w:val="24"/>
        </w:rPr>
        <w:t>磋商供应商提交的响应文件以及磋商供应商与代理机构及采购人就有关磋商的所有来往函电均应使用简体中文。磋商文件中既有中文也有外文的，以中文意义为准。</w:t>
      </w:r>
    </w:p>
    <w:p w14:paraId="7334D0C5">
      <w:pPr>
        <w:tabs>
          <w:tab w:val="left" w:pos="900"/>
        </w:tabs>
        <w:spacing w:line="360" w:lineRule="auto"/>
        <w:rPr>
          <w:rFonts w:hint="eastAsia" w:ascii="宋体" w:hAnsi="宋体"/>
          <w:sz w:val="24"/>
        </w:rPr>
      </w:pPr>
      <w:r>
        <w:rPr>
          <w:rFonts w:ascii="Times New Roman" w:hAnsi="Times New Roman"/>
          <w:sz w:val="24"/>
        </w:rPr>
        <w:t>8</w:t>
      </w:r>
      <w:r>
        <w:rPr>
          <w:rFonts w:hint="eastAsia" w:ascii="Times New Roman" w:hAnsi="Times New Roman"/>
          <w:sz w:val="24"/>
        </w:rPr>
        <w:t>.2</w:t>
      </w:r>
      <w:r>
        <w:rPr>
          <w:rFonts w:hint="eastAsia" w:ascii="宋体" w:hAnsi="宋体"/>
          <w:sz w:val="24"/>
        </w:rPr>
        <w:t>除技术性能另有规定外，响应文件所使用的度量衡单位，均须采用国家法定计量单位。</w:t>
      </w:r>
    </w:p>
    <w:p w14:paraId="4C3A06A2">
      <w:pPr>
        <w:tabs>
          <w:tab w:val="left" w:pos="900"/>
        </w:tabs>
        <w:spacing w:line="360" w:lineRule="auto"/>
        <w:rPr>
          <w:rFonts w:hint="eastAsia" w:ascii="宋体" w:hAnsi="宋体"/>
          <w:b/>
          <w:sz w:val="24"/>
        </w:rPr>
      </w:pPr>
      <w:r>
        <w:rPr>
          <w:rFonts w:ascii="Times New Roman" w:hAnsi="Times New Roman"/>
          <w:b/>
          <w:sz w:val="24"/>
        </w:rPr>
        <w:t>9</w:t>
      </w:r>
      <w:r>
        <w:rPr>
          <w:rFonts w:hint="eastAsia" w:ascii="Times New Roman" w:hAnsi="Times New Roman"/>
          <w:b/>
          <w:sz w:val="24"/>
        </w:rPr>
        <w:t>、</w:t>
      </w:r>
      <w:r>
        <w:rPr>
          <w:rFonts w:hint="eastAsia" w:ascii="宋体" w:hAnsi="宋体"/>
          <w:b/>
          <w:sz w:val="24"/>
        </w:rPr>
        <w:t>参加磋商供应商资格的文件证明</w:t>
      </w:r>
    </w:p>
    <w:p w14:paraId="691D526F">
      <w:pPr>
        <w:tabs>
          <w:tab w:val="left" w:pos="900"/>
        </w:tabs>
        <w:spacing w:line="360" w:lineRule="auto"/>
        <w:rPr>
          <w:rFonts w:hint="eastAsia" w:ascii="宋体" w:hAnsi="宋体"/>
          <w:sz w:val="24"/>
        </w:rPr>
      </w:pPr>
      <w:r>
        <w:rPr>
          <w:rFonts w:ascii="Times New Roman" w:hAnsi="Times New Roman"/>
          <w:sz w:val="24"/>
        </w:rPr>
        <w:t>9</w:t>
      </w:r>
      <w:r>
        <w:rPr>
          <w:rFonts w:hint="eastAsia" w:ascii="Times New Roman" w:hAnsi="Times New Roman"/>
          <w:sz w:val="24"/>
        </w:rPr>
        <w:t>.1</w:t>
      </w:r>
      <w:r>
        <w:rPr>
          <w:rFonts w:hint="eastAsia" w:ascii="宋体" w:hAnsi="宋体"/>
          <w:sz w:val="24"/>
        </w:rPr>
        <w:t>磋商供应商应提交证明其有资格参加磋商和成交后有能力独立履行合同的文件，并作为其响应文件的一部分。</w:t>
      </w:r>
    </w:p>
    <w:p w14:paraId="24F06782">
      <w:pPr>
        <w:tabs>
          <w:tab w:val="left" w:pos="900"/>
        </w:tabs>
        <w:spacing w:line="360" w:lineRule="auto"/>
        <w:rPr>
          <w:rFonts w:hint="eastAsia" w:ascii="宋体" w:hAnsi="宋体"/>
          <w:sz w:val="24"/>
        </w:rPr>
      </w:pPr>
      <w:r>
        <w:rPr>
          <w:rFonts w:ascii="Times New Roman" w:hAnsi="Times New Roman"/>
          <w:sz w:val="24"/>
        </w:rPr>
        <w:t>9.2</w:t>
      </w:r>
      <w:r>
        <w:rPr>
          <w:rFonts w:hint="eastAsia" w:ascii="宋体" w:hAnsi="宋体"/>
          <w:sz w:val="24"/>
        </w:rPr>
        <w:t>磋商供应商除必须具有履行合同所需提供的设备以及服务的能力外，还必须具备相应的财务、技术方面的能力。</w:t>
      </w:r>
    </w:p>
    <w:p w14:paraId="35BFB161">
      <w:pPr>
        <w:tabs>
          <w:tab w:val="left" w:pos="900"/>
        </w:tabs>
        <w:spacing w:line="360" w:lineRule="auto"/>
        <w:rPr>
          <w:rFonts w:hint="eastAsia" w:ascii="宋体" w:hAnsi="宋体"/>
          <w:sz w:val="24"/>
        </w:rPr>
      </w:pPr>
      <w:r>
        <w:rPr>
          <w:rFonts w:ascii="Times New Roman" w:hAnsi="Times New Roman"/>
          <w:sz w:val="24"/>
        </w:rPr>
        <w:t>9</w:t>
      </w:r>
      <w:r>
        <w:rPr>
          <w:rFonts w:hint="eastAsia" w:ascii="Times New Roman" w:hAnsi="Times New Roman"/>
          <w:sz w:val="24"/>
        </w:rPr>
        <w:t>.3</w:t>
      </w:r>
      <w:r>
        <w:rPr>
          <w:rFonts w:hint="eastAsia" w:ascii="宋体" w:hAnsi="宋体"/>
          <w:sz w:val="24"/>
        </w:rPr>
        <w:t>磋商供应商应填写并提交磋商文件所附的“资格证明文件”。</w:t>
      </w:r>
    </w:p>
    <w:p w14:paraId="1604B733">
      <w:pPr>
        <w:tabs>
          <w:tab w:val="left" w:pos="900"/>
        </w:tabs>
        <w:spacing w:line="360" w:lineRule="auto"/>
        <w:rPr>
          <w:rFonts w:hint="eastAsia" w:ascii="宋体" w:hAnsi="宋体"/>
          <w:b/>
          <w:sz w:val="24"/>
        </w:rPr>
      </w:pPr>
      <w:r>
        <w:rPr>
          <w:rFonts w:ascii="宋体" w:hAnsi="宋体"/>
          <w:b/>
          <w:sz w:val="24"/>
        </w:rPr>
        <w:t>10</w:t>
      </w:r>
      <w:r>
        <w:rPr>
          <w:rFonts w:hint="eastAsia" w:ascii="宋体" w:hAnsi="宋体"/>
          <w:b/>
          <w:sz w:val="24"/>
        </w:rPr>
        <w:t>、磋商响应报价表</w:t>
      </w:r>
    </w:p>
    <w:p w14:paraId="4DF4D4A7">
      <w:pPr>
        <w:tabs>
          <w:tab w:val="left" w:pos="900"/>
        </w:tabs>
        <w:spacing w:line="360" w:lineRule="auto"/>
        <w:rPr>
          <w:rFonts w:hint="eastAsia" w:ascii="宋体" w:hAnsi="宋体"/>
          <w:sz w:val="24"/>
        </w:rPr>
      </w:pPr>
      <w:r>
        <w:rPr>
          <w:rFonts w:ascii="Times New Roman" w:hAnsi="Times New Roman"/>
          <w:sz w:val="24"/>
        </w:rPr>
        <w:t>10</w:t>
      </w:r>
      <w:r>
        <w:rPr>
          <w:rFonts w:hint="eastAsia" w:ascii="Times New Roman" w:hAnsi="Times New Roman"/>
          <w:sz w:val="24"/>
        </w:rPr>
        <w:t>.1</w:t>
      </w:r>
      <w:r>
        <w:rPr>
          <w:rFonts w:hint="eastAsia" w:ascii="宋体" w:hAnsi="宋体"/>
          <w:sz w:val="24"/>
        </w:rPr>
        <w:t>磋商</w:t>
      </w:r>
      <w:bookmarkStart w:id="21" w:name="_Hlk155685098"/>
      <w:r>
        <w:rPr>
          <w:rFonts w:hint="eastAsia" w:ascii="宋体" w:hAnsi="宋体"/>
          <w:sz w:val="24"/>
        </w:rPr>
        <w:t>供应商</w:t>
      </w:r>
      <w:bookmarkEnd w:id="21"/>
      <w:r>
        <w:rPr>
          <w:rFonts w:hint="eastAsia" w:ascii="宋体" w:hAnsi="宋体"/>
          <w:sz w:val="24"/>
        </w:rPr>
        <w:t>应按照磋商文件规定格式填报磋商响应报价表（含分项报价）。每项产品或服务只允许有一个报价，任何有选择的报价将不予接受，磋商文件中另有规定的按规定执行。</w:t>
      </w:r>
    </w:p>
    <w:p w14:paraId="448EDC31">
      <w:pPr>
        <w:tabs>
          <w:tab w:val="left" w:pos="900"/>
        </w:tabs>
        <w:spacing w:line="360" w:lineRule="auto"/>
        <w:rPr>
          <w:rFonts w:hint="eastAsia" w:ascii="宋体" w:hAnsi="宋体"/>
          <w:sz w:val="24"/>
        </w:rPr>
      </w:pPr>
      <w:r>
        <w:rPr>
          <w:rFonts w:ascii="Times New Roman" w:hAnsi="Times New Roman"/>
          <w:sz w:val="24"/>
        </w:rPr>
        <w:t>10</w:t>
      </w:r>
      <w:r>
        <w:rPr>
          <w:rFonts w:hint="eastAsia" w:ascii="Times New Roman" w:hAnsi="Times New Roman"/>
          <w:sz w:val="24"/>
        </w:rPr>
        <w:t>.2</w:t>
      </w:r>
      <w:r>
        <w:rPr>
          <w:rFonts w:hint="eastAsia" w:ascii="宋体" w:hAnsi="宋体"/>
          <w:sz w:val="24"/>
        </w:rPr>
        <w:t>标的物</w:t>
      </w:r>
    </w:p>
    <w:p w14:paraId="37A20F41">
      <w:pPr>
        <w:tabs>
          <w:tab w:val="left" w:pos="900"/>
        </w:tabs>
        <w:spacing w:line="360" w:lineRule="auto"/>
        <w:rPr>
          <w:rFonts w:hint="eastAsia" w:ascii="宋体" w:hAnsi="宋体"/>
          <w:sz w:val="24"/>
        </w:rPr>
      </w:pPr>
      <w:r>
        <w:rPr>
          <w:rFonts w:hint="eastAsia" w:ascii="宋体" w:hAnsi="宋体"/>
          <w:sz w:val="24"/>
        </w:rPr>
        <w:t>详见项目需求。</w:t>
      </w:r>
    </w:p>
    <w:p w14:paraId="5F300714">
      <w:pPr>
        <w:tabs>
          <w:tab w:val="left" w:pos="900"/>
        </w:tabs>
        <w:spacing w:line="360" w:lineRule="auto"/>
        <w:rPr>
          <w:rFonts w:hint="eastAsia" w:ascii="宋体" w:hAnsi="宋体"/>
          <w:sz w:val="24"/>
        </w:rPr>
      </w:pPr>
      <w:r>
        <w:rPr>
          <w:rFonts w:ascii="Times New Roman" w:hAnsi="Times New Roman"/>
          <w:sz w:val="24"/>
        </w:rPr>
        <w:t>10</w:t>
      </w:r>
      <w:r>
        <w:rPr>
          <w:rFonts w:hint="eastAsia" w:ascii="Times New Roman" w:hAnsi="Times New Roman"/>
          <w:sz w:val="24"/>
        </w:rPr>
        <w:t>.3</w:t>
      </w:r>
      <w:r>
        <w:rPr>
          <w:rFonts w:hint="eastAsia" w:ascii="宋体" w:hAnsi="宋体"/>
          <w:sz w:val="24"/>
        </w:rPr>
        <w:t>有关费用处理</w:t>
      </w:r>
    </w:p>
    <w:p w14:paraId="508C7BA2">
      <w:pPr>
        <w:tabs>
          <w:tab w:val="left" w:pos="900"/>
        </w:tabs>
        <w:spacing w:line="360" w:lineRule="auto"/>
        <w:rPr>
          <w:rFonts w:hint="eastAsia" w:ascii="宋体" w:hAnsi="宋体"/>
          <w:sz w:val="24"/>
        </w:rPr>
      </w:pPr>
      <w:r>
        <w:rPr>
          <w:rFonts w:hint="eastAsia" w:ascii="宋体" w:hAnsi="宋体"/>
          <w:sz w:val="24"/>
        </w:rPr>
        <w:t>本次采购磋商供应商的报价采用总承包方式。参与磋商供应商的报价应包括所响应服务费用、产品费用、安装调试费、测试验收费、培训费、运行维护费用、税金、代理服务费及其他有关的为完成本项目发生的所有费用，磋商文件中另有规定的除外。</w:t>
      </w:r>
    </w:p>
    <w:p w14:paraId="386FC8DF">
      <w:pPr>
        <w:tabs>
          <w:tab w:val="left" w:pos="900"/>
        </w:tabs>
        <w:spacing w:line="360" w:lineRule="auto"/>
        <w:rPr>
          <w:rFonts w:hint="eastAsia" w:ascii="宋体" w:hAnsi="宋体"/>
          <w:sz w:val="24"/>
        </w:rPr>
      </w:pPr>
      <w:r>
        <w:rPr>
          <w:rFonts w:ascii="Times New Roman" w:hAnsi="Times New Roman"/>
          <w:sz w:val="24"/>
        </w:rPr>
        <w:t>10</w:t>
      </w:r>
      <w:r>
        <w:rPr>
          <w:rFonts w:hint="eastAsia" w:ascii="Times New Roman" w:hAnsi="Times New Roman"/>
          <w:sz w:val="24"/>
        </w:rPr>
        <w:t>.4</w:t>
      </w:r>
      <w:r>
        <w:rPr>
          <w:rFonts w:hint="eastAsia" w:ascii="宋体" w:hAnsi="宋体"/>
          <w:sz w:val="24"/>
        </w:rPr>
        <w:t>其它费用处理</w:t>
      </w:r>
    </w:p>
    <w:p w14:paraId="3379F6BE">
      <w:pPr>
        <w:tabs>
          <w:tab w:val="left" w:pos="900"/>
        </w:tabs>
        <w:spacing w:line="360" w:lineRule="auto"/>
        <w:rPr>
          <w:rFonts w:hint="eastAsia" w:ascii="宋体" w:hAnsi="宋体"/>
          <w:sz w:val="24"/>
        </w:rPr>
      </w:pPr>
      <w:r>
        <w:rPr>
          <w:rFonts w:hint="eastAsia" w:ascii="宋体" w:hAnsi="宋体"/>
          <w:sz w:val="24"/>
        </w:rPr>
        <w:t>磋商文件未列明，而磋商供应商认为必须的费用也须列入报价。</w:t>
      </w:r>
    </w:p>
    <w:p w14:paraId="68FBA7CB">
      <w:pPr>
        <w:tabs>
          <w:tab w:val="left" w:pos="900"/>
        </w:tabs>
        <w:spacing w:line="360" w:lineRule="auto"/>
        <w:rPr>
          <w:rFonts w:hint="eastAsia" w:ascii="宋体" w:hAnsi="宋体"/>
          <w:sz w:val="24"/>
        </w:rPr>
      </w:pPr>
      <w:r>
        <w:rPr>
          <w:rFonts w:ascii="Times New Roman" w:hAnsi="Times New Roman"/>
          <w:sz w:val="24"/>
        </w:rPr>
        <w:t>10</w:t>
      </w:r>
      <w:r>
        <w:rPr>
          <w:rFonts w:hint="eastAsia" w:ascii="Times New Roman" w:hAnsi="Times New Roman"/>
          <w:sz w:val="24"/>
        </w:rPr>
        <w:t>.5</w:t>
      </w:r>
      <w:r>
        <w:rPr>
          <w:rFonts w:hint="eastAsia" w:ascii="宋体" w:hAnsi="宋体"/>
          <w:sz w:val="24"/>
        </w:rPr>
        <w:t>报价采用的货币</w:t>
      </w:r>
    </w:p>
    <w:p w14:paraId="19610F9C">
      <w:pPr>
        <w:tabs>
          <w:tab w:val="left" w:pos="900"/>
        </w:tabs>
        <w:spacing w:line="360" w:lineRule="auto"/>
        <w:rPr>
          <w:rFonts w:hint="eastAsia" w:ascii="宋体" w:hAnsi="宋体"/>
          <w:sz w:val="24"/>
        </w:rPr>
      </w:pPr>
      <w:r>
        <w:rPr>
          <w:rFonts w:hint="eastAsia" w:ascii="宋体" w:hAnsi="宋体"/>
          <w:sz w:val="24"/>
        </w:rPr>
        <w:t>响应文件中的单价和总价，无特殊规定的采用人民币报价，以元或万元为单位标注。磋商文件中另有规定的按规定执行。</w:t>
      </w:r>
    </w:p>
    <w:p w14:paraId="3BA086A0">
      <w:pPr>
        <w:tabs>
          <w:tab w:val="left" w:pos="900"/>
        </w:tabs>
        <w:spacing w:line="360" w:lineRule="auto"/>
        <w:rPr>
          <w:rFonts w:hint="eastAsia" w:ascii="宋体" w:hAnsi="宋体"/>
          <w:sz w:val="24"/>
        </w:rPr>
      </w:pPr>
      <w:r>
        <w:rPr>
          <w:rFonts w:ascii="Times New Roman" w:hAnsi="Times New Roman"/>
          <w:sz w:val="24"/>
        </w:rPr>
        <w:t>10</w:t>
      </w:r>
      <w:r>
        <w:rPr>
          <w:rFonts w:hint="eastAsia" w:ascii="Times New Roman" w:hAnsi="Times New Roman"/>
          <w:sz w:val="24"/>
        </w:rPr>
        <w:t>.6</w:t>
      </w:r>
      <w:r>
        <w:rPr>
          <w:rFonts w:hint="eastAsia" w:ascii="宋体" w:hAnsi="宋体"/>
          <w:sz w:val="24"/>
        </w:rPr>
        <w:t>磋商响应报价表上的价格应按磋商文件规定填写。</w:t>
      </w:r>
    </w:p>
    <w:p w14:paraId="18596F62">
      <w:pPr>
        <w:tabs>
          <w:tab w:val="left" w:pos="900"/>
        </w:tabs>
        <w:spacing w:line="360" w:lineRule="auto"/>
        <w:rPr>
          <w:rFonts w:hint="eastAsia" w:ascii="宋体" w:hAnsi="宋体"/>
          <w:b/>
          <w:sz w:val="24"/>
        </w:rPr>
      </w:pPr>
      <w:r>
        <w:rPr>
          <w:rFonts w:ascii="Times New Roman" w:hAnsi="Times New Roman"/>
          <w:b/>
          <w:bCs/>
          <w:sz w:val="24"/>
        </w:rPr>
        <w:t>11</w:t>
      </w:r>
      <w:r>
        <w:rPr>
          <w:rFonts w:hint="eastAsia" w:ascii="Times New Roman" w:hAnsi="Times New Roman"/>
          <w:b/>
          <w:bCs/>
          <w:sz w:val="24"/>
        </w:rPr>
        <w:t>、</w:t>
      </w:r>
      <w:r>
        <w:rPr>
          <w:rFonts w:hint="eastAsia" w:ascii="宋体" w:hAnsi="宋体"/>
          <w:b/>
          <w:sz w:val="24"/>
        </w:rPr>
        <w:t>项目需求响应方案</w:t>
      </w:r>
    </w:p>
    <w:p w14:paraId="3A12D27A">
      <w:pPr>
        <w:tabs>
          <w:tab w:val="left" w:pos="900"/>
        </w:tabs>
        <w:spacing w:line="360" w:lineRule="auto"/>
        <w:rPr>
          <w:rFonts w:hint="eastAsia" w:ascii="宋体" w:hAnsi="宋体"/>
          <w:sz w:val="24"/>
        </w:rPr>
      </w:pPr>
      <w:r>
        <w:rPr>
          <w:rFonts w:ascii="Times New Roman" w:hAnsi="Times New Roman"/>
          <w:sz w:val="24"/>
        </w:rPr>
        <w:t>11</w:t>
      </w:r>
      <w:r>
        <w:rPr>
          <w:rFonts w:hint="eastAsia" w:ascii="Times New Roman" w:hAnsi="Times New Roman"/>
          <w:sz w:val="24"/>
        </w:rPr>
        <w:t>.1</w:t>
      </w:r>
      <w:r>
        <w:rPr>
          <w:rFonts w:hint="eastAsia" w:ascii="宋体" w:hAnsi="宋体"/>
          <w:sz w:val="24"/>
        </w:rPr>
        <w:t>提供为完成本项目的总体实施方案。</w:t>
      </w:r>
    </w:p>
    <w:p w14:paraId="7F215DEB">
      <w:pPr>
        <w:tabs>
          <w:tab w:val="left" w:pos="900"/>
        </w:tabs>
        <w:spacing w:line="360" w:lineRule="auto"/>
        <w:rPr>
          <w:rFonts w:hint="eastAsia" w:ascii="宋体" w:hAnsi="宋体"/>
          <w:sz w:val="24"/>
        </w:rPr>
      </w:pPr>
      <w:r>
        <w:rPr>
          <w:rFonts w:ascii="Times New Roman" w:hAnsi="Times New Roman"/>
          <w:sz w:val="24"/>
        </w:rPr>
        <w:t>11</w:t>
      </w:r>
      <w:r>
        <w:rPr>
          <w:rFonts w:hint="eastAsia" w:ascii="Times New Roman" w:hAnsi="Times New Roman"/>
          <w:sz w:val="24"/>
        </w:rPr>
        <w:t>.2</w:t>
      </w:r>
      <w:r>
        <w:rPr>
          <w:rFonts w:hint="eastAsia" w:ascii="宋体" w:hAnsi="宋体"/>
          <w:sz w:val="24"/>
        </w:rPr>
        <w:t>对磋商文件中项目需求的技术与商务条款要求逐项作出应答，并提供依据或说明。</w:t>
      </w:r>
    </w:p>
    <w:p w14:paraId="3E1D0B24">
      <w:pPr>
        <w:tabs>
          <w:tab w:val="left" w:pos="900"/>
        </w:tabs>
        <w:spacing w:line="360" w:lineRule="auto"/>
        <w:rPr>
          <w:rFonts w:hint="eastAsia" w:ascii="宋体" w:hAnsi="宋体"/>
          <w:sz w:val="24"/>
        </w:rPr>
      </w:pPr>
      <w:r>
        <w:rPr>
          <w:rFonts w:ascii="Times New Roman" w:hAnsi="Times New Roman"/>
          <w:sz w:val="24"/>
        </w:rPr>
        <w:t>11</w:t>
      </w:r>
      <w:r>
        <w:rPr>
          <w:rFonts w:hint="eastAsia" w:ascii="Times New Roman" w:hAnsi="Times New Roman"/>
          <w:sz w:val="24"/>
        </w:rPr>
        <w:t>.3</w:t>
      </w:r>
      <w:r>
        <w:rPr>
          <w:rFonts w:hint="eastAsia" w:ascii="宋体" w:hAnsi="宋体"/>
          <w:sz w:val="24"/>
        </w:rPr>
        <w:t>磋商供应商认为需要的其他技术文件或说明。</w:t>
      </w:r>
    </w:p>
    <w:p w14:paraId="7B4126D6">
      <w:pPr>
        <w:tabs>
          <w:tab w:val="left" w:pos="900"/>
        </w:tabs>
        <w:spacing w:line="360" w:lineRule="auto"/>
        <w:rPr>
          <w:rFonts w:hint="eastAsia" w:ascii="宋体" w:hAnsi="宋体"/>
          <w:b/>
          <w:sz w:val="24"/>
        </w:rPr>
      </w:pPr>
      <w:r>
        <w:rPr>
          <w:rFonts w:ascii="Times New Roman" w:hAnsi="Times New Roman"/>
          <w:b/>
          <w:sz w:val="24"/>
        </w:rPr>
        <w:t>12、</w:t>
      </w:r>
      <w:r>
        <w:rPr>
          <w:rFonts w:hint="eastAsia" w:ascii="宋体" w:hAnsi="宋体"/>
          <w:b/>
          <w:sz w:val="24"/>
        </w:rPr>
        <w:t>磋商保证金（如果收取）</w:t>
      </w:r>
    </w:p>
    <w:p w14:paraId="0D7BD9E1">
      <w:pPr>
        <w:tabs>
          <w:tab w:val="left" w:pos="900"/>
        </w:tabs>
        <w:spacing w:line="360" w:lineRule="auto"/>
        <w:rPr>
          <w:rFonts w:hint="eastAsia" w:ascii="宋体" w:hAnsi="宋体"/>
          <w:sz w:val="24"/>
        </w:rPr>
      </w:pPr>
      <w:r>
        <w:rPr>
          <w:rFonts w:ascii="Times New Roman" w:hAnsi="Times New Roman"/>
          <w:sz w:val="24"/>
        </w:rPr>
        <w:t>12</w:t>
      </w:r>
      <w:r>
        <w:rPr>
          <w:rFonts w:hint="eastAsia" w:ascii="Times New Roman" w:hAnsi="Times New Roman"/>
          <w:sz w:val="24"/>
        </w:rPr>
        <w:t>.1</w:t>
      </w:r>
      <w:r>
        <w:rPr>
          <w:rFonts w:hint="eastAsia" w:ascii="宋体" w:hAnsi="宋体"/>
          <w:sz w:val="24"/>
        </w:rPr>
        <w:t>磋商保证金是为了保护采购人免遭因磋商供应商的行为而蒙受的损失，采购人因磋商供应商的行为受到损害时，代理机构可根据相关规定处理。</w:t>
      </w:r>
    </w:p>
    <w:p w14:paraId="63624336">
      <w:pPr>
        <w:tabs>
          <w:tab w:val="left" w:pos="900"/>
        </w:tabs>
        <w:spacing w:line="360" w:lineRule="auto"/>
        <w:rPr>
          <w:rFonts w:hint="eastAsia" w:ascii="宋体" w:hAnsi="宋体"/>
          <w:sz w:val="24"/>
        </w:rPr>
      </w:pPr>
      <w:r>
        <w:rPr>
          <w:rFonts w:ascii="Times New Roman" w:hAnsi="Times New Roman"/>
          <w:sz w:val="24"/>
        </w:rPr>
        <w:t>12</w:t>
      </w:r>
      <w:r>
        <w:rPr>
          <w:rFonts w:hint="eastAsia" w:ascii="Times New Roman" w:hAnsi="Times New Roman"/>
          <w:sz w:val="24"/>
        </w:rPr>
        <w:t>.2</w:t>
      </w:r>
      <w:r>
        <w:rPr>
          <w:rFonts w:hint="eastAsia" w:ascii="宋体" w:hAnsi="宋体"/>
          <w:sz w:val="24"/>
        </w:rPr>
        <w:t>参加磋商采购所需交纳的保证金必须是人民币，磋商保证金的交纳形式见采购邀请。</w:t>
      </w:r>
    </w:p>
    <w:p w14:paraId="4BB94A7B">
      <w:pPr>
        <w:tabs>
          <w:tab w:val="left" w:pos="900"/>
        </w:tabs>
        <w:spacing w:line="360" w:lineRule="auto"/>
        <w:rPr>
          <w:rFonts w:ascii="Times New Roman" w:hAnsi="Times New Roman"/>
          <w:sz w:val="24"/>
        </w:rPr>
      </w:pPr>
      <w:r>
        <w:rPr>
          <w:rFonts w:ascii="Times New Roman" w:hAnsi="Times New Roman"/>
          <w:sz w:val="24"/>
        </w:rPr>
        <w:t>12.3在磋商时，对在响应文件递交截止时间以前未按磋商文件要求提交磋商保证金的响应文件，代理机构将视其为无效响应文件而予以拒绝。</w:t>
      </w:r>
    </w:p>
    <w:p w14:paraId="1E6B1EB0">
      <w:pPr>
        <w:tabs>
          <w:tab w:val="left" w:pos="900"/>
        </w:tabs>
        <w:spacing w:line="360" w:lineRule="auto"/>
        <w:rPr>
          <w:rFonts w:ascii="Times New Roman" w:hAnsi="Times New Roman"/>
          <w:sz w:val="24"/>
        </w:rPr>
      </w:pPr>
      <w:r>
        <w:rPr>
          <w:rFonts w:ascii="Times New Roman" w:hAnsi="Times New Roman"/>
          <w:sz w:val="24"/>
        </w:rPr>
        <w:t>12.4未成交供应商的磋商保证金，在成交通知书发出后5个工作日内退还，不计利息。成交供应商的磋商保证金，</w:t>
      </w:r>
      <w:r>
        <w:rPr>
          <w:rFonts w:ascii="Times New Roman" w:hAnsi="Times New Roman"/>
          <w:snapToGrid w:val="0"/>
          <w:kern w:val="0"/>
          <w:sz w:val="24"/>
        </w:rPr>
        <w:t>在采购合同签订后5个工作日内退还</w:t>
      </w:r>
      <w:r>
        <w:rPr>
          <w:rFonts w:ascii="Times New Roman" w:hAnsi="Times New Roman"/>
          <w:sz w:val="24"/>
        </w:rPr>
        <w:t>，不计利息。</w:t>
      </w:r>
    </w:p>
    <w:p w14:paraId="0E84FCCA">
      <w:pPr>
        <w:tabs>
          <w:tab w:val="left" w:pos="900"/>
        </w:tabs>
        <w:spacing w:line="360" w:lineRule="auto"/>
        <w:rPr>
          <w:rFonts w:ascii="Times New Roman" w:hAnsi="Times New Roman"/>
          <w:snapToGrid w:val="0"/>
          <w:kern w:val="0"/>
          <w:sz w:val="24"/>
        </w:rPr>
      </w:pPr>
      <w:r>
        <w:rPr>
          <w:rFonts w:ascii="Times New Roman" w:hAnsi="Times New Roman"/>
          <w:snapToGrid w:val="0"/>
          <w:kern w:val="0"/>
          <w:sz w:val="24"/>
        </w:rPr>
        <w:t>12.5供应商应主动与代理机构联系办理磋商保证金的退还事宜，以及办理退还手续，因供应商自身原因导致无法及时退还的，其责任和由此造成的后果由供应商自行承担。</w:t>
      </w:r>
    </w:p>
    <w:p w14:paraId="1EE2835D">
      <w:pPr>
        <w:tabs>
          <w:tab w:val="left" w:pos="900"/>
        </w:tabs>
        <w:spacing w:line="360" w:lineRule="auto"/>
        <w:rPr>
          <w:rFonts w:ascii="Times New Roman" w:hAnsi="Times New Roman"/>
          <w:sz w:val="24"/>
        </w:rPr>
      </w:pPr>
      <w:r>
        <w:rPr>
          <w:rFonts w:ascii="Times New Roman" w:hAnsi="Times New Roman"/>
          <w:sz w:val="24"/>
        </w:rPr>
        <w:t>12.6下列任何情况发生时，磋商保证金不予退还：</w:t>
      </w:r>
    </w:p>
    <w:p w14:paraId="72D6402D">
      <w:pPr>
        <w:tabs>
          <w:tab w:val="left" w:pos="900"/>
        </w:tabs>
        <w:spacing w:line="360" w:lineRule="auto"/>
        <w:rPr>
          <w:rFonts w:ascii="Times New Roman" w:hAnsi="Times New Roman"/>
          <w:sz w:val="24"/>
        </w:rPr>
      </w:pPr>
      <w:r>
        <w:rPr>
          <w:rFonts w:ascii="Times New Roman" w:hAnsi="Times New Roman"/>
          <w:sz w:val="24"/>
        </w:rPr>
        <w:t>12.6.1磋商供应商在磋商响应有效期内无正当理由撤回其响应文件或者在磋商过程中无正当理由退出磋商活动（磋商供应商在提交最后报价之前退出磋商的除外）；</w:t>
      </w:r>
    </w:p>
    <w:p w14:paraId="206903CC">
      <w:pPr>
        <w:tabs>
          <w:tab w:val="left" w:pos="900"/>
        </w:tabs>
        <w:spacing w:line="360" w:lineRule="auto"/>
        <w:rPr>
          <w:rFonts w:ascii="Times New Roman" w:hAnsi="Times New Roman"/>
          <w:sz w:val="24"/>
        </w:rPr>
      </w:pPr>
      <w:r>
        <w:rPr>
          <w:rFonts w:ascii="Times New Roman" w:hAnsi="Times New Roman"/>
          <w:sz w:val="24"/>
        </w:rPr>
        <w:t>12.6.2为谋取最终成交，磋商供应商在整个磋商过程中提供的相关文件被确认是虚假的、不真实的；</w:t>
      </w:r>
    </w:p>
    <w:p w14:paraId="77C36FEA">
      <w:pPr>
        <w:tabs>
          <w:tab w:val="left" w:pos="900"/>
        </w:tabs>
        <w:spacing w:line="360" w:lineRule="auto"/>
        <w:rPr>
          <w:rFonts w:ascii="Times New Roman" w:hAnsi="Times New Roman"/>
          <w:sz w:val="24"/>
        </w:rPr>
      </w:pPr>
      <w:r>
        <w:rPr>
          <w:rFonts w:ascii="Times New Roman" w:hAnsi="Times New Roman"/>
          <w:sz w:val="24"/>
        </w:rPr>
        <w:t>12.6.3参加磋商的供应商之间被证实有串通、欺诈行为或者恶意进行竞争，影响采购人合法权益的；</w:t>
      </w:r>
    </w:p>
    <w:p w14:paraId="1FA956CD">
      <w:pPr>
        <w:tabs>
          <w:tab w:val="left" w:pos="900"/>
        </w:tabs>
        <w:spacing w:line="360" w:lineRule="auto"/>
        <w:rPr>
          <w:rFonts w:ascii="Times New Roman" w:hAnsi="Times New Roman"/>
          <w:sz w:val="24"/>
        </w:rPr>
      </w:pPr>
      <w:r>
        <w:rPr>
          <w:rFonts w:ascii="Times New Roman" w:hAnsi="Times New Roman"/>
          <w:sz w:val="24"/>
        </w:rPr>
        <w:t>12.6.4整个采购活动中采取不正当手段诋毁、排挤其他供应商的；</w:t>
      </w:r>
    </w:p>
    <w:p w14:paraId="3E73B470">
      <w:pPr>
        <w:tabs>
          <w:tab w:val="left" w:pos="900"/>
        </w:tabs>
        <w:spacing w:line="360" w:lineRule="auto"/>
        <w:rPr>
          <w:rFonts w:ascii="Times New Roman" w:hAnsi="Times New Roman"/>
          <w:sz w:val="24"/>
        </w:rPr>
      </w:pPr>
      <w:r>
        <w:rPr>
          <w:rFonts w:ascii="Times New Roman" w:hAnsi="Times New Roman"/>
          <w:sz w:val="24"/>
        </w:rPr>
        <w:t>12.6.5与采购人、代理机构相关工作人员恶意串通的；</w:t>
      </w:r>
    </w:p>
    <w:p w14:paraId="77DE0ED7">
      <w:pPr>
        <w:tabs>
          <w:tab w:val="left" w:pos="900"/>
        </w:tabs>
        <w:spacing w:line="360" w:lineRule="auto"/>
        <w:rPr>
          <w:rFonts w:ascii="Times New Roman" w:hAnsi="Times New Roman"/>
          <w:sz w:val="24"/>
        </w:rPr>
      </w:pPr>
      <w:r>
        <w:rPr>
          <w:rFonts w:ascii="Times New Roman" w:hAnsi="Times New Roman"/>
          <w:sz w:val="24"/>
        </w:rPr>
        <w:t>12.6.6向采购人、代理机构相关工作人员行贿或者提供其他不正当利益的；</w:t>
      </w:r>
    </w:p>
    <w:p w14:paraId="1CEC4C5D">
      <w:pPr>
        <w:tabs>
          <w:tab w:val="left" w:pos="900"/>
        </w:tabs>
        <w:spacing w:line="360" w:lineRule="auto"/>
        <w:rPr>
          <w:rFonts w:ascii="Times New Roman" w:hAnsi="Times New Roman"/>
          <w:sz w:val="24"/>
        </w:rPr>
      </w:pPr>
      <w:r>
        <w:rPr>
          <w:rFonts w:ascii="Times New Roman" w:hAnsi="Times New Roman"/>
          <w:sz w:val="24"/>
        </w:rPr>
        <w:t>12.6.7成交供应商在规定期限内未能根据规定签订合同；</w:t>
      </w:r>
    </w:p>
    <w:p w14:paraId="303A41CF">
      <w:pPr>
        <w:jc w:val="center"/>
        <w:outlineLvl w:val="1"/>
        <w:rPr>
          <w:b/>
          <w:bCs/>
          <w:sz w:val="28"/>
          <w:szCs w:val="36"/>
        </w:rPr>
      </w:pPr>
      <w:bookmarkStart w:id="22" w:name="_Toc155687987"/>
      <w:bookmarkStart w:id="23" w:name="_Toc171512433"/>
      <w:bookmarkStart w:id="24" w:name="_Toc171605453"/>
      <w:r>
        <w:rPr>
          <w:rFonts w:hint="eastAsia"/>
          <w:b/>
          <w:bCs/>
          <w:sz w:val="28"/>
          <w:szCs w:val="36"/>
        </w:rPr>
        <w:t>三、响应文件的递交</w:t>
      </w:r>
      <w:bookmarkEnd w:id="22"/>
      <w:bookmarkEnd w:id="23"/>
      <w:bookmarkEnd w:id="24"/>
    </w:p>
    <w:p w14:paraId="45FB7A9D">
      <w:pPr>
        <w:tabs>
          <w:tab w:val="left" w:pos="900"/>
        </w:tabs>
        <w:spacing w:line="360" w:lineRule="auto"/>
        <w:rPr>
          <w:rFonts w:ascii="Times New Roman" w:hAnsi="Times New Roman"/>
          <w:b/>
          <w:sz w:val="24"/>
        </w:rPr>
      </w:pPr>
      <w:r>
        <w:rPr>
          <w:rFonts w:ascii="Times New Roman" w:hAnsi="Times New Roman"/>
          <w:b/>
          <w:sz w:val="24"/>
        </w:rPr>
        <w:t>13、响应文件的密封和标记</w:t>
      </w:r>
    </w:p>
    <w:p w14:paraId="5B9BBFC3">
      <w:pPr>
        <w:tabs>
          <w:tab w:val="left" w:pos="900"/>
        </w:tabs>
        <w:spacing w:line="360" w:lineRule="auto"/>
        <w:rPr>
          <w:rFonts w:hint="eastAsia" w:ascii="宋体" w:hAnsi="宋体"/>
          <w:sz w:val="24"/>
        </w:rPr>
      </w:pPr>
      <w:r>
        <w:rPr>
          <w:rFonts w:ascii="Times New Roman" w:hAnsi="Times New Roman"/>
          <w:sz w:val="24"/>
        </w:rPr>
        <w:t>13.1磋商供应商应将响应文件正本和所有副本密封，不论磋商供应商成交与否，响应文件均不退回</w:t>
      </w:r>
      <w:r>
        <w:rPr>
          <w:rFonts w:hint="eastAsia" w:ascii="宋体" w:hAnsi="宋体"/>
          <w:sz w:val="24"/>
        </w:rPr>
        <w:t>。</w:t>
      </w:r>
    </w:p>
    <w:p w14:paraId="011876CF">
      <w:pPr>
        <w:tabs>
          <w:tab w:val="left" w:pos="900"/>
        </w:tabs>
        <w:spacing w:line="360" w:lineRule="auto"/>
        <w:rPr>
          <w:rFonts w:ascii="Times New Roman" w:hAnsi="Times New Roman"/>
          <w:sz w:val="24"/>
        </w:rPr>
      </w:pPr>
      <w:r>
        <w:rPr>
          <w:rFonts w:ascii="Times New Roman" w:hAnsi="Times New Roman"/>
          <w:sz w:val="24"/>
        </w:rPr>
        <w:t>13.2密封的响应文件应：</w:t>
      </w:r>
    </w:p>
    <w:p w14:paraId="229283F2">
      <w:pPr>
        <w:tabs>
          <w:tab w:val="left" w:pos="900"/>
        </w:tabs>
        <w:spacing w:line="360" w:lineRule="auto"/>
        <w:rPr>
          <w:rFonts w:ascii="Times New Roman" w:hAnsi="Times New Roman"/>
          <w:sz w:val="24"/>
        </w:rPr>
      </w:pPr>
      <w:r>
        <w:rPr>
          <w:rFonts w:ascii="Times New Roman" w:hAnsi="Times New Roman"/>
          <w:sz w:val="24"/>
        </w:rPr>
        <w:t>13.2.1按采购邀请中注明的地址送达规定地点；</w:t>
      </w:r>
    </w:p>
    <w:p w14:paraId="69DC9CDA">
      <w:pPr>
        <w:tabs>
          <w:tab w:val="left" w:pos="900"/>
        </w:tabs>
        <w:spacing w:line="360" w:lineRule="auto"/>
        <w:rPr>
          <w:rFonts w:ascii="Times New Roman" w:hAnsi="Times New Roman"/>
          <w:sz w:val="24"/>
        </w:rPr>
      </w:pPr>
      <w:r>
        <w:rPr>
          <w:rFonts w:ascii="Times New Roman" w:hAnsi="Times New Roman"/>
          <w:sz w:val="24"/>
        </w:rPr>
        <w:t>13.2.2注明参加磋商项目名称、磋商文件编号及参加的分包号</w:t>
      </w:r>
      <w:r>
        <w:rPr>
          <w:rFonts w:hint="eastAsia" w:ascii="Times New Roman" w:hAnsi="Times New Roman"/>
          <w:sz w:val="24"/>
        </w:rPr>
        <w:t>（如有）</w:t>
      </w:r>
      <w:r>
        <w:rPr>
          <w:rFonts w:ascii="Times New Roman" w:hAnsi="Times New Roman"/>
          <w:sz w:val="24"/>
        </w:rPr>
        <w:t>；</w:t>
      </w:r>
    </w:p>
    <w:p w14:paraId="4F7A368A">
      <w:pPr>
        <w:tabs>
          <w:tab w:val="left" w:pos="900"/>
        </w:tabs>
        <w:spacing w:line="360" w:lineRule="auto"/>
        <w:rPr>
          <w:rFonts w:ascii="Times New Roman" w:hAnsi="Times New Roman"/>
          <w:sz w:val="24"/>
        </w:rPr>
      </w:pPr>
      <w:r>
        <w:rPr>
          <w:rFonts w:ascii="Times New Roman" w:hAnsi="Times New Roman"/>
          <w:sz w:val="24"/>
        </w:rPr>
        <w:t>13.2.3密封包装上应写明磋商供应商名称和地址。</w:t>
      </w:r>
    </w:p>
    <w:p w14:paraId="1E8B3E7A">
      <w:pPr>
        <w:tabs>
          <w:tab w:val="left" w:pos="900"/>
        </w:tabs>
        <w:spacing w:line="360" w:lineRule="auto"/>
        <w:rPr>
          <w:rFonts w:ascii="Times New Roman" w:hAnsi="Times New Roman"/>
          <w:sz w:val="24"/>
        </w:rPr>
      </w:pPr>
      <w:r>
        <w:rPr>
          <w:rFonts w:ascii="Times New Roman" w:hAnsi="Times New Roman"/>
          <w:sz w:val="24"/>
        </w:rPr>
        <w:t>13.3如果密封包装未按要求密封和加写标记，代理机构对误投或过早启封概不负责。对由此造成提前开封的响应文件，代理机构将予以拒绝，作无效响应处理。</w:t>
      </w:r>
    </w:p>
    <w:p w14:paraId="5EE888D6">
      <w:pPr>
        <w:tabs>
          <w:tab w:val="left" w:pos="900"/>
        </w:tabs>
        <w:spacing w:line="360" w:lineRule="auto"/>
        <w:rPr>
          <w:rFonts w:hint="eastAsia" w:ascii="宋体" w:hAnsi="宋体"/>
          <w:b/>
          <w:sz w:val="24"/>
        </w:rPr>
      </w:pPr>
      <w:r>
        <w:rPr>
          <w:rFonts w:ascii="宋体" w:hAnsi="宋体"/>
          <w:b/>
          <w:sz w:val="24"/>
        </w:rPr>
        <w:t>14</w:t>
      </w:r>
      <w:r>
        <w:rPr>
          <w:rFonts w:hint="eastAsia" w:ascii="宋体" w:hAnsi="宋体"/>
          <w:b/>
          <w:sz w:val="24"/>
        </w:rPr>
        <w:t>、响应文件开启时间</w:t>
      </w:r>
    </w:p>
    <w:p w14:paraId="19D674A1">
      <w:pPr>
        <w:tabs>
          <w:tab w:val="left" w:pos="900"/>
        </w:tabs>
        <w:spacing w:line="360" w:lineRule="auto"/>
        <w:rPr>
          <w:rFonts w:hint="eastAsia" w:ascii="宋体" w:hAnsi="宋体"/>
          <w:sz w:val="24"/>
        </w:rPr>
      </w:pPr>
      <w:r>
        <w:rPr>
          <w:rFonts w:ascii="Times New Roman" w:hAnsi="Times New Roman"/>
          <w:sz w:val="24"/>
        </w:rPr>
        <w:t>14.1</w:t>
      </w:r>
      <w:r>
        <w:rPr>
          <w:rFonts w:hint="eastAsia" w:ascii="宋体" w:hAnsi="宋体"/>
          <w:sz w:val="24"/>
        </w:rPr>
        <w:t>代理机构收到响应文件的时间不得迟于本磋商文件规定的响应文件接收截止时间。</w:t>
      </w:r>
    </w:p>
    <w:p w14:paraId="5344F3C4">
      <w:pPr>
        <w:tabs>
          <w:tab w:val="left" w:pos="900"/>
        </w:tabs>
        <w:spacing w:line="360" w:lineRule="auto"/>
        <w:rPr>
          <w:rFonts w:hint="eastAsia" w:ascii="宋体" w:hAnsi="宋体"/>
          <w:sz w:val="24"/>
        </w:rPr>
      </w:pPr>
      <w:r>
        <w:rPr>
          <w:rFonts w:ascii="Times New Roman" w:hAnsi="Times New Roman"/>
          <w:sz w:val="24"/>
        </w:rPr>
        <w:t>14</w:t>
      </w:r>
      <w:r>
        <w:rPr>
          <w:rFonts w:hint="eastAsia" w:ascii="Times New Roman" w:hAnsi="Times New Roman"/>
          <w:sz w:val="24"/>
        </w:rPr>
        <w:t>.2</w:t>
      </w:r>
      <w:r>
        <w:rPr>
          <w:rFonts w:hint="eastAsia" w:ascii="宋体" w:hAnsi="宋体"/>
          <w:sz w:val="24"/>
        </w:rPr>
        <w:t>代理机构可通过修改磋商文件自行决定酌情推迟响应文件接收截止时间，在此情况下，磋商供应商的所有权利和义务以及受制的响应文件接收截止时间均应以延长后新的响应文件接收截止时间为准。</w:t>
      </w:r>
    </w:p>
    <w:p w14:paraId="174897A6">
      <w:pPr>
        <w:tabs>
          <w:tab w:val="left" w:pos="900"/>
        </w:tabs>
        <w:spacing w:line="360" w:lineRule="auto"/>
        <w:rPr>
          <w:rFonts w:hint="eastAsia" w:ascii="宋体" w:hAnsi="宋体"/>
          <w:b/>
          <w:sz w:val="24"/>
        </w:rPr>
      </w:pPr>
      <w:r>
        <w:rPr>
          <w:rFonts w:ascii="宋体" w:hAnsi="宋体"/>
          <w:b/>
          <w:sz w:val="24"/>
        </w:rPr>
        <w:t>15</w:t>
      </w:r>
      <w:r>
        <w:rPr>
          <w:rFonts w:hint="eastAsia" w:ascii="宋体" w:hAnsi="宋体"/>
          <w:b/>
          <w:sz w:val="24"/>
        </w:rPr>
        <w:t>、响应文件的递交</w:t>
      </w:r>
    </w:p>
    <w:p w14:paraId="56EE6EEE">
      <w:pPr>
        <w:tabs>
          <w:tab w:val="left" w:pos="900"/>
        </w:tabs>
        <w:spacing w:line="360" w:lineRule="auto"/>
        <w:rPr>
          <w:rFonts w:hint="eastAsia" w:ascii="宋体" w:hAnsi="宋体"/>
          <w:sz w:val="24"/>
        </w:rPr>
      </w:pPr>
      <w:r>
        <w:rPr>
          <w:rFonts w:ascii="Times New Roman" w:hAnsi="Times New Roman"/>
          <w:sz w:val="24"/>
        </w:rPr>
        <w:t>15.1</w:t>
      </w:r>
      <w:r>
        <w:rPr>
          <w:rFonts w:hint="eastAsia" w:ascii="宋体" w:hAnsi="宋体"/>
          <w:sz w:val="24"/>
        </w:rPr>
        <w:t>代理机构将拒绝在规定的响应文件接收截止时间后接收响应文件。</w:t>
      </w:r>
    </w:p>
    <w:p w14:paraId="14228013">
      <w:pPr>
        <w:tabs>
          <w:tab w:val="left" w:pos="900"/>
        </w:tabs>
        <w:spacing w:line="360" w:lineRule="auto"/>
        <w:rPr>
          <w:rFonts w:hint="eastAsia" w:ascii="宋体" w:hAnsi="宋体"/>
          <w:b/>
          <w:sz w:val="24"/>
        </w:rPr>
      </w:pPr>
      <w:r>
        <w:rPr>
          <w:rFonts w:ascii="Times New Roman" w:hAnsi="Times New Roman"/>
          <w:sz w:val="24"/>
        </w:rPr>
        <w:t>15.2</w:t>
      </w:r>
      <w:r>
        <w:rPr>
          <w:rFonts w:hint="eastAsia" w:ascii="宋体" w:hAnsi="宋体"/>
          <w:sz w:val="24"/>
        </w:rPr>
        <w:t>代理机构将拒绝接收以邮寄方式送达的任何磋商响应文件。</w:t>
      </w:r>
    </w:p>
    <w:p w14:paraId="0A9803B1">
      <w:pPr>
        <w:tabs>
          <w:tab w:val="left" w:pos="900"/>
        </w:tabs>
        <w:spacing w:line="360" w:lineRule="auto"/>
        <w:rPr>
          <w:rFonts w:ascii="Times New Roman" w:hAnsi="Times New Roman"/>
          <w:b/>
          <w:sz w:val="24"/>
        </w:rPr>
      </w:pPr>
      <w:r>
        <w:rPr>
          <w:rFonts w:ascii="Times New Roman" w:hAnsi="Times New Roman"/>
          <w:b/>
          <w:sz w:val="24"/>
        </w:rPr>
        <w:t>16、响应文件的修改和撤回</w:t>
      </w:r>
    </w:p>
    <w:p w14:paraId="04D245EA">
      <w:pPr>
        <w:tabs>
          <w:tab w:val="left" w:pos="900"/>
        </w:tabs>
        <w:spacing w:line="360" w:lineRule="auto"/>
        <w:rPr>
          <w:rFonts w:hint="eastAsia" w:ascii="宋体" w:hAnsi="宋体"/>
          <w:sz w:val="24"/>
        </w:rPr>
      </w:pPr>
      <w:r>
        <w:rPr>
          <w:rFonts w:ascii="Times New Roman" w:hAnsi="Times New Roman"/>
          <w:sz w:val="24"/>
        </w:rPr>
        <w:t>16.1</w:t>
      </w:r>
      <w:r>
        <w:rPr>
          <w:rFonts w:hint="eastAsia" w:ascii="宋体" w:hAnsi="宋体"/>
          <w:sz w:val="24"/>
        </w:rPr>
        <w:t>磋商供应商在递交响应文件后，可以修改或撤回其谈判响应文件，但这种修改和撤回，必须在规定的响应文件接收截止时间前，以书面形式送达指定地点。</w:t>
      </w:r>
    </w:p>
    <w:p w14:paraId="11D0E6B8">
      <w:pPr>
        <w:tabs>
          <w:tab w:val="left" w:pos="900"/>
        </w:tabs>
        <w:spacing w:line="360" w:lineRule="auto"/>
        <w:rPr>
          <w:rFonts w:hint="eastAsia" w:ascii="宋体" w:hAnsi="宋体"/>
          <w:sz w:val="24"/>
        </w:rPr>
      </w:pPr>
      <w:r>
        <w:rPr>
          <w:rFonts w:ascii="Times New Roman" w:hAnsi="Times New Roman"/>
          <w:sz w:val="24"/>
        </w:rPr>
        <w:t>16.2</w:t>
      </w:r>
      <w:r>
        <w:rPr>
          <w:rFonts w:hint="eastAsia" w:ascii="宋体" w:hAnsi="宋体"/>
          <w:sz w:val="24"/>
        </w:rPr>
        <w:t>磋商供应商的修改或撤回通知书，应按本文件规定进行编制、密封、标记和发送，并应在封套上加注“修改”和“撤回”字样。</w:t>
      </w:r>
    </w:p>
    <w:p w14:paraId="162FE9FA">
      <w:pPr>
        <w:tabs>
          <w:tab w:val="left" w:pos="900"/>
        </w:tabs>
        <w:spacing w:line="360" w:lineRule="auto"/>
        <w:rPr>
          <w:rFonts w:hint="eastAsia" w:ascii="宋体" w:hAnsi="宋体"/>
          <w:sz w:val="24"/>
        </w:rPr>
      </w:pPr>
      <w:r>
        <w:rPr>
          <w:rFonts w:ascii="Times New Roman" w:hAnsi="Times New Roman"/>
          <w:sz w:val="24"/>
        </w:rPr>
        <w:t>16</w:t>
      </w:r>
      <w:r>
        <w:rPr>
          <w:rFonts w:hint="eastAsia" w:ascii="Times New Roman" w:hAnsi="Times New Roman"/>
          <w:sz w:val="24"/>
        </w:rPr>
        <w:t>.3</w:t>
      </w:r>
      <w:r>
        <w:rPr>
          <w:rFonts w:hint="eastAsia" w:ascii="宋体" w:hAnsi="宋体"/>
          <w:sz w:val="24"/>
        </w:rPr>
        <w:t>磋商供应商在提交最后报价之前，可以根据磋商情况退出磋商，代理机构退还退出磋商的供应商的磋商保证金（如果收取）。</w:t>
      </w:r>
    </w:p>
    <w:p w14:paraId="472FDA16">
      <w:pPr>
        <w:tabs>
          <w:tab w:val="left" w:pos="900"/>
        </w:tabs>
        <w:spacing w:line="360" w:lineRule="auto"/>
        <w:rPr>
          <w:rFonts w:hint="eastAsia" w:ascii="宋体" w:hAnsi="宋体"/>
          <w:b/>
          <w:sz w:val="24"/>
        </w:rPr>
      </w:pPr>
      <w:r>
        <w:rPr>
          <w:rFonts w:ascii="Times New Roman" w:hAnsi="Times New Roman"/>
          <w:b/>
          <w:sz w:val="24"/>
        </w:rPr>
        <w:t>17、</w:t>
      </w:r>
      <w:r>
        <w:rPr>
          <w:rFonts w:hint="eastAsia" w:ascii="宋体" w:hAnsi="宋体"/>
          <w:b/>
          <w:sz w:val="24"/>
        </w:rPr>
        <w:t>磋商响应有效期</w:t>
      </w:r>
    </w:p>
    <w:p w14:paraId="11CE55A9">
      <w:pPr>
        <w:tabs>
          <w:tab w:val="left" w:pos="900"/>
        </w:tabs>
        <w:spacing w:line="360" w:lineRule="auto"/>
        <w:rPr>
          <w:rFonts w:hint="eastAsia" w:ascii="宋体" w:hAnsi="宋体"/>
          <w:sz w:val="24"/>
        </w:rPr>
      </w:pPr>
      <w:r>
        <w:rPr>
          <w:rFonts w:ascii="Times New Roman" w:hAnsi="Times New Roman"/>
          <w:bCs/>
          <w:sz w:val="24"/>
        </w:rPr>
        <w:t>17</w:t>
      </w:r>
      <w:r>
        <w:rPr>
          <w:rFonts w:hint="eastAsia" w:ascii="Times New Roman" w:hAnsi="Times New Roman"/>
          <w:bCs/>
          <w:sz w:val="24"/>
        </w:rPr>
        <w:t>.1</w:t>
      </w:r>
      <w:r>
        <w:rPr>
          <w:rFonts w:hint="eastAsia" w:ascii="宋体" w:hAnsi="宋体"/>
          <w:sz w:val="24"/>
        </w:rPr>
        <w:t>磋商响应有效期为代理机构规定的响应文件接收截止时间后六十</w:t>
      </w:r>
      <w:r>
        <w:rPr>
          <w:rFonts w:ascii="Times New Roman" w:hAnsi="Times New Roman"/>
          <w:sz w:val="24"/>
        </w:rPr>
        <w:t>（60）</w:t>
      </w:r>
      <w:r>
        <w:rPr>
          <w:rFonts w:hint="eastAsia" w:ascii="宋体" w:hAnsi="宋体"/>
          <w:sz w:val="24"/>
        </w:rPr>
        <w:t>天。磋商响应有效期比规定短的将被视为非实质性响应性而予以拒绝。</w:t>
      </w:r>
    </w:p>
    <w:p w14:paraId="33B8FBCD">
      <w:pPr>
        <w:tabs>
          <w:tab w:val="left" w:pos="900"/>
        </w:tabs>
        <w:spacing w:line="360" w:lineRule="auto"/>
        <w:rPr>
          <w:rFonts w:hint="eastAsia" w:ascii="宋体" w:hAnsi="宋体"/>
          <w:sz w:val="24"/>
        </w:rPr>
      </w:pPr>
      <w:r>
        <w:rPr>
          <w:rFonts w:ascii="Times New Roman" w:hAnsi="Times New Roman"/>
          <w:bCs/>
          <w:sz w:val="24"/>
        </w:rPr>
        <w:t>17</w:t>
      </w:r>
      <w:r>
        <w:rPr>
          <w:rFonts w:hint="eastAsia" w:ascii="Times New Roman" w:hAnsi="Times New Roman"/>
          <w:bCs/>
          <w:sz w:val="24"/>
        </w:rPr>
        <w:t>.2</w:t>
      </w:r>
      <w:r>
        <w:rPr>
          <w:rFonts w:hint="eastAsia" w:ascii="宋体" w:hAnsi="宋体"/>
          <w:sz w:val="24"/>
        </w:rPr>
        <w:t>在特殊情况下，代理机构于原磋商响应有效期满之前，可向磋商供应商提出延长磋商响应有效期的要求。这种要求与答复均应采用书面形式。磋商供应商可以拒绝代理机构的这一要求而放弃磋商响应，代理机构在接到磋商供应商书面答复后，将在原磋商响应有效期满后五日内无息退还其磋商保证金（如果收取）。同意延长磋商响应有效期的磋商供应商既不能要求也不允许修改其响应文件。有关磋商保证金（如果收取）的规定在延长期内继续有效，同时受磋商响应有效期约束的所有权利与义务均延长至新的有效期。</w:t>
      </w:r>
    </w:p>
    <w:p w14:paraId="5AA0C548">
      <w:pPr>
        <w:jc w:val="center"/>
        <w:outlineLvl w:val="1"/>
        <w:rPr>
          <w:b/>
          <w:bCs/>
          <w:sz w:val="28"/>
          <w:szCs w:val="36"/>
        </w:rPr>
      </w:pPr>
      <w:bookmarkStart w:id="25" w:name="_Toc171512434"/>
      <w:bookmarkStart w:id="26" w:name="_Toc155687988"/>
      <w:bookmarkStart w:id="27" w:name="_Toc171605454"/>
      <w:r>
        <w:rPr>
          <w:rFonts w:hint="eastAsia"/>
          <w:b/>
          <w:bCs/>
          <w:sz w:val="28"/>
          <w:szCs w:val="36"/>
        </w:rPr>
        <w:t>四、磋商与评审</w:t>
      </w:r>
      <w:bookmarkEnd w:id="25"/>
      <w:bookmarkEnd w:id="26"/>
      <w:bookmarkEnd w:id="27"/>
    </w:p>
    <w:p w14:paraId="64BD44E1">
      <w:pPr>
        <w:tabs>
          <w:tab w:val="left" w:pos="900"/>
        </w:tabs>
        <w:spacing w:line="360" w:lineRule="auto"/>
        <w:rPr>
          <w:rFonts w:hint="eastAsia" w:ascii="宋体" w:hAnsi="宋体"/>
          <w:b/>
          <w:sz w:val="24"/>
        </w:rPr>
      </w:pPr>
      <w:r>
        <w:rPr>
          <w:rFonts w:ascii="Times New Roman" w:hAnsi="Times New Roman"/>
          <w:b/>
          <w:sz w:val="24"/>
        </w:rPr>
        <w:t>18、</w:t>
      </w:r>
      <w:r>
        <w:rPr>
          <w:rFonts w:hint="eastAsia" w:ascii="宋体" w:hAnsi="宋体"/>
          <w:b/>
          <w:sz w:val="24"/>
        </w:rPr>
        <w:t>磋商仪式</w:t>
      </w:r>
    </w:p>
    <w:p w14:paraId="4C0850E4">
      <w:pPr>
        <w:tabs>
          <w:tab w:val="left" w:pos="900"/>
        </w:tabs>
        <w:spacing w:line="360" w:lineRule="auto"/>
        <w:rPr>
          <w:rFonts w:hint="eastAsia" w:ascii="宋体" w:hAnsi="宋体"/>
          <w:sz w:val="24"/>
        </w:rPr>
      </w:pPr>
      <w:r>
        <w:rPr>
          <w:rFonts w:ascii="Times New Roman" w:hAnsi="Times New Roman"/>
          <w:sz w:val="24"/>
        </w:rPr>
        <w:t>18.1</w:t>
      </w:r>
      <w:r>
        <w:rPr>
          <w:rFonts w:hint="eastAsia" w:ascii="宋体" w:hAnsi="宋体"/>
          <w:sz w:val="24"/>
        </w:rPr>
        <w:t>代理机构将在采购邀请中规定的时间和地点组织磋商开始仪式，仪式由代理机构主持，磋商供应商应委派携带授权委托书及有效证件的代表准时参加，参加仪式的代表需签名以证明其出席。</w:t>
      </w:r>
    </w:p>
    <w:p w14:paraId="76141CE8">
      <w:pPr>
        <w:tabs>
          <w:tab w:val="left" w:pos="900"/>
        </w:tabs>
        <w:spacing w:line="360" w:lineRule="auto"/>
        <w:rPr>
          <w:rFonts w:hint="eastAsia" w:ascii="宋体" w:hAnsi="宋体"/>
          <w:b/>
          <w:sz w:val="24"/>
        </w:rPr>
      </w:pPr>
      <w:r>
        <w:rPr>
          <w:rFonts w:ascii="Times New Roman" w:hAnsi="Times New Roman"/>
          <w:b/>
          <w:sz w:val="24"/>
        </w:rPr>
        <w:t>19、</w:t>
      </w:r>
      <w:r>
        <w:rPr>
          <w:rFonts w:hint="eastAsia" w:ascii="宋体" w:hAnsi="宋体"/>
          <w:b/>
          <w:sz w:val="24"/>
        </w:rPr>
        <w:t>磋商小组</w:t>
      </w:r>
    </w:p>
    <w:p w14:paraId="7CA5E790">
      <w:pPr>
        <w:tabs>
          <w:tab w:val="left" w:pos="900"/>
        </w:tabs>
        <w:spacing w:line="360" w:lineRule="auto"/>
        <w:rPr>
          <w:rFonts w:hint="eastAsia" w:ascii="宋体" w:hAnsi="宋体"/>
          <w:sz w:val="24"/>
        </w:rPr>
      </w:pPr>
      <w:r>
        <w:rPr>
          <w:rFonts w:ascii="Times New Roman" w:hAnsi="Times New Roman"/>
          <w:sz w:val="24"/>
        </w:rPr>
        <w:t>19.1</w:t>
      </w:r>
      <w:r>
        <w:rPr>
          <w:rFonts w:hint="eastAsia" w:ascii="宋体" w:hAnsi="宋体"/>
          <w:sz w:val="24"/>
        </w:rPr>
        <w:t>磋商开始仪式结束后，代理机构将立即组织磋商小组进行评审。</w:t>
      </w:r>
    </w:p>
    <w:p w14:paraId="03B1861D">
      <w:pPr>
        <w:tabs>
          <w:tab w:val="left" w:pos="900"/>
        </w:tabs>
        <w:spacing w:line="360" w:lineRule="auto"/>
        <w:rPr>
          <w:rFonts w:hint="eastAsia" w:ascii="宋体" w:hAnsi="宋体"/>
          <w:sz w:val="24"/>
        </w:rPr>
      </w:pPr>
      <w:r>
        <w:rPr>
          <w:rFonts w:ascii="Times New Roman" w:hAnsi="Times New Roman"/>
          <w:sz w:val="24"/>
        </w:rPr>
        <w:t>19.2</w:t>
      </w:r>
      <w:r>
        <w:rPr>
          <w:rFonts w:hint="eastAsia" w:ascii="宋体" w:hAnsi="宋体"/>
          <w:sz w:val="24"/>
        </w:rPr>
        <w:t>磋商小组由政府采购评审专家、采购人代表组成，且人员构成符合政府采购有关规定。</w:t>
      </w:r>
    </w:p>
    <w:p w14:paraId="4C72B152">
      <w:pPr>
        <w:tabs>
          <w:tab w:val="left" w:pos="900"/>
        </w:tabs>
        <w:spacing w:line="360" w:lineRule="auto"/>
        <w:rPr>
          <w:rFonts w:hint="eastAsia" w:ascii="宋体" w:hAnsi="宋体"/>
          <w:b/>
          <w:sz w:val="24"/>
        </w:rPr>
      </w:pPr>
      <w:r>
        <w:rPr>
          <w:rFonts w:ascii="宋体" w:hAnsi="宋体"/>
          <w:b/>
          <w:sz w:val="24"/>
        </w:rPr>
        <w:t>20</w:t>
      </w:r>
      <w:r>
        <w:rPr>
          <w:rFonts w:hint="eastAsia" w:ascii="宋体" w:hAnsi="宋体"/>
          <w:b/>
          <w:sz w:val="24"/>
        </w:rPr>
        <w:t>、磋商评审过程的保密与公正</w:t>
      </w:r>
    </w:p>
    <w:p w14:paraId="670965C3">
      <w:pPr>
        <w:tabs>
          <w:tab w:val="left" w:pos="900"/>
        </w:tabs>
        <w:spacing w:line="360" w:lineRule="auto"/>
        <w:rPr>
          <w:rFonts w:hint="eastAsia" w:ascii="宋体" w:hAnsi="宋体"/>
          <w:sz w:val="24"/>
        </w:rPr>
      </w:pPr>
      <w:r>
        <w:rPr>
          <w:rFonts w:ascii="Times New Roman" w:hAnsi="Times New Roman"/>
          <w:sz w:val="24"/>
        </w:rPr>
        <w:t>20.1</w:t>
      </w:r>
      <w:r>
        <w:rPr>
          <w:rFonts w:hint="eastAsia" w:ascii="宋体" w:hAnsi="宋体"/>
          <w:sz w:val="24"/>
        </w:rPr>
        <w:t>磋商小组</w:t>
      </w:r>
      <w:r>
        <w:rPr>
          <w:rFonts w:ascii="宋体" w:hAnsi="宋体"/>
          <w:sz w:val="24"/>
        </w:rPr>
        <w:t>、采购人和</w:t>
      </w:r>
      <w:r>
        <w:rPr>
          <w:rFonts w:hint="eastAsia" w:ascii="宋体" w:hAnsi="宋体"/>
          <w:sz w:val="24"/>
        </w:rPr>
        <w:t>代理机构</w:t>
      </w:r>
      <w:r>
        <w:rPr>
          <w:rFonts w:ascii="宋体" w:hAnsi="宋体"/>
          <w:sz w:val="24"/>
        </w:rPr>
        <w:t>工作人员、相关监督人员等与评审工作有关的人员，对评审情况以及在评审过程中获悉的国家秘密、商业秘密负有保密责任</w:t>
      </w:r>
      <w:r>
        <w:rPr>
          <w:rFonts w:hint="eastAsia" w:ascii="宋体" w:hAnsi="宋体"/>
          <w:sz w:val="24"/>
        </w:rPr>
        <w:t>。</w:t>
      </w:r>
    </w:p>
    <w:p w14:paraId="6E91D4E9">
      <w:pPr>
        <w:tabs>
          <w:tab w:val="left" w:pos="900"/>
        </w:tabs>
        <w:spacing w:line="360" w:lineRule="auto"/>
        <w:rPr>
          <w:rFonts w:hint="eastAsia" w:ascii="宋体" w:hAnsi="宋体"/>
          <w:sz w:val="24"/>
        </w:rPr>
      </w:pPr>
      <w:r>
        <w:rPr>
          <w:rFonts w:ascii="Times New Roman" w:hAnsi="Times New Roman"/>
          <w:sz w:val="24"/>
        </w:rPr>
        <w:t>20.2</w:t>
      </w:r>
      <w:r>
        <w:rPr>
          <w:rFonts w:hint="eastAsia" w:ascii="宋体" w:hAnsi="宋体"/>
          <w:sz w:val="24"/>
        </w:rPr>
        <w:t>在磋商评审过程中，磋商供应商不得以任何行为影响磋商评审过程，否则其响应文件将被作为无效响应文件。</w:t>
      </w:r>
    </w:p>
    <w:p w14:paraId="6BA1DE23">
      <w:pPr>
        <w:tabs>
          <w:tab w:val="left" w:pos="900"/>
        </w:tabs>
        <w:spacing w:line="360" w:lineRule="auto"/>
        <w:rPr>
          <w:rFonts w:hint="eastAsia" w:ascii="宋体" w:hAnsi="宋体"/>
          <w:sz w:val="24"/>
        </w:rPr>
      </w:pPr>
      <w:r>
        <w:rPr>
          <w:rFonts w:ascii="Times New Roman" w:hAnsi="Times New Roman"/>
          <w:sz w:val="24"/>
        </w:rPr>
        <w:t>20.3</w:t>
      </w:r>
      <w:r>
        <w:rPr>
          <w:rFonts w:hint="eastAsia" w:ascii="宋体" w:hAnsi="宋体"/>
          <w:sz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3BD3C958">
      <w:pPr>
        <w:tabs>
          <w:tab w:val="left" w:pos="900"/>
        </w:tabs>
        <w:spacing w:line="360" w:lineRule="auto"/>
        <w:rPr>
          <w:rFonts w:hint="eastAsia" w:ascii="宋体" w:hAnsi="宋体"/>
          <w:b/>
          <w:sz w:val="24"/>
        </w:rPr>
      </w:pPr>
      <w:r>
        <w:rPr>
          <w:rFonts w:ascii="Times New Roman" w:hAnsi="Times New Roman"/>
          <w:b/>
          <w:sz w:val="24"/>
        </w:rPr>
        <w:t>21、</w:t>
      </w:r>
      <w:r>
        <w:rPr>
          <w:rFonts w:hint="eastAsia" w:ascii="宋体" w:hAnsi="宋体"/>
          <w:b/>
          <w:sz w:val="24"/>
        </w:rPr>
        <w:t>评审过程的澄清、说明和更正</w:t>
      </w:r>
    </w:p>
    <w:p w14:paraId="46E00CB6">
      <w:pPr>
        <w:tabs>
          <w:tab w:val="left" w:pos="900"/>
        </w:tabs>
        <w:spacing w:line="360" w:lineRule="auto"/>
        <w:rPr>
          <w:rFonts w:hint="eastAsia" w:ascii="宋体" w:hAnsi="宋体"/>
          <w:sz w:val="24"/>
        </w:rPr>
      </w:pPr>
      <w:r>
        <w:rPr>
          <w:rFonts w:ascii="Times New Roman" w:hAnsi="Times New Roman"/>
          <w:sz w:val="24"/>
        </w:rPr>
        <w:t>21.1</w:t>
      </w:r>
      <w:r>
        <w:rPr>
          <w:rFonts w:hint="eastAsia" w:ascii="宋体" w:hAnsi="宋体"/>
          <w:sz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C54707F">
      <w:pPr>
        <w:tabs>
          <w:tab w:val="left" w:pos="900"/>
        </w:tabs>
        <w:spacing w:line="360" w:lineRule="auto"/>
        <w:rPr>
          <w:rFonts w:hint="eastAsia" w:ascii="宋体" w:hAnsi="宋体"/>
          <w:sz w:val="24"/>
        </w:rPr>
      </w:pPr>
      <w:r>
        <w:rPr>
          <w:rFonts w:ascii="Times New Roman" w:hAnsi="Times New Roman"/>
          <w:sz w:val="24"/>
        </w:rPr>
        <w:t>21.2</w:t>
      </w:r>
      <w:r>
        <w:rPr>
          <w:rFonts w:hint="eastAsia" w:ascii="宋体" w:hAnsi="宋体"/>
          <w:sz w:val="24"/>
        </w:rPr>
        <w:t>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14:paraId="6E6C6B76">
      <w:pPr>
        <w:tabs>
          <w:tab w:val="left" w:pos="900"/>
        </w:tabs>
        <w:spacing w:line="360" w:lineRule="auto"/>
        <w:rPr>
          <w:rFonts w:hint="eastAsia" w:ascii="宋体" w:hAnsi="宋体"/>
          <w:sz w:val="24"/>
        </w:rPr>
      </w:pPr>
      <w:r>
        <w:rPr>
          <w:rFonts w:ascii="Times New Roman" w:hAnsi="Times New Roman"/>
          <w:sz w:val="24"/>
        </w:rPr>
        <w:t>21.3</w:t>
      </w:r>
      <w:r>
        <w:rPr>
          <w:rFonts w:hint="eastAsia" w:ascii="宋体" w:hAnsi="宋体"/>
          <w:sz w:val="24"/>
        </w:rPr>
        <w:t>接到磋商小组澄清要求的供应商如未按规定做出澄清，其风险由供应商自行承担。</w:t>
      </w:r>
    </w:p>
    <w:p w14:paraId="506377F7">
      <w:pPr>
        <w:tabs>
          <w:tab w:val="left" w:pos="900"/>
        </w:tabs>
        <w:spacing w:line="360" w:lineRule="auto"/>
        <w:rPr>
          <w:rFonts w:hint="eastAsia" w:ascii="宋体" w:hAnsi="宋体"/>
          <w:b/>
          <w:sz w:val="24"/>
        </w:rPr>
      </w:pPr>
      <w:r>
        <w:rPr>
          <w:rFonts w:ascii="Times New Roman" w:hAnsi="Times New Roman"/>
          <w:b/>
          <w:sz w:val="24"/>
        </w:rPr>
        <w:t>22、</w:t>
      </w:r>
      <w:r>
        <w:rPr>
          <w:rFonts w:hint="eastAsia" w:ascii="宋体" w:hAnsi="宋体"/>
          <w:b/>
          <w:sz w:val="24"/>
        </w:rPr>
        <w:t>对响应文件的初审</w:t>
      </w:r>
    </w:p>
    <w:p w14:paraId="12FE205D">
      <w:pPr>
        <w:tabs>
          <w:tab w:val="left" w:pos="900"/>
        </w:tabs>
        <w:spacing w:line="360" w:lineRule="auto"/>
        <w:rPr>
          <w:rFonts w:hint="eastAsia" w:ascii="宋体" w:hAnsi="宋体"/>
          <w:sz w:val="24"/>
        </w:rPr>
      </w:pPr>
      <w:r>
        <w:rPr>
          <w:rFonts w:ascii="Times New Roman" w:hAnsi="Times New Roman"/>
          <w:sz w:val="24"/>
        </w:rPr>
        <w:t>22.1</w:t>
      </w:r>
      <w:r>
        <w:rPr>
          <w:rFonts w:hint="eastAsia" w:ascii="宋体" w:hAnsi="宋体"/>
          <w:sz w:val="24"/>
        </w:rPr>
        <w:t>响应文件初审分为资格性检查和符合性检查。</w:t>
      </w:r>
    </w:p>
    <w:p w14:paraId="3A2C5D43">
      <w:pPr>
        <w:tabs>
          <w:tab w:val="left" w:pos="900"/>
        </w:tabs>
        <w:spacing w:line="360" w:lineRule="auto"/>
        <w:rPr>
          <w:rFonts w:hint="eastAsia" w:ascii="宋体" w:hAnsi="宋体"/>
          <w:sz w:val="24"/>
        </w:rPr>
      </w:pPr>
      <w:r>
        <w:rPr>
          <w:rFonts w:ascii="Times New Roman" w:hAnsi="Times New Roman"/>
          <w:sz w:val="24"/>
        </w:rPr>
        <w:t>22.1.1</w:t>
      </w:r>
      <w:r>
        <w:rPr>
          <w:rFonts w:hint="eastAsia" w:ascii="宋体" w:hAnsi="宋体"/>
          <w:sz w:val="24"/>
        </w:rPr>
        <w:t>资格性检查：依据法律法规和磋商文件的规定，对响应文件中的资格证明文件进行审查，以确定供应商是否具备参加磋商的资格。</w:t>
      </w:r>
    </w:p>
    <w:p w14:paraId="5302A623">
      <w:pPr>
        <w:tabs>
          <w:tab w:val="left" w:pos="900"/>
        </w:tabs>
        <w:spacing w:line="360" w:lineRule="auto"/>
        <w:rPr>
          <w:rFonts w:hint="eastAsia" w:ascii="宋体" w:hAnsi="宋体"/>
          <w:sz w:val="24"/>
        </w:rPr>
      </w:pPr>
      <w:r>
        <w:rPr>
          <w:rFonts w:hint="eastAsia" w:ascii="宋体" w:hAnsi="宋体"/>
          <w:sz w:val="24"/>
        </w:rPr>
        <w:t>磋商小组在进行资格性审查的同时，将在“信用中国”对供应商是否被列入失信被执行人、重大税收违法失信主体、</w:t>
      </w:r>
      <w:bookmarkStart w:id="28" w:name="_Hlk154646906"/>
      <w:r>
        <w:rPr>
          <w:rFonts w:hint="eastAsia" w:ascii="宋体" w:hAnsi="宋体"/>
          <w:sz w:val="24"/>
        </w:rPr>
        <w:t>政府采购严重违法失信行为记录名单</w:t>
      </w:r>
      <w:bookmarkEnd w:id="28"/>
      <w:r>
        <w:rPr>
          <w:rFonts w:hint="eastAsia" w:ascii="宋体" w:hAnsi="宋体"/>
          <w:sz w:val="24"/>
        </w:rPr>
        <w:t>情况进行查询，以确定供应商是否具备参加磋商的资格。查询结果将以网页打印的形式留存并归档。</w:t>
      </w:r>
    </w:p>
    <w:p w14:paraId="27AC5B8B">
      <w:pPr>
        <w:tabs>
          <w:tab w:val="left" w:pos="900"/>
        </w:tabs>
        <w:spacing w:line="360" w:lineRule="auto"/>
        <w:rPr>
          <w:rFonts w:hint="eastAsia" w:ascii="宋体" w:hAnsi="宋体"/>
          <w:sz w:val="24"/>
        </w:rPr>
      </w:pPr>
      <w:r>
        <w:rPr>
          <w:rFonts w:hint="eastAsia" w:ascii="宋体" w:hAnsi="宋体"/>
          <w:sz w:val="24"/>
        </w:rPr>
        <w:t>接受联合体的项目，两个以上的自然人、法人或者其他组织组成一个联合体，以一个供应商的身份共同参加政府采购活动的，联合体成员存在不良信用记录的，视同联合体存在不良应用记录。</w:t>
      </w:r>
    </w:p>
    <w:p w14:paraId="1A409A45">
      <w:pPr>
        <w:tabs>
          <w:tab w:val="left" w:pos="900"/>
        </w:tabs>
        <w:spacing w:line="360" w:lineRule="auto"/>
        <w:rPr>
          <w:rFonts w:hint="eastAsia" w:ascii="宋体" w:hAnsi="宋体"/>
          <w:sz w:val="24"/>
        </w:rPr>
      </w:pPr>
      <w:r>
        <w:rPr>
          <w:rFonts w:ascii="Times New Roman" w:hAnsi="Times New Roman"/>
          <w:sz w:val="24"/>
        </w:rPr>
        <w:t>22.1.2</w:t>
      </w:r>
      <w:r>
        <w:rPr>
          <w:rFonts w:hint="eastAsia" w:ascii="宋体" w:hAnsi="宋体"/>
          <w:sz w:val="24"/>
        </w:rPr>
        <w:t>符合性检查：依据磋商文件的规定，从响应文件的有效性、完整性和对磋商文件的响应程度进行审查，以确定是否对磋商文件的实质性要求作出响应。</w:t>
      </w:r>
    </w:p>
    <w:p w14:paraId="3B6B1A70">
      <w:pPr>
        <w:tabs>
          <w:tab w:val="left" w:pos="900"/>
        </w:tabs>
        <w:spacing w:line="360" w:lineRule="auto"/>
        <w:rPr>
          <w:rFonts w:hint="eastAsia" w:ascii="宋体" w:hAnsi="宋体"/>
          <w:sz w:val="24"/>
        </w:rPr>
      </w:pPr>
      <w:r>
        <w:rPr>
          <w:rFonts w:ascii="Times New Roman" w:hAnsi="Times New Roman"/>
          <w:sz w:val="24"/>
        </w:rPr>
        <w:t>22</w:t>
      </w:r>
      <w:r>
        <w:rPr>
          <w:rFonts w:hint="eastAsia" w:ascii="Times New Roman" w:hAnsi="Times New Roman"/>
          <w:sz w:val="24"/>
        </w:rPr>
        <w:t>.2</w:t>
      </w:r>
      <w:r>
        <w:rPr>
          <w:rFonts w:hint="eastAsia" w:ascii="宋体" w:hAnsi="宋体"/>
          <w:sz w:val="24"/>
        </w:rPr>
        <w:t>在正式磋商之前，磋商小组将首先审查每份响应文件是否实质性响应了磋商文件的要求。实质性响应的响应文件应该是与磋商文件要求的条款、条件和规格相符，没有重大负偏离或保留。</w:t>
      </w:r>
    </w:p>
    <w:p w14:paraId="16E21E92">
      <w:pPr>
        <w:tabs>
          <w:tab w:val="left" w:pos="900"/>
        </w:tabs>
        <w:spacing w:line="360" w:lineRule="auto"/>
        <w:rPr>
          <w:rFonts w:hint="eastAsia" w:ascii="宋体" w:hAnsi="宋体"/>
          <w:sz w:val="24"/>
        </w:rPr>
      </w:pPr>
      <w:r>
        <w:rPr>
          <w:rFonts w:hint="eastAsia" w:ascii="宋体" w:hAnsi="宋体"/>
          <w:sz w:val="24"/>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14745B57">
      <w:pPr>
        <w:tabs>
          <w:tab w:val="left" w:pos="900"/>
        </w:tabs>
        <w:spacing w:line="360" w:lineRule="auto"/>
        <w:rPr>
          <w:rFonts w:ascii="Times New Roman" w:hAnsi="Times New Roman"/>
          <w:sz w:val="24"/>
        </w:rPr>
      </w:pPr>
      <w:r>
        <w:rPr>
          <w:rFonts w:hint="eastAsia" w:ascii="Times New Roman" w:hAnsi="Times New Roman"/>
          <w:sz w:val="24"/>
        </w:rPr>
        <w:t>22.3 异常低价投标审查</w:t>
      </w:r>
    </w:p>
    <w:p w14:paraId="4EE0E256">
      <w:pPr>
        <w:tabs>
          <w:tab w:val="left" w:pos="900"/>
        </w:tabs>
        <w:spacing w:line="360" w:lineRule="auto"/>
        <w:rPr>
          <w:rFonts w:ascii="Times New Roman" w:hAnsi="Times New Roman"/>
          <w:sz w:val="24"/>
        </w:rPr>
      </w:pPr>
      <w:r>
        <w:rPr>
          <w:rFonts w:hint="eastAsia" w:ascii="Times New Roman" w:hAnsi="Times New Roman"/>
          <w:sz w:val="24"/>
        </w:rPr>
        <w:t>22.3.1评审过程中出现下列情形之一的，磋商小组应当启动异常低价投标审查程序：</w:t>
      </w:r>
    </w:p>
    <w:p w14:paraId="2457CCE5">
      <w:pPr>
        <w:tabs>
          <w:tab w:val="left" w:pos="900"/>
        </w:tabs>
        <w:spacing w:line="360" w:lineRule="auto"/>
        <w:rPr>
          <w:rFonts w:ascii="Times New Roman" w:hAnsi="Times New Roman"/>
          <w:sz w:val="24"/>
        </w:rPr>
      </w:pPr>
      <w:r>
        <w:rPr>
          <w:rFonts w:hint="eastAsia" w:ascii="Times New Roman" w:hAnsi="Times New Roman"/>
          <w:sz w:val="24"/>
        </w:rPr>
        <w:t>（1）最后报价低于全部通过符合性审查供应商最后报价平均值65%的，即最后报价&lt;全部通过符合性审查供应商最后报价平均值×65%；</w:t>
      </w:r>
    </w:p>
    <w:p w14:paraId="575C23E3">
      <w:pPr>
        <w:tabs>
          <w:tab w:val="left" w:pos="900"/>
        </w:tabs>
        <w:spacing w:line="360" w:lineRule="auto"/>
        <w:rPr>
          <w:rFonts w:ascii="Times New Roman" w:hAnsi="Times New Roman"/>
          <w:sz w:val="24"/>
        </w:rPr>
      </w:pPr>
      <w:r>
        <w:rPr>
          <w:rFonts w:hint="eastAsia" w:ascii="Times New Roman" w:hAnsi="Times New Roman"/>
          <w:sz w:val="24"/>
        </w:rPr>
        <w:t>（2）最后报价低于通过符合性审查的次低报价供应商最后报价65%的，即最后报价&lt;通过符合性审查的次低报价供应商最后报价×65%；</w:t>
      </w:r>
    </w:p>
    <w:p w14:paraId="04D9AC3C">
      <w:pPr>
        <w:tabs>
          <w:tab w:val="left" w:pos="900"/>
        </w:tabs>
        <w:spacing w:line="360" w:lineRule="auto"/>
        <w:rPr>
          <w:rFonts w:ascii="Times New Roman" w:hAnsi="Times New Roman"/>
          <w:sz w:val="24"/>
        </w:rPr>
      </w:pPr>
      <w:r>
        <w:rPr>
          <w:rFonts w:hint="eastAsia" w:ascii="Times New Roman" w:hAnsi="Times New Roman"/>
          <w:sz w:val="24"/>
        </w:rPr>
        <w:t>（3）最后报价低于采购项目最高限价65%的，即最后报价&lt;采购项目最高限价×65%；</w:t>
      </w:r>
    </w:p>
    <w:p w14:paraId="2DB13B6F">
      <w:pPr>
        <w:tabs>
          <w:tab w:val="left" w:pos="900"/>
        </w:tabs>
        <w:spacing w:line="360" w:lineRule="auto"/>
        <w:rPr>
          <w:rFonts w:ascii="Times New Roman" w:hAnsi="Times New Roman"/>
          <w:sz w:val="24"/>
        </w:rPr>
      </w:pPr>
      <w:r>
        <w:rPr>
          <w:rFonts w:hint="eastAsia" w:ascii="Times New Roman" w:hAnsi="Times New Roman"/>
          <w:sz w:val="24"/>
        </w:rPr>
        <w:t>（4）磋商小组基于专业判断，认为供应商最后报价过低，有可能影响产品质量或者不能诚信履约的其他情形。</w:t>
      </w:r>
    </w:p>
    <w:p w14:paraId="0341EFAA">
      <w:pPr>
        <w:tabs>
          <w:tab w:val="left" w:pos="900"/>
        </w:tabs>
        <w:spacing w:line="360" w:lineRule="auto"/>
        <w:rPr>
          <w:rFonts w:ascii="Times New Roman" w:hAnsi="Times New Roman"/>
          <w:sz w:val="24"/>
        </w:rPr>
      </w:pPr>
      <w:r>
        <w:rPr>
          <w:rFonts w:hint="eastAsia" w:ascii="Times New Roman" w:hAnsi="Times New Roman"/>
          <w:sz w:val="24"/>
        </w:rPr>
        <w:t>22.3.2磋商小组启动异常低价投标审查后，属于前述第（1）项至第（4）项情形的，应当要求相关供应商在评审现场合理的时间内对最后报价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785B90A2">
      <w:pPr>
        <w:tabs>
          <w:tab w:val="left" w:pos="900"/>
        </w:tabs>
        <w:spacing w:line="360" w:lineRule="auto"/>
        <w:rPr>
          <w:rFonts w:ascii="Times New Roman" w:hAnsi="Times New Roman"/>
          <w:sz w:val="24"/>
        </w:rPr>
      </w:pPr>
      <w:r>
        <w:rPr>
          <w:rFonts w:hint="eastAsia" w:ascii="Times New Roman" w:hAnsi="Times New Roman"/>
          <w:sz w:val="24"/>
        </w:rPr>
        <w:t>磋商小组依据专业经验，参考同类项目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未实质性响应磋商文件处理。</w:t>
      </w:r>
    </w:p>
    <w:p w14:paraId="7BBB7F62">
      <w:pPr>
        <w:tabs>
          <w:tab w:val="left" w:pos="900"/>
        </w:tabs>
        <w:spacing w:line="360" w:lineRule="auto"/>
        <w:rPr>
          <w:rFonts w:hint="eastAsia" w:ascii="宋体" w:hAnsi="宋体"/>
          <w:sz w:val="24"/>
        </w:rPr>
      </w:pPr>
      <w:r>
        <w:rPr>
          <w:rFonts w:ascii="Times New Roman" w:hAnsi="Times New Roman"/>
          <w:sz w:val="24"/>
        </w:rPr>
        <w:t>22</w:t>
      </w:r>
      <w:r>
        <w:rPr>
          <w:rFonts w:hint="eastAsia" w:ascii="Times New Roman" w:hAnsi="Times New Roman"/>
          <w:sz w:val="24"/>
        </w:rPr>
        <w:t>.4</w:t>
      </w:r>
      <w:r>
        <w:rPr>
          <w:rFonts w:hint="eastAsia" w:ascii="宋体" w:hAnsi="宋体"/>
          <w:sz w:val="24"/>
        </w:rPr>
        <w:t>被认定为未实质性响应磋商文件的响应文件的情形：</w:t>
      </w:r>
    </w:p>
    <w:p w14:paraId="6312C338">
      <w:pPr>
        <w:tabs>
          <w:tab w:val="left" w:pos="900"/>
        </w:tabs>
        <w:spacing w:line="360" w:lineRule="auto"/>
        <w:rPr>
          <w:rFonts w:hint="eastAsia" w:ascii="宋体" w:hAnsi="宋体"/>
          <w:sz w:val="24"/>
        </w:rPr>
      </w:pPr>
      <w:r>
        <w:rPr>
          <w:rFonts w:ascii="Times New Roman" w:hAnsi="Times New Roman"/>
          <w:sz w:val="24"/>
        </w:rPr>
        <w:t>22</w:t>
      </w:r>
      <w:r>
        <w:rPr>
          <w:rFonts w:hint="eastAsia" w:ascii="Times New Roman" w:hAnsi="Times New Roman"/>
          <w:sz w:val="24"/>
        </w:rPr>
        <w:t>.4.1</w:t>
      </w:r>
      <w:r>
        <w:rPr>
          <w:rFonts w:hint="eastAsia" w:ascii="宋体" w:hAnsi="宋体"/>
          <w:sz w:val="24"/>
        </w:rPr>
        <w:t>未按要求交纳磋商保证金的（如果收取）；</w:t>
      </w:r>
    </w:p>
    <w:p w14:paraId="61D8157B">
      <w:pPr>
        <w:tabs>
          <w:tab w:val="left" w:pos="900"/>
        </w:tabs>
        <w:spacing w:line="360" w:lineRule="auto"/>
        <w:rPr>
          <w:rFonts w:hint="eastAsia" w:ascii="宋体" w:hAnsi="宋体"/>
          <w:sz w:val="24"/>
        </w:rPr>
      </w:pPr>
      <w:r>
        <w:rPr>
          <w:rFonts w:ascii="Times New Roman" w:hAnsi="Times New Roman"/>
          <w:sz w:val="24"/>
        </w:rPr>
        <w:t>22</w:t>
      </w:r>
      <w:r>
        <w:rPr>
          <w:rFonts w:hint="eastAsia" w:ascii="Times New Roman" w:hAnsi="Times New Roman"/>
          <w:sz w:val="24"/>
        </w:rPr>
        <w:t>.4.2</w:t>
      </w:r>
      <w:r>
        <w:rPr>
          <w:rFonts w:hint="eastAsia" w:ascii="宋体" w:hAnsi="宋体"/>
          <w:sz w:val="24"/>
        </w:rPr>
        <w:t>未按照磋商文件规定要求密封、签署、盖章的；</w:t>
      </w:r>
    </w:p>
    <w:p w14:paraId="39BCFD3B">
      <w:pPr>
        <w:tabs>
          <w:tab w:val="left" w:pos="900"/>
        </w:tabs>
        <w:spacing w:line="360" w:lineRule="auto"/>
        <w:rPr>
          <w:rFonts w:hint="eastAsia" w:ascii="宋体" w:hAnsi="宋体"/>
          <w:sz w:val="24"/>
        </w:rPr>
      </w:pPr>
      <w:r>
        <w:rPr>
          <w:rFonts w:ascii="Times New Roman" w:hAnsi="Times New Roman"/>
          <w:sz w:val="24"/>
        </w:rPr>
        <w:t>22</w:t>
      </w:r>
      <w:r>
        <w:rPr>
          <w:rFonts w:hint="eastAsia" w:ascii="Times New Roman" w:hAnsi="Times New Roman"/>
          <w:sz w:val="24"/>
        </w:rPr>
        <w:t>.4.3</w:t>
      </w:r>
      <w:r>
        <w:rPr>
          <w:rFonts w:hint="eastAsia" w:ascii="宋体" w:hAnsi="宋体"/>
          <w:sz w:val="24"/>
        </w:rPr>
        <w:t>供应商在报价时采用选择性报价；</w:t>
      </w:r>
    </w:p>
    <w:p w14:paraId="224B8957">
      <w:pPr>
        <w:tabs>
          <w:tab w:val="left" w:pos="900"/>
        </w:tabs>
        <w:spacing w:line="360" w:lineRule="auto"/>
        <w:rPr>
          <w:rFonts w:hint="eastAsia" w:ascii="宋体" w:hAnsi="宋体"/>
          <w:sz w:val="24"/>
        </w:rPr>
      </w:pPr>
      <w:r>
        <w:rPr>
          <w:rFonts w:ascii="Times New Roman" w:hAnsi="Times New Roman"/>
          <w:sz w:val="24"/>
        </w:rPr>
        <w:t>22</w:t>
      </w:r>
      <w:r>
        <w:rPr>
          <w:rFonts w:hint="eastAsia" w:ascii="Times New Roman" w:hAnsi="Times New Roman"/>
          <w:sz w:val="24"/>
        </w:rPr>
        <w:t>.4.4</w:t>
      </w:r>
      <w:r>
        <w:rPr>
          <w:rFonts w:hint="eastAsia" w:ascii="宋体" w:hAnsi="宋体"/>
          <w:sz w:val="24"/>
        </w:rPr>
        <w:t>供应商不符合磋商文件中规定的合格磋商供应商资格要求的；</w:t>
      </w:r>
    </w:p>
    <w:p w14:paraId="46E09E54">
      <w:pPr>
        <w:tabs>
          <w:tab w:val="left" w:pos="900"/>
        </w:tabs>
        <w:spacing w:line="360" w:lineRule="auto"/>
        <w:rPr>
          <w:rFonts w:hint="eastAsia" w:ascii="宋体" w:hAnsi="宋体"/>
          <w:sz w:val="24"/>
        </w:rPr>
      </w:pPr>
      <w:r>
        <w:rPr>
          <w:rFonts w:hint="eastAsia" w:ascii="Times New Roman" w:hAnsi="Times New Roman"/>
          <w:sz w:val="24"/>
        </w:rPr>
        <w:t>2</w:t>
      </w:r>
      <w:r>
        <w:rPr>
          <w:rFonts w:ascii="Times New Roman" w:hAnsi="Times New Roman"/>
          <w:sz w:val="24"/>
        </w:rPr>
        <w:t>2.</w:t>
      </w:r>
      <w:r>
        <w:rPr>
          <w:rFonts w:hint="eastAsia" w:ascii="Times New Roman" w:hAnsi="Times New Roman"/>
          <w:sz w:val="24"/>
        </w:rPr>
        <w:t>4</w:t>
      </w:r>
      <w:r>
        <w:rPr>
          <w:rFonts w:ascii="Times New Roman" w:hAnsi="Times New Roman"/>
          <w:sz w:val="24"/>
        </w:rPr>
        <w:t>.5</w:t>
      </w:r>
      <w:r>
        <w:rPr>
          <w:rFonts w:hint="eastAsia" w:ascii="宋体" w:hAnsi="宋体"/>
          <w:bCs/>
          <w:sz w:val="24"/>
        </w:rPr>
        <w:t>供应商的最后报价超过了采购预算或最高限价的</w:t>
      </w:r>
      <w:r>
        <w:rPr>
          <w:rFonts w:hint="eastAsia" w:ascii="宋体" w:hAnsi="宋体"/>
          <w:sz w:val="24"/>
        </w:rPr>
        <w:t>；</w:t>
      </w:r>
    </w:p>
    <w:p w14:paraId="3226E08C">
      <w:pPr>
        <w:tabs>
          <w:tab w:val="left" w:pos="900"/>
        </w:tabs>
        <w:spacing w:line="360" w:lineRule="auto"/>
        <w:rPr>
          <w:rFonts w:hint="eastAsia" w:ascii="宋体" w:hAnsi="宋体"/>
          <w:b/>
          <w:bCs/>
          <w:i/>
          <w:iCs/>
          <w:sz w:val="24"/>
          <w:u w:val="single"/>
        </w:rPr>
      </w:pPr>
      <w:r>
        <w:rPr>
          <w:rFonts w:ascii="Times New Roman" w:hAnsi="Times New Roman"/>
          <w:sz w:val="24"/>
        </w:rPr>
        <w:t>22</w:t>
      </w:r>
      <w:r>
        <w:rPr>
          <w:rFonts w:hint="eastAsia" w:ascii="Times New Roman" w:hAnsi="Times New Roman"/>
          <w:sz w:val="24"/>
        </w:rPr>
        <w:t>.4.</w:t>
      </w:r>
      <w:r>
        <w:rPr>
          <w:rFonts w:ascii="Times New Roman" w:hAnsi="Times New Roman"/>
          <w:sz w:val="24"/>
        </w:rPr>
        <w:t>6</w:t>
      </w:r>
      <w:r>
        <w:rPr>
          <w:rFonts w:hint="eastAsia" w:ascii="宋体" w:hAnsi="宋体"/>
          <w:sz w:val="24"/>
        </w:rPr>
        <w:t>不符合法律、法规和磋商文件中规定的其他实质性要求和条件的</w:t>
      </w:r>
      <w:r>
        <w:rPr>
          <w:rFonts w:hint="eastAsia" w:ascii="宋体" w:hAnsi="宋体"/>
          <w:b/>
          <w:bCs/>
          <w:i/>
          <w:iCs/>
          <w:sz w:val="24"/>
          <w:u w:val="single"/>
        </w:rPr>
        <w:t>（本磋商文件中斜体加粗且有下划线部分</w:t>
      </w:r>
      <w:r>
        <w:rPr>
          <w:rFonts w:hint="eastAsia" w:ascii="宋体" w:hAnsi="宋体"/>
          <w:sz w:val="24"/>
        </w:rPr>
        <w:t>，或者打“★”内容为实质性要求和条件）；</w:t>
      </w:r>
    </w:p>
    <w:p w14:paraId="18812125">
      <w:pPr>
        <w:tabs>
          <w:tab w:val="left" w:pos="900"/>
        </w:tabs>
        <w:spacing w:line="360" w:lineRule="auto"/>
        <w:rPr>
          <w:rFonts w:hint="eastAsia" w:ascii="宋体" w:hAnsi="宋体"/>
          <w:sz w:val="24"/>
        </w:rPr>
      </w:pPr>
      <w:r>
        <w:rPr>
          <w:rFonts w:ascii="Times New Roman" w:hAnsi="Times New Roman"/>
          <w:sz w:val="24"/>
        </w:rPr>
        <w:t>22</w:t>
      </w:r>
      <w:r>
        <w:rPr>
          <w:rFonts w:hint="eastAsia" w:ascii="Times New Roman" w:hAnsi="Times New Roman"/>
          <w:sz w:val="24"/>
        </w:rPr>
        <w:t>.4.</w:t>
      </w:r>
      <w:r>
        <w:rPr>
          <w:rFonts w:ascii="Times New Roman" w:hAnsi="Times New Roman"/>
          <w:sz w:val="24"/>
        </w:rPr>
        <w:t>7</w:t>
      </w:r>
      <w:r>
        <w:rPr>
          <w:rFonts w:hint="eastAsia" w:ascii="宋体" w:hAnsi="宋体"/>
          <w:sz w:val="24"/>
        </w:rPr>
        <w:t>其他法律、法规及本磋商文件规定的属于未实质性响应的响应文件的情形；</w:t>
      </w:r>
    </w:p>
    <w:p w14:paraId="2CE14A74">
      <w:pPr>
        <w:spacing w:line="360" w:lineRule="auto"/>
        <w:rPr>
          <w:rFonts w:hint="eastAsia" w:ascii="宋体" w:hAnsi="宋体"/>
          <w:sz w:val="24"/>
        </w:rPr>
      </w:pPr>
      <w:r>
        <w:rPr>
          <w:rFonts w:ascii="Times New Roman" w:hAnsi="Times New Roman"/>
          <w:sz w:val="24"/>
        </w:rPr>
        <w:t>22</w:t>
      </w:r>
      <w:r>
        <w:rPr>
          <w:rFonts w:hint="eastAsia" w:ascii="Times New Roman" w:hAnsi="Times New Roman"/>
          <w:sz w:val="24"/>
        </w:rPr>
        <w:t>.4.</w:t>
      </w:r>
      <w:r>
        <w:rPr>
          <w:rFonts w:ascii="Times New Roman" w:hAnsi="Times New Roman"/>
          <w:sz w:val="24"/>
        </w:rPr>
        <w:t>8</w:t>
      </w:r>
      <w:r>
        <w:rPr>
          <w:rFonts w:hint="eastAsia" w:ascii="宋体" w:hAnsi="宋体"/>
          <w:sz w:val="24"/>
        </w:rPr>
        <w:t>供应商被“信用中国”列入失信被执行人或重大税收违法失信主体或政府采购严重违法失信行为记录名单；</w:t>
      </w:r>
    </w:p>
    <w:p w14:paraId="59F21EF4">
      <w:pPr>
        <w:spacing w:line="360" w:lineRule="auto"/>
        <w:rPr>
          <w:rFonts w:hint="eastAsia" w:ascii="宋体" w:hAnsi="宋体"/>
          <w:sz w:val="24"/>
        </w:rPr>
      </w:pPr>
      <w:r>
        <w:rPr>
          <w:rFonts w:hint="eastAsia" w:ascii="Times New Roman" w:hAnsi="Times New Roman"/>
          <w:sz w:val="24"/>
        </w:rPr>
        <w:t>2</w:t>
      </w:r>
      <w:r>
        <w:rPr>
          <w:rFonts w:ascii="Times New Roman" w:hAnsi="Times New Roman"/>
          <w:sz w:val="24"/>
        </w:rPr>
        <w:t>2.</w:t>
      </w:r>
      <w:r>
        <w:rPr>
          <w:rFonts w:hint="eastAsia" w:ascii="Times New Roman" w:hAnsi="Times New Roman"/>
          <w:sz w:val="24"/>
        </w:rPr>
        <w:t>4</w:t>
      </w:r>
      <w:r>
        <w:rPr>
          <w:rFonts w:ascii="Times New Roman" w:hAnsi="Times New Roman"/>
          <w:sz w:val="24"/>
        </w:rPr>
        <w:t>.9</w:t>
      </w:r>
      <w:r>
        <w:rPr>
          <w:rFonts w:hint="eastAsia" w:ascii="宋体" w:hAnsi="宋体"/>
          <w:bCs/>
          <w:sz w:val="24"/>
        </w:rPr>
        <w:t>磋商小组认为磋商供应商的报价明显低于其他通过符合性审查的磋商供应商的报价，有可能影响产品质量或者不能诚信履约的，应当要求其在磋商现场合理的时间内提供书面说明，必要时提交相关证明材料；磋商供应商不能证明其报价合理性的，磋商小组应当将其作为无效响应处理；</w:t>
      </w:r>
    </w:p>
    <w:p w14:paraId="389A562D">
      <w:pPr>
        <w:tabs>
          <w:tab w:val="left" w:pos="900"/>
        </w:tabs>
        <w:spacing w:line="360" w:lineRule="auto"/>
        <w:rPr>
          <w:rFonts w:hint="eastAsia" w:ascii="宋体" w:hAnsi="宋体"/>
          <w:sz w:val="24"/>
        </w:rPr>
      </w:pPr>
      <w:r>
        <w:rPr>
          <w:rFonts w:ascii="Times New Roman" w:hAnsi="Times New Roman"/>
          <w:sz w:val="24"/>
        </w:rPr>
        <w:t>22</w:t>
      </w:r>
      <w:r>
        <w:rPr>
          <w:rFonts w:hint="eastAsia" w:ascii="Times New Roman" w:hAnsi="Times New Roman"/>
          <w:sz w:val="24"/>
        </w:rPr>
        <w:t>.4.</w:t>
      </w:r>
      <w:r>
        <w:rPr>
          <w:rFonts w:ascii="Times New Roman" w:hAnsi="Times New Roman"/>
          <w:sz w:val="24"/>
        </w:rPr>
        <w:t>10</w:t>
      </w:r>
      <w:r>
        <w:rPr>
          <w:rFonts w:hint="eastAsia" w:ascii="宋体" w:hAnsi="宋体"/>
          <w:sz w:val="24"/>
        </w:rPr>
        <w:t>如本项目采购产品被财政部、</w:t>
      </w:r>
      <w:r>
        <w:rPr>
          <w:rFonts w:hint="eastAsia" w:ascii="宋体" w:hAnsi="宋体"/>
          <w:sz w:val="24"/>
          <w:lang w:eastAsia="zh-CN"/>
        </w:rPr>
        <w:t>国家发展改革委</w:t>
      </w:r>
      <w:r>
        <w:rPr>
          <w:rFonts w:hint="eastAsia" w:ascii="宋体" w:hAnsi="宋体"/>
          <w:sz w:val="24"/>
        </w:rPr>
        <w:t>、生态环境部等列入“节能产品目录清单”、“环境标志产品目录清单”强制采购范围，而供应商所响应的产品不在强制采购范围内的；</w:t>
      </w:r>
    </w:p>
    <w:p w14:paraId="13E8C688">
      <w:pPr>
        <w:tabs>
          <w:tab w:val="left" w:pos="900"/>
        </w:tabs>
        <w:spacing w:line="360" w:lineRule="auto"/>
        <w:rPr>
          <w:rFonts w:hint="eastAsia" w:ascii="宋体" w:hAnsi="宋体"/>
          <w:sz w:val="24"/>
        </w:rPr>
      </w:pPr>
      <w:r>
        <w:rPr>
          <w:rFonts w:ascii="Times New Roman" w:hAnsi="Times New Roman"/>
          <w:sz w:val="24"/>
        </w:rPr>
        <w:t>22</w:t>
      </w:r>
      <w:r>
        <w:rPr>
          <w:rFonts w:hint="eastAsia" w:ascii="Times New Roman" w:hAnsi="Times New Roman"/>
          <w:sz w:val="24"/>
        </w:rPr>
        <w:t>.5</w:t>
      </w:r>
      <w:r>
        <w:rPr>
          <w:rFonts w:hint="eastAsia" w:ascii="宋体" w:hAnsi="宋体"/>
          <w:sz w:val="24"/>
        </w:rPr>
        <w:t>未实质性响应磋商文件的响应文件按无效响应处理，磋商小组将予以拒绝，供应商不得通过修改或撤销不合要求的偏离或保留而使其响应文件成为实质性响应的文件。</w:t>
      </w:r>
    </w:p>
    <w:p w14:paraId="3704F389">
      <w:pPr>
        <w:tabs>
          <w:tab w:val="left" w:pos="900"/>
        </w:tabs>
        <w:spacing w:line="360" w:lineRule="auto"/>
        <w:rPr>
          <w:rFonts w:hint="eastAsia" w:ascii="宋体" w:hAnsi="宋体"/>
          <w:sz w:val="24"/>
        </w:rPr>
      </w:pPr>
      <w:r>
        <w:rPr>
          <w:rFonts w:ascii="Times New Roman" w:hAnsi="Times New Roman"/>
          <w:sz w:val="24"/>
        </w:rPr>
        <w:t>22.</w:t>
      </w:r>
      <w:r>
        <w:rPr>
          <w:rFonts w:hint="eastAsia" w:ascii="Times New Roman" w:hAnsi="Times New Roman"/>
          <w:sz w:val="24"/>
        </w:rPr>
        <w:t>6</w:t>
      </w:r>
      <w:r>
        <w:rPr>
          <w:rFonts w:hint="eastAsia" w:ascii="宋体" w:hAnsi="宋体"/>
          <w:sz w:val="24"/>
        </w:rPr>
        <w:t>磋商小组将允许修正响应文件中不构成重大负偏离的、微小的、非正规的、不一致的或不规则的地方，但这些修改不能影响任何供应商相应的名次排列。</w:t>
      </w:r>
    </w:p>
    <w:p w14:paraId="1419B56A">
      <w:pPr>
        <w:tabs>
          <w:tab w:val="left" w:pos="900"/>
        </w:tabs>
        <w:spacing w:line="360" w:lineRule="auto"/>
        <w:rPr>
          <w:rFonts w:hint="eastAsia" w:ascii="宋体" w:hAnsi="宋体"/>
          <w:b/>
          <w:sz w:val="24"/>
        </w:rPr>
      </w:pPr>
      <w:r>
        <w:rPr>
          <w:rFonts w:ascii="Times New Roman" w:hAnsi="Times New Roman"/>
          <w:b/>
          <w:sz w:val="24"/>
        </w:rPr>
        <w:t>23、</w:t>
      </w:r>
      <w:r>
        <w:rPr>
          <w:rFonts w:hint="eastAsia" w:ascii="宋体" w:hAnsi="宋体"/>
          <w:b/>
          <w:sz w:val="24"/>
        </w:rPr>
        <w:t>磋商程序及评审方法和标准</w:t>
      </w:r>
    </w:p>
    <w:p w14:paraId="39517029">
      <w:pPr>
        <w:tabs>
          <w:tab w:val="left" w:pos="900"/>
        </w:tabs>
        <w:spacing w:line="360" w:lineRule="auto"/>
        <w:rPr>
          <w:rFonts w:ascii="Times New Roman" w:hAnsi="Times New Roman"/>
          <w:sz w:val="24"/>
        </w:rPr>
      </w:pPr>
      <w:r>
        <w:rPr>
          <w:rFonts w:ascii="Times New Roman" w:hAnsi="Times New Roman"/>
          <w:sz w:val="24"/>
        </w:rPr>
        <w:t>23.1磋商程序</w:t>
      </w:r>
    </w:p>
    <w:p w14:paraId="0448A7C5">
      <w:pPr>
        <w:tabs>
          <w:tab w:val="left" w:pos="900"/>
        </w:tabs>
        <w:spacing w:line="360" w:lineRule="auto"/>
        <w:rPr>
          <w:rFonts w:ascii="Times New Roman" w:hAnsi="Times New Roman"/>
          <w:sz w:val="24"/>
        </w:rPr>
      </w:pPr>
      <w:r>
        <w:rPr>
          <w:rFonts w:ascii="Times New Roman" w:hAnsi="Times New Roman"/>
          <w:sz w:val="24"/>
        </w:rPr>
        <w:t>23.1.1对于通过资格性和符合性审查的供应商，磋商小组所有成员将集中与单一供应商分别进行磋商。</w:t>
      </w:r>
    </w:p>
    <w:p w14:paraId="7258DFFE">
      <w:pPr>
        <w:tabs>
          <w:tab w:val="left" w:pos="900"/>
        </w:tabs>
        <w:spacing w:line="360" w:lineRule="auto"/>
        <w:rPr>
          <w:rFonts w:ascii="Times New Roman" w:hAnsi="Times New Roman"/>
          <w:sz w:val="24"/>
        </w:rPr>
      </w:pPr>
      <w:r>
        <w:rPr>
          <w:rFonts w:ascii="Times New Roman" w:hAnsi="Times New Roman"/>
          <w:sz w:val="24"/>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14:paraId="569612A7">
      <w:pPr>
        <w:tabs>
          <w:tab w:val="left" w:pos="900"/>
        </w:tabs>
        <w:spacing w:line="360" w:lineRule="auto"/>
        <w:rPr>
          <w:rFonts w:ascii="Times New Roman" w:hAnsi="Times New Roman"/>
          <w:sz w:val="24"/>
        </w:rPr>
      </w:pPr>
      <w:r>
        <w:rPr>
          <w:rFonts w:ascii="Times New Roman" w:hAnsi="Times New Roman"/>
          <w:sz w:val="24"/>
        </w:rPr>
        <w:t>23.1.2磋商文件能够详细列明采购标的的技术、服务要求的，磋商结束后，磋商小组将要求所有实质性响应的供应商在规定时间内提交最后报价。</w:t>
      </w:r>
    </w:p>
    <w:p w14:paraId="5656626A">
      <w:pPr>
        <w:tabs>
          <w:tab w:val="left" w:pos="900"/>
        </w:tabs>
        <w:spacing w:line="360" w:lineRule="auto"/>
        <w:rPr>
          <w:rFonts w:ascii="Times New Roman" w:hAnsi="Times New Roman"/>
          <w:sz w:val="24"/>
        </w:rPr>
      </w:pPr>
      <w:r>
        <w:rPr>
          <w:rFonts w:ascii="Times New Roman" w:hAnsi="Times New Roman"/>
          <w:sz w:val="24"/>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14:paraId="4B0A5CDE">
      <w:pPr>
        <w:tabs>
          <w:tab w:val="left" w:pos="900"/>
        </w:tabs>
        <w:spacing w:line="360" w:lineRule="auto"/>
        <w:rPr>
          <w:rFonts w:ascii="Times New Roman" w:hAnsi="Times New Roman"/>
          <w:sz w:val="24"/>
        </w:rPr>
      </w:pPr>
      <w:r>
        <w:rPr>
          <w:rFonts w:ascii="Times New Roman" w:hAnsi="Times New Roman"/>
          <w:sz w:val="24"/>
        </w:rPr>
        <w:t>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14:paraId="67997AC0">
      <w:pPr>
        <w:tabs>
          <w:tab w:val="left" w:pos="900"/>
        </w:tabs>
        <w:spacing w:line="360" w:lineRule="auto"/>
        <w:rPr>
          <w:rFonts w:ascii="Times New Roman" w:hAnsi="Times New Roman"/>
          <w:sz w:val="24"/>
        </w:rPr>
      </w:pPr>
      <w:r>
        <w:rPr>
          <w:rFonts w:ascii="Times New Roman" w:hAnsi="Times New Roman"/>
          <w:sz w:val="24"/>
        </w:rPr>
        <w:t>23.1.3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代理机构将退还退出磋商的供应商的磋商保证金（如果收取）。</w:t>
      </w:r>
    </w:p>
    <w:p w14:paraId="06070A3F">
      <w:pPr>
        <w:tabs>
          <w:tab w:val="left" w:pos="900"/>
        </w:tabs>
        <w:spacing w:line="360" w:lineRule="auto"/>
        <w:rPr>
          <w:rFonts w:ascii="Times New Roman" w:hAnsi="Times New Roman"/>
          <w:sz w:val="24"/>
        </w:rPr>
      </w:pPr>
      <w:r>
        <w:rPr>
          <w:rFonts w:ascii="Times New Roman" w:hAnsi="Times New Roman"/>
          <w:sz w:val="24"/>
        </w:rPr>
        <w:t>23.2评审方法和评审标准</w:t>
      </w:r>
    </w:p>
    <w:p w14:paraId="5720B4FA">
      <w:pPr>
        <w:tabs>
          <w:tab w:val="left" w:pos="900"/>
        </w:tabs>
        <w:spacing w:line="360" w:lineRule="auto"/>
        <w:rPr>
          <w:rFonts w:ascii="Times New Roman" w:hAnsi="Times New Roman"/>
          <w:sz w:val="24"/>
        </w:rPr>
      </w:pPr>
      <w:r>
        <w:rPr>
          <w:rFonts w:ascii="Times New Roman" w:hAnsi="Times New Roman"/>
          <w:sz w:val="24"/>
        </w:rPr>
        <w:t>23.2.1评审方法。经磋商确定最终采购需求和提交最后报价的供应商后，由磋商小组采用综合评分法对提交最后报价的供应商的响应文件和最后报价进行综合评分。</w:t>
      </w:r>
    </w:p>
    <w:p w14:paraId="1CCBCD77">
      <w:pPr>
        <w:tabs>
          <w:tab w:val="left" w:pos="900"/>
        </w:tabs>
        <w:spacing w:line="360" w:lineRule="auto"/>
        <w:rPr>
          <w:rFonts w:ascii="Times New Roman" w:hAnsi="Times New Roman"/>
          <w:sz w:val="24"/>
        </w:rPr>
      </w:pPr>
      <w:r>
        <w:rPr>
          <w:rFonts w:ascii="Times New Roman" w:hAnsi="Times New Roman"/>
          <w:sz w:val="24"/>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5195FE42">
      <w:pPr>
        <w:tabs>
          <w:tab w:val="left" w:pos="900"/>
        </w:tabs>
        <w:spacing w:line="360" w:lineRule="auto"/>
        <w:rPr>
          <w:rFonts w:ascii="Times New Roman" w:hAnsi="Times New Roman"/>
          <w:sz w:val="24"/>
        </w:rPr>
      </w:pPr>
      <w:r>
        <w:rPr>
          <w:rFonts w:ascii="Times New Roman" w:hAnsi="Times New Roman"/>
          <w:sz w:val="24"/>
        </w:rPr>
        <w:t>23.2.2评审标准</w:t>
      </w:r>
    </w:p>
    <w:p w14:paraId="02481461">
      <w:pPr>
        <w:tabs>
          <w:tab w:val="left" w:pos="900"/>
        </w:tabs>
        <w:spacing w:line="360" w:lineRule="auto"/>
        <w:rPr>
          <w:rFonts w:ascii="Times New Roman" w:hAnsi="Times New Roman"/>
          <w:sz w:val="24"/>
        </w:rPr>
      </w:pPr>
      <w:r>
        <w:rPr>
          <w:rFonts w:ascii="Times New Roman" w:hAnsi="Times New Roman"/>
          <w:sz w:val="24"/>
        </w:rPr>
        <w:t>见本磋商文件第五章规定。</w:t>
      </w:r>
    </w:p>
    <w:p w14:paraId="22427E05">
      <w:pPr>
        <w:tabs>
          <w:tab w:val="left" w:pos="900"/>
        </w:tabs>
        <w:spacing w:line="360" w:lineRule="auto"/>
        <w:rPr>
          <w:rFonts w:ascii="Times New Roman" w:hAnsi="Times New Roman"/>
          <w:sz w:val="24"/>
        </w:rPr>
      </w:pPr>
      <w:r>
        <w:rPr>
          <w:rFonts w:ascii="Times New Roman" w:hAnsi="Times New Roman"/>
          <w:sz w:val="24"/>
        </w:rPr>
        <w:t>23.3采购活动终止的情况</w:t>
      </w:r>
    </w:p>
    <w:p w14:paraId="6BE942CF">
      <w:pPr>
        <w:tabs>
          <w:tab w:val="left" w:pos="900"/>
        </w:tabs>
        <w:spacing w:line="360" w:lineRule="auto"/>
        <w:rPr>
          <w:rFonts w:ascii="Times New Roman" w:hAnsi="Times New Roman"/>
          <w:sz w:val="24"/>
        </w:rPr>
      </w:pPr>
      <w:r>
        <w:rPr>
          <w:rFonts w:ascii="Times New Roman" w:hAnsi="Times New Roman"/>
          <w:sz w:val="24"/>
        </w:rPr>
        <w:t>出现下列情形之一的，本次竞争性磋商采购活动将被终止：</w:t>
      </w:r>
    </w:p>
    <w:p w14:paraId="6EB4EA7E">
      <w:pPr>
        <w:tabs>
          <w:tab w:val="left" w:pos="900"/>
        </w:tabs>
        <w:spacing w:line="360" w:lineRule="auto"/>
        <w:rPr>
          <w:rFonts w:ascii="Times New Roman" w:hAnsi="Times New Roman"/>
          <w:sz w:val="24"/>
        </w:rPr>
      </w:pPr>
      <w:r>
        <w:rPr>
          <w:rFonts w:ascii="Times New Roman" w:hAnsi="Times New Roman"/>
          <w:sz w:val="24"/>
        </w:rPr>
        <w:t>23.3.1因情况变化，不再符合规定的竞争性磋商采购方式适用情形的；</w:t>
      </w:r>
    </w:p>
    <w:p w14:paraId="2D94E82C">
      <w:pPr>
        <w:tabs>
          <w:tab w:val="left" w:pos="900"/>
        </w:tabs>
        <w:spacing w:line="360" w:lineRule="auto"/>
        <w:rPr>
          <w:rFonts w:ascii="Times New Roman" w:hAnsi="Times New Roman"/>
          <w:sz w:val="24"/>
        </w:rPr>
      </w:pPr>
      <w:r>
        <w:rPr>
          <w:rFonts w:ascii="Times New Roman" w:hAnsi="Times New Roman"/>
          <w:sz w:val="24"/>
        </w:rPr>
        <w:t>23.3.2出现影响采购公正的违法、违规行为的；</w:t>
      </w:r>
    </w:p>
    <w:p w14:paraId="449BB853">
      <w:pPr>
        <w:tabs>
          <w:tab w:val="left" w:pos="900"/>
        </w:tabs>
        <w:spacing w:line="360" w:lineRule="auto"/>
        <w:rPr>
          <w:rFonts w:ascii="Times New Roman" w:hAnsi="Times New Roman"/>
          <w:sz w:val="24"/>
        </w:rPr>
      </w:pPr>
      <w:r>
        <w:rPr>
          <w:rFonts w:ascii="Times New Roman" w:hAnsi="Times New Roman"/>
          <w:sz w:val="24"/>
        </w:rPr>
        <w:t>23.3.3除本磋商文件第23.1.2条第三款规定的情形外，在采购过程中符合要求的供应商或者报价未超过采购预算的供应商不足3家的。</w:t>
      </w:r>
    </w:p>
    <w:p w14:paraId="24FB27EA">
      <w:pPr>
        <w:jc w:val="center"/>
        <w:outlineLvl w:val="1"/>
        <w:rPr>
          <w:b/>
          <w:bCs/>
          <w:sz w:val="28"/>
          <w:szCs w:val="36"/>
        </w:rPr>
      </w:pPr>
      <w:bookmarkStart w:id="29" w:name="_Toc155687989"/>
      <w:bookmarkStart w:id="30" w:name="_Toc171605455"/>
      <w:bookmarkStart w:id="31" w:name="_Toc171512435"/>
      <w:r>
        <w:rPr>
          <w:rFonts w:hint="eastAsia"/>
          <w:b/>
          <w:bCs/>
          <w:sz w:val="28"/>
          <w:szCs w:val="36"/>
        </w:rPr>
        <w:t>五、成交</w:t>
      </w:r>
      <w:bookmarkEnd w:id="29"/>
      <w:bookmarkEnd w:id="30"/>
      <w:bookmarkEnd w:id="31"/>
    </w:p>
    <w:p w14:paraId="5236F4BA">
      <w:pPr>
        <w:tabs>
          <w:tab w:val="left" w:pos="900"/>
        </w:tabs>
        <w:spacing w:line="360" w:lineRule="auto"/>
        <w:rPr>
          <w:rFonts w:hint="eastAsia" w:ascii="宋体" w:hAnsi="宋体"/>
          <w:b/>
          <w:sz w:val="24"/>
        </w:rPr>
      </w:pPr>
      <w:r>
        <w:rPr>
          <w:rFonts w:ascii="Times New Roman" w:hAnsi="Times New Roman"/>
          <w:b/>
          <w:sz w:val="24"/>
        </w:rPr>
        <w:t>24、</w:t>
      </w:r>
      <w:r>
        <w:rPr>
          <w:rFonts w:hint="eastAsia" w:ascii="宋体" w:hAnsi="宋体"/>
          <w:b/>
          <w:sz w:val="24"/>
        </w:rPr>
        <w:t>确定成交单位</w:t>
      </w:r>
    </w:p>
    <w:p w14:paraId="215770AB">
      <w:pPr>
        <w:tabs>
          <w:tab w:val="left" w:pos="900"/>
        </w:tabs>
        <w:spacing w:line="360" w:lineRule="auto"/>
        <w:rPr>
          <w:rFonts w:hint="eastAsia" w:ascii="宋体" w:hAnsi="宋体"/>
          <w:sz w:val="24"/>
        </w:rPr>
      </w:pPr>
      <w:r>
        <w:rPr>
          <w:rFonts w:ascii="Times New Roman" w:hAnsi="Times New Roman"/>
          <w:sz w:val="24"/>
        </w:rPr>
        <w:t>24</w:t>
      </w:r>
      <w:r>
        <w:rPr>
          <w:rFonts w:hint="eastAsia" w:ascii="Times New Roman" w:hAnsi="Times New Roman"/>
          <w:sz w:val="24"/>
        </w:rPr>
        <w:t>.1</w:t>
      </w:r>
      <w:r>
        <w:rPr>
          <w:rFonts w:hint="eastAsia" w:ascii="宋体" w:hAnsi="宋体"/>
          <w:sz w:val="24"/>
        </w:rPr>
        <w:t>磋商小组根据综合评分情况，按照评审得分由高到低顺序推荐</w:t>
      </w:r>
      <w:r>
        <w:rPr>
          <w:rFonts w:hint="eastAsia" w:ascii="Times New Roman" w:hAnsi="Times New Roman"/>
          <w:sz w:val="24"/>
        </w:rPr>
        <w:t>3</w:t>
      </w:r>
      <w:r>
        <w:rPr>
          <w:rFonts w:hint="eastAsia" w:ascii="宋体" w:hAnsi="宋体"/>
          <w:sz w:val="24"/>
        </w:rPr>
        <w:t>名成交候选供应商，并编写评审报告。符合本文件第</w:t>
      </w:r>
      <w:r>
        <w:rPr>
          <w:rFonts w:ascii="Times New Roman" w:hAnsi="Times New Roman"/>
          <w:sz w:val="24"/>
        </w:rPr>
        <w:t>23.1.2</w:t>
      </w:r>
      <w:r>
        <w:rPr>
          <w:rFonts w:hint="eastAsia" w:ascii="宋体" w:hAnsi="宋体"/>
          <w:sz w:val="24"/>
        </w:rPr>
        <w:t>条情形的，可以推荐</w:t>
      </w:r>
      <w:r>
        <w:rPr>
          <w:rFonts w:hint="eastAsia" w:ascii="Times New Roman" w:hAnsi="Times New Roman"/>
          <w:sz w:val="24"/>
        </w:rPr>
        <w:t>2</w:t>
      </w:r>
      <w:r>
        <w:rPr>
          <w:rFonts w:hint="eastAsia" w:ascii="宋体" w:hAnsi="宋体"/>
          <w:sz w:val="24"/>
        </w:rPr>
        <w:t>家成交候选供应商。评审得分相同的，按照最后报价由低到高的顺序推荐。评审得分且最后报价相同的，按照技术指标优劣顺序推荐。</w:t>
      </w:r>
    </w:p>
    <w:p w14:paraId="328A1595">
      <w:pPr>
        <w:tabs>
          <w:tab w:val="left" w:pos="900"/>
        </w:tabs>
        <w:spacing w:line="360" w:lineRule="auto"/>
        <w:rPr>
          <w:rFonts w:hint="eastAsia" w:ascii="宋体" w:hAnsi="宋体"/>
          <w:sz w:val="24"/>
        </w:rPr>
      </w:pPr>
      <w:r>
        <w:rPr>
          <w:rFonts w:ascii="Times New Roman" w:hAnsi="Times New Roman"/>
          <w:sz w:val="24"/>
        </w:rPr>
        <w:t>24</w:t>
      </w:r>
      <w:r>
        <w:rPr>
          <w:rFonts w:hint="eastAsia" w:ascii="Times New Roman" w:hAnsi="Times New Roman"/>
          <w:sz w:val="24"/>
        </w:rPr>
        <w:t>.2</w:t>
      </w:r>
      <w:r>
        <w:rPr>
          <w:rFonts w:hint="eastAsia" w:ascii="宋体" w:hAnsi="宋体"/>
          <w:sz w:val="24"/>
        </w:rPr>
        <w:t>采购人根据磋商小组推荐的成交候选人确定成交供应商。采购人确定成交供应商后，代理机构将在本项目磋商文件第一章规定的公告发布媒体上发布成交结果公告，公告期限为</w:t>
      </w:r>
      <w:r>
        <w:rPr>
          <w:rFonts w:ascii="Times New Roman" w:hAnsi="Times New Roman"/>
          <w:sz w:val="24"/>
        </w:rPr>
        <w:t>1</w:t>
      </w:r>
      <w:r>
        <w:rPr>
          <w:rFonts w:hint="eastAsia" w:ascii="宋体" w:hAnsi="宋体"/>
          <w:sz w:val="24"/>
        </w:rPr>
        <w:t>个工作日。</w:t>
      </w:r>
    </w:p>
    <w:p w14:paraId="766AB736">
      <w:pPr>
        <w:spacing w:line="360" w:lineRule="auto"/>
        <w:rPr>
          <w:rFonts w:hint="eastAsia" w:ascii="宋体" w:hAnsi="宋体"/>
          <w:sz w:val="24"/>
        </w:rPr>
      </w:pPr>
      <w:r>
        <w:rPr>
          <w:rFonts w:hint="eastAsia" w:ascii="Times New Roman" w:hAnsi="Times New Roman"/>
          <w:sz w:val="24"/>
        </w:rPr>
        <w:t>2</w:t>
      </w:r>
      <w:r>
        <w:rPr>
          <w:rFonts w:ascii="Times New Roman" w:hAnsi="Times New Roman"/>
          <w:sz w:val="24"/>
        </w:rPr>
        <w:t>4.3</w:t>
      </w:r>
      <w:r>
        <w:rPr>
          <w:rFonts w:hint="eastAsia" w:ascii="宋体" w:hAnsi="宋体"/>
          <w:sz w:val="24"/>
        </w:rPr>
        <w:t>成交结果确定后，代理机构将通知成交供应商领取成交通知书。供应商必须准确填写“磋商响应函”中的通讯信息，并确保通讯设备畅通，如因相关信息填写错误或通讯设备不畅导致无法及时接收领取成交通知书的信息，由此引起的所有后果和责任由供应商自行承担。</w:t>
      </w:r>
    </w:p>
    <w:p w14:paraId="77039AC2">
      <w:pPr>
        <w:tabs>
          <w:tab w:val="left" w:pos="900"/>
        </w:tabs>
        <w:spacing w:line="360" w:lineRule="auto"/>
        <w:rPr>
          <w:rFonts w:hint="eastAsia" w:ascii="宋体" w:hAnsi="宋体"/>
          <w:sz w:val="24"/>
        </w:rPr>
      </w:pPr>
      <w:r>
        <w:rPr>
          <w:rFonts w:ascii="Times New Roman" w:hAnsi="Times New Roman"/>
          <w:sz w:val="24"/>
        </w:rPr>
        <w:t>24</w:t>
      </w:r>
      <w:r>
        <w:rPr>
          <w:rFonts w:hint="eastAsia" w:ascii="Times New Roman" w:hAnsi="Times New Roman"/>
          <w:sz w:val="24"/>
        </w:rPr>
        <w:t>.</w:t>
      </w:r>
      <w:r>
        <w:rPr>
          <w:rFonts w:ascii="Times New Roman" w:hAnsi="Times New Roman"/>
          <w:sz w:val="24"/>
        </w:rPr>
        <w:t>4</w:t>
      </w:r>
      <w:r>
        <w:rPr>
          <w:rFonts w:hint="eastAsia" w:ascii="宋体" w:hAnsi="宋体"/>
          <w:sz w:val="24"/>
        </w:rPr>
        <w:t>若有充分证据证明，成交供应商出现下列情况之一的，一经查实，将被取消成交资格：</w:t>
      </w:r>
    </w:p>
    <w:p w14:paraId="60550653">
      <w:pPr>
        <w:tabs>
          <w:tab w:val="left" w:pos="900"/>
        </w:tabs>
        <w:spacing w:line="360" w:lineRule="auto"/>
        <w:rPr>
          <w:rFonts w:hint="eastAsia" w:ascii="宋体" w:hAnsi="宋体"/>
          <w:sz w:val="24"/>
        </w:rPr>
      </w:pPr>
      <w:r>
        <w:rPr>
          <w:rFonts w:ascii="Times New Roman" w:hAnsi="Times New Roman"/>
          <w:sz w:val="24"/>
        </w:rPr>
        <w:t>24.4</w:t>
      </w:r>
      <w:r>
        <w:rPr>
          <w:rFonts w:hint="eastAsia" w:ascii="Times New Roman" w:hAnsi="Times New Roman"/>
          <w:sz w:val="24"/>
        </w:rPr>
        <w:t>.1</w:t>
      </w:r>
      <w:r>
        <w:rPr>
          <w:rFonts w:hint="eastAsia" w:ascii="宋体" w:hAnsi="宋体"/>
          <w:sz w:val="24"/>
        </w:rPr>
        <w:t>提供虚假材料谋取成交的；</w:t>
      </w:r>
    </w:p>
    <w:p w14:paraId="38E0961D">
      <w:pPr>
        <w:tabs>
          <w:tab w:val="left" w:pos="900"/>
        </w:tabs>
        <w:spacing w:line="360" w:lineRule="auto"/>
        <w:rPr>
          <w:rFonts w:hint="eastAsia" w:ascii="宋体" w:hAnsi="宋体"/>
          <w:sz w:val="24"/>
        </w:rPr>
      </w:pPr>
      <w:r>
        <w:rPr>
          <w:rFonts w:ascii="Times New Roman" w:hAnsi="Times New Roman"/>
          <w:sz w:val="24"/>
        </w:rPr>
        <w:t>24</w:t>
      </w:r>
      <w:r>
        <w:rPr>
          <w:rFonts w:hint="eastAsia" w:ascii="Times New Roman" w:hAnsi="Times New Roman"/>
          <w:sz w:val="24"/>
        </w:rPr>
        <w:t>.</w:t>
      </w:r>
      <w:r>
        <w:rPr>
          <w:rFonts w:ascii="Times New Roman" w:hAnsi="Times New Roman"/>
          <w:sz w:val="24"/>
        </w:rPr>
        <w:t>4</w:t>
      </w:r>
      <w:r>
        <w:rPr>
          <w:rFonts w:hint="eastAsia" w:ascii="Times New Roman" w:hAnsi="Times New Roman"/>
          <w:sz w:val="24"/>
        </w:rPr>
        <w:t>.2</w:t>
      </w:r>
      <w:r>
        <w:rPr>
          <w:rFonts w:hint="eastAsia" w:ascii="宋体" w:hAnsi="宋体"/>
          <w:sz w:val="24"/>
        </w:rPr>
        <w:t>与评审专家、采购人、其他供应商或者代理机构工作人员恶意串通的；</w:t>
      </w:r>
    </w:p>
    <w:p w14:paraId="1AEBA8F5">
      <w:pPr>
        <w:tabs>
          <w:tab w:val="left" w:pos="900"/>
        </w:tabs>
        <w:spacing w:line="360" w:lineRule="auto"/>
        <w:rPr>
          <w:rFonts w:hint="eastAsia" w:ascii="宋体" w:hAnsi="宋体"/>
          <w:sz w:val="24"/>
        </w:rPr>
      </w:pPr>
      <w:r>
        <w:rPr>
          <w:rFonts w:ascii="Times New Roman" w:hAnsi="Times New Roman"/>
          <w:sz w:val="24"/>
        </w:rPr>
        <w:t>24</w:t>
      </w:r>
      <w:r>
        <w:rPr>
          <w:rFonts w:hint="eastAsia" w:ascii="Times New Roman" w:hAnsi="Times New Roman"/>
          <w:sz w:val="24"/>
        </w:rPr>
        <w:t>.</w:t>
      </w:r>
      <w:r>
        <w:rPr>
          <w:rFonts w:ascii="Times New Roman" w:hAnsi="Times New Roman"/>
          <w:sz w:val="24"/>
        </w:rPr>
        <w:t>4</w:t>
      </w:r>
      <w:r>
        <w:rPr>
          <w:rFonts w:hint="eastAsia" w:ascii="Times New Roman" w:hAnsi="Times New Roman"/>
          <w:sz w:val="24"/>
        </w:rPr>
        <w:t>.3</w:t>
      </w:r>
      <w:r>
        <w:rPr>
          <w:rFonts w:hint="eastAsia" w:ascii="宋体" w:hAnsi="宋体"/>
          <w:sz w:val="24"/>
        </w:rPr>
        <w:t>向评审专家、采购人或代理机构工作人员行贿或者提供其他不正当利益的；</w:t>
      </w:r>
    </w:p>
    <w:p w14:paraId="5DBD9159">
      <w:pPr>
        <w:tabs>
          <w:tab w:val="left" w:pos="900"/>
        </w:tabs>
        <w:spacing w:line="360" w:lineRule="auto"/>
        <w:rPr>
          <w:rFonts w:hint="eastAsia" w:ascii="宋体" w:hAnsi="宋体"/>
          <w:sz w:val="24"/>
        </w:rPr>
      </w:pPr>
      <w:r>
        <w:rPr>
          <w:rFonts w:ascii="Times New Roman" w:hAnsi="Times New Roman"/>
          <w:sz w:val="24"/>
        </w:rPr>
        <w:t>24</w:t>
      </w:r>
      <w:r>
        <w:rPr>
          <w:rFonts w:hint="eastAsia" w:ascii="Times New Roman" w:hAnsi="Times New Roman"/>
          <w:sz w:val="24"/>
        </w:rPr>
        <w:t>.</w:t>
      </w:r>
      <w:r>
        <w:rPr>
          <w:rFonts w:ascii="Times New Roman" w:hAnsi="Times New Roman"/>
          <w:sz w:val="24"/>
        </w:rPr>
        <w:t>4</w:t>
      </w:r>
      <w:r>
        <w:rPr>
          <w:rFonts w:hint="eastAsia" w:ascii="Times New Roman" w:hAnsi="Times New Roman"/>
          <w:sz w:val="24"/>
        </w:rPr>
        <w:t>.</w:t>
      </w:r>
      <w:r>
        <w:rPr>
          <w:rFonts w:ascii="Times New Roman" w:hAnsi="Times New Roman"/>
          <w:sz w:val="24"/>
        </w:rPr>
        <w:t>4</w:t>
      </w:r>
      <w:r>
        <w:rPr>
          <w:rFonts w:hint="eastAsia" w:ascii="宋体" w:hAnsi="宋体"/>
          <w:sz w:val="24"/>
        </w:rPr>
        <w:t>不满足本磋商文件规定的实质性要求，但在评审过程中又未被磋商小组发现的；</w:t>
      </w:r>
    </w:p>
    <w:p w14:paraId="4C7DF513">
      <w:pPr>
        <w:tabs>
          <w:tab w:val="left" w:pos="900"/>
        </w:tabs>
        <w:spacing w:line="360" w:lineRule="auto"/>
        <w:rPr>
          <w:rFonts w:hint="eastAsia" w:ascii="宋体" w:hAnsi="宋体"/>
          <w:sz w:val="24"/>
        </w:rPr>
      </w:pPr>
      <w:r>
        <w:rPr>
          <w:rFonts w:ascii="Times New Roman" w:hAnsi="Times New Roman"/>
          <w:sz w:val="24"/>
        </w:rPr>
        <w:t>24</w:t>
      </w:r>
      <w:r>
        <w:rPr>
          <w:rFonts w:hint="eastAsia" w:ascii="Times New Roman" w:hAnsi="Times New Roman"/>
          <w:sz w:val="24"/>
        </w:rPr>
        <w:t>.</w:t>
      </w:r>
      <w:r>
        <w:rPr>
          <w:rFonts w:ascii="Times New Roman" w:hAnsi="Times New Roman"/>
          <w:sz w:val="24"/>
        </w:rPr>
        <w:t>4</w:t>
      </w:r>
      <w:r>
        <w:rPr>
          <w:rFonts w:hint="eastAsia" w:ascii="Times New Roman" w:hAnsi="Times New Roman"/>
          <w:sz w:val="24"/>
        </w:rPr>
        <w:t>.</w:t>
      </w:r>
      <w:r>
        <w:rPr>
          <w:rFonts w:ascii="Times New Roman" w:hAnsi="Times New Roman"/>
          <w:sz w:val="24"/>
        </w:rPr>
        <w:t>5</w:t>
      </w:r>
      <w:r>
        <w:rPr>
          <w:rFonts w:hint="eastAsia" w:ascii="宋体" w:hAnsi="宋体"/>
          <w:sz w:val="24"/>
        </w:rPr>
        <w:t>成交后无正当理由拒不与采购人签订政府采购合同或者未按照磋商文件确定的事项签订政府采购合同；</w:t>
      </w:r>
    </w:p>
    <w:p w14:paraId="172FA967">
      <w:pPr>
        <w:tabs>
          <w:tab w:val="left" w:pos="900"/>
        </w:tabs>
        <w:spacing w:line="360" w:lineRule="auto"/>
        <w:rPr>
          <w:rFonts w:hint="eastAsia" w:ascii="宋体" w:hAnsi="宋体"/>
          <w:sz w:val="24"/>
        </w:rPr>
      </w:pPr>
      <w:r>
        <w:rPr>
          <w:rFonts w:ascii="Times New Roman" w:hAnsi="Times New Roman"/>
          <w:sz w:val="24"/>
        </w:rPr>
        <w:t>24</w:t>
      </w:r>
      <w:r>
        <w:rPr>
          <w:rFonts w:hint="eastAsia" w:ascii="Times New Roman" w:hAnsi="Times New Roman"/>
          <w:sz w:val="24"/>
        </w:rPr>
        <w:t>.</w:t>
      </w:r>
      <w:r>
        <w:rPr>
          <w:rFonts w:ascii="Times New Roman" w:hAnsi="Times New Roman"/>
          <w:sz w:val="24"/>
        </w:rPr>
        <w:t>4</w:t>
      </w:r>
      <w:r>
        <w:rPr>
          <w:rFonts w:hint="eastAsia" w:ascii="Times New Roman" w:hAnsi="Times New Roman"/>
          <w:sz w:val="24"/>
        </w:rPr>
        <w:t>.</w:t>
      </w:r>
      <w:r>
        <w:rPr>
          <w:rFonts w:ascii="Times New Roman" w:hAnsi="Times New Roman"/>
          <w:sz w:val="24"/>
        </w:rPr>
        <w:t>6</w:t>
      </w:r>
      <w:r>
        <w:rPr>
          <w:rFonts w:hint="eastAsia" w:ascii="宋体" w:hAnsi="宋体"/>
          <w:sz w:val="24"/>
        </w:rPr>
        <w:t>将政府采购合同转包；</w:t>
      </w:r>
    </w:p>
    <w:p w14:paraId="1A82A38B">
      <w:pPr>
        <w:tabs>
          <w:tab w:val="left" w:pos="900"/>
        </w:tabs>
        <w:spacing w:line="360" w:lineRule="auto"/>
        <w:rPr>
          <w:rFonts w:hint="eastAsia" w:ascii="宋体" w:hAnsi="宋体"/>
          <w:sz w:val="24"/>
        </w:rPr>
      </w:pPr>
      <w:r>
        <w:rPr>
          <w:rFonts w:ascii="Times New Roman" w:hAnsi="Times New Roman"/>
          <w:sz w:val="24"/>
        </w:rPr>
        <w:t>24</w:t>
      </w:r>
      <w:r>
        <w:rPr>
          <w:rFonts w:hint="eastAsia" w:ascii="Times New Roman" w:hAnsi="Times New Roman"/>
          <w:sz w:val="24"/>
        </w:rPr>
        <w:t>.</w:t>
      </w:r>
      <w:r>
        <w:rPr>
          <w:rFonts w:ascii="Times New Roman" w:hAnsi="Times New Roman"/>
          <w:sz w:val="24"/>
        </w:rPr>
        <w:t>4</w:t>
      </w:r>
      <w:r>
        <w:rPr>
          <w:rFonts w:hint="eastAsia" w:ascii="Times New Roman" w:hAnsi="Times New Roman"/>
          <w:sz w:val="24"/>
        </w:rPr>
        <w:t>.</w:t>
      </w:r>
      <w:r>
        <w:rPr>
          <w:rFonts w:ascii="Times New Roman" w:hAnsi="Times New Roman"/>
          <w:sz w:val="24"/>
        </w:rPr>
        <w:t>7</w:t>
      </w:r>
      <w:r>
        <w:rPr>
          <w:rFonts w:hint="eastAsia" w:ascii="宋体" w:hAnsi="宋体"/>
          <w:sz w:val="24"/>
        </w:rPr>
        <w:t>磋商文件规定的属于成交无效的其他情形。</w:t>
      </w:r>
    </w:p>
    <w:p w14:paraId="20C8DE25">
      <w:pPr>
        <w:tabs>
          <w:tab w:val="left" w:pos="900"/>
        </w:tabs>
        <w:spacing w:line="360" w:lineRule="auto"/>
        <w:rPr>
          <w:rFonts w:hint="eastAsia" w:ascii="宋体" w:hAnsi="宋体"/>
          <w:b/>
          <w:sz w:val="24"/>
        </w:rPr>
      </w:pPr>
      <w:r>
        <w:rPr>
          <w:rFonts w:ascii="Times New Roman" w:hAnsi="Times New Roman"/>
          <w:b/>
          <w:sz w:val="24"/>
        </w:rPr>
        <w:t>25、</w:t>
      </w:r>
      <w:r>
        <w:rPr>
          <w:rFonts w:hint="eastAsia" w:ascii="宋体" w:hAnsi="宋体"/>
          <w:b/>
          <w:sz w:val="24"/>
        </w:rPr>
        <w:t>质疑处理</w:t>
      </w:r>
    </w:p>
    <w:p w14:paraId="7670C692">
      <w:pPr>
        <w:tabs>
          <w:tab w:val="left" w:pos="900"/>
        </w:tabs>
        <w:spacing w:line="360" w:lineRule="auto"/>
        <w:rPr>
          <w:rFonts w:ascii="Times New Roman" w:hAnsi="Times New Roman"/>
          <w:sz w:val="24"/>
        </w:rPr>
      </w:pPr>
      <w:r>
        <w:rPr>
          <w:rFonts w:hint="eastAsia" w:ascii="Times New Roman" w:hAnsi="Times New Roman"/>
          <w:sz w:val="24"/>
        </w:rPr>
        <w:t>2</w:t>
      </w:r>
      <w:r>
        <w:rPr>
          <w:rFonts w:ascii="Times New Roman" w:hAnsi="Times New Roman"/>
          <w:sz w:val="24"/>
        </w:rPr>
        <w:t>5</w:t>
      </w:r>
      <w:r>
        <w:rPr>
          <w:rFonts w:hint="eastAsia" w:ascii="Times New Roman" w:hAnsi="Times New Roman"/>
          <w:sz w:val="24"/>
        </w:rPr>
        <w:t>.1磋商供应商认为磋商文件、采购过程和采购结果使自己的权益受到损害的，可以在知道或应知其权益受到损害之日起七个工作日内，以书面形式向代理机构提出质疑。上述应知其权益受到损害之日，是指：</w:t>
      </w:r>
    </w:p>
    <w:p w14:paraId="5F7EB47E">
      <w:pPr>
        <w:tabs>
          <w:tab w:val="left" w:pos="900"/>
        </w:tabs>
        <w:spacing w:line="360" w:lineRule="auto"/>
        <w:rPr>
          <w:rFonts w:ascii="Times New Roman" w:hAnsi="Times New Roman"/>
          <w:sz w:val="24"/>
        </w:rPr>
      </w:pPr>
      <w:r>
        <w:rPr>
          <w:rFonts w:hint="eastAsia" w:ascii="Times New Roman" w:hAnsi="Times New Roman"/>
          <w:sz w:val="24"/>
        </w:rPr>
        <w:t>2</w:t>
      </w:r>
      <w:r>
        <w:rPr>
          <w:rFonts w:ascii="Times New Roman" w:hAnsi="Times New Roman"/>
          <w:sz w:val="24"/>
        </w:rPr>
        <w:t>5</w:t>
      </w:r>
      <w:r>
        <w:rPr>
          <w:rFonts w:hint="eastAsia" w:ascii="Times New Roman" w:hAnsi="Times New Roman"/>
          <w:sz w:val="24"/>
        </w:rPr>
        <w:t>.1.1</w:t>
      </w:r>
      <w:r>
        <w:rPr>
          <w:rFonts w:ascii="Times New Roman" w:hAnsi="Times New Roman"/>
          <w:sz w:val="24"/>
        </w:rPr>
        <w:t>对可以质疑的磋商文件提出质疑的，为收到磋商文件之日或者磋商文件公告期限届满之日；</w:t>
      </w:r>
    </w:p>
    <w:p w14:paraId="1ADF1D84">
      <w:pPr>
        <w:tabs>
          <w:tab w:val="left" w:pos="900"/>
        </w:tabs>
        <w:spacing w:line="360" w:lineRule="auto"/>
        <w:rPr>
          <w:rFonts w:ascii="Times New Roman" w:hAnsi="Times New Roman"/>
          <w:sz w:val="24"/>
        </w:rPr>
      </w:pPr>
      <w:r>
        <w:rPr>
          <w:rFonts w:hint="eastAsia" w:ascii="Times New Roman" w:hAnsi="Times New Roman"/>
          <w:sz w:val="24"/>
        </w:rPr>
        <w:t>2</w:t>
      </w:r>
      <w:r>
        <w:rPr>
          <w:rFonts w:ascii="Times New Roman" w:hAnsi="Times New Roman"/>
          <w:sz w:val="24"/>
        </w:rPr>
        <w:t>5</w:t>
      </w:r>
      <w:r>
        <w:rPr>
          <w:rFonts w:hint="eastAsia" w:ascii="Times New Roman" w:hAnsi="Times New Roman"/>
          <w:sz w:val="24"/>
        </w:rPr>
        <w:t>.1.2</w:t>
      </w:r>
      <w:r>
        <w:rPr>
          <w:rFonts w:ascii="Times New Roman" w:hAnsi="Times New Roman"/>
          <w:sz w:val="24"/>
        </w:rPr>
        <w:t>对采购过程提出质疑的，为各采购程序环节结束之日；</w:t>
      </w:r>
    </w:p>
    <w:p w14:paraId="7C7C1F53">
      <w:pPr>
        <w:tabs>
          <w:tab w:val="left" w:pos="900"/>
        </w:tabs>
        <w:spacing w:line="360" w:lineRule="auto"/>
        <w:rPr>
          <w:rFonts w:ascii="Times New Roman" w:hAnsi="Times New Roman"/>
          <w:sz w:val="24"/>
        </w:rPr>
      </w:pPr>
      <w:r>
        <w:rPr>
          <w:rFonts w:hint="eastAsia" w:ascii="Times New Roman" w:hAnsi="Times New Roman"/>
          <w:sz w:val="24"/>
        </w:rPr>
        <w:t>2</w:t>
      </w:r>
      <w:r>
        <w:rPr>
          <w:rFonts w:ascii="Times New Roman" w:hAnsi="Times New Roman"/>
          <w:sz w:val="24"/>
        </w:rPr>
        <w:t>5</w:t>
      </w:r>
      <w:r>
        <w:rPr>
          <w:rFonts w:hint="eastAsia" w:ascii="Times New Roman" w:hAnsi="Times New Roman"/>
          <w:sz w:val="24"/>
        </w:rPr>
        <w:t>.1.3</w:t>
      </w:r>
      <w:r>
        <w:rPr>
          <w:rFonts w:ascii="Times New Roman" w:hAnsi="Times New Roman"/>
          <w:sz w:val="24"/>
        </w:rPr>
        <w:t>对成交结果提出质疑的，为成交结果公告期限届满之日。</w:t>
      </w:r>
    </w:p>
    <w:p w14:paraId="40CAB334">
      <w:pPr>
        <w:tabs>
          <w:tab w:val="left" w:pos="900"/>
        </w:tabs>
        <w:spacing w:line="360" w:lineRule="auto"/>
        <w:rPr>
          <w:rFonts w:ascii="Times New Roman" w:hAnsi="Times New Roman"/>
          <w:sz w:val="24"/>
        </w:rPr>
      </w:pPr>
      <w:r>
        <w:rPr>
          <w:rFonts w:hint="eastAsia" w:ascii="Times New Roman" w:hAnsi="Times New Roman"/>
          <w:sz w:val="24"/>
        </w:rPr>
        <w:t>2</w:t>
      </w:r>
      <w:r>
        <w:rPr>
          <w:rFonts w:ascii="Times New Roman" w:hAnsi="Times New Roman"/>
          <w:sz w:val="24"/>
        </w:rPr>
        <w:t>5</w:t>
      </w:r>
      <w:r>
        <w:rPr>
          <w:rFonts w:hint="eastAsia" w:ascii="Times New Roman" w:hAnsi="Times New Roman"/>
          <w:sz w:val="24"/>
        </w:rPr>
        <w:t>.2供应商应当在法定质疑期内一次性提出针对同一个采购程序环节的质疑。供应商如在法定期限内对同一采购程序环节提出多次质疑的，代理机构将只对供应商的第一次质疑作出答复。</w:t>
      </w:r>
    </w:p>
    <w:p w14:paraId="3B49BC11">
      <w:pPr>
        <w:tabs>
          <w:tab w:val="left" w:pos="900"/>
        </w:tabs>
        <w:spacing w:line="360" w:lineRule="auto"/>
        <w:rPr>
          <w:rFonts w:ascii="Times New Roman" w:hAnsi="Times New Roman"/>
          <w:sz w:val="24"/>
        </w:rPr>
      </w:pPr>
      <w:r>
        <w:rPr>
          <w:rFonts w:hint="eastAsia" w:ascii="Times New Roman" w:hAnsi="Times New Roman"/>
          <w:sz w:val="24"/>
        </w:rPr>
        <w:t>25.3质疑函应当包括下列内容：</w:t>
      </w:r>
    </w:p>
    <w:p w14:paraId="16C09A6A">
      <w:pPr>
        <w:tabs>
          <w:tab w:val="left" w:pos="900"/>
        </w:tabs>
        <w:spacing w:line="360" w:lineRule="auto"/>
        <w:rPr>
          <w:rFonts w:ascii="Times New Roman" w:hAnsi="Times New Roman"/>
          <w:sz w:val="24"/>
        </w:rPr>
      </w:pPr>
      <w:r>
        <w:rPr>
          <w:rFonts w:hint="eastAsia" w:ascii="Times New Roman" w:hAnsi="Times New Roman"/>
          <w:sz w:val="24"/>
        </w:rPr>
        <w:t>25.3.1质疑供应商的名称、地址、邮编、联系人、联系电话；</w:t>
      </w:r>
    </w:p>
    <w:p w14:paraId="75F09DDC">
      <w:pPr>
        <w:tabs>
          <w:tab w:val="left" w:pos="900"/>
        </w:tabs>
        <w:spacing w:line="360" w:lineRule="auto"/>
        <w:rPr>
          <w:rFonts w:ascii="Times New Roman" w:hAnsi="Times New Roman"/>
          <w:sz w:val="24"/>
        </w:rPr>
      </w:pPr>
      <w:r>
        <w:rPr>
          <w:rFonts w:hint="eastAsia" w:ascii="Times New Roman" w:hAnsi="Times New Roman"/>
          <w:sz w:val="24"/>
        </w:rPr>
        <w:t>25.3.2具体的质疑事项及明确的请求；</w:t>
      </w:r>
    </w:p>
    <w:p w14:paraId="2AE4FA75">
      <w:pPr>
        <w:tabs>
          <w:tab w:val="left" w:pos="900"/>
        </w:tabs>
        <w:spacing w:line="360" w:lineRule="auto"/>
        <w:rPr>
          <w:rFonts w:ascii="Times New Roman" w:hAnsi="Times New Roman"/>
          <w:sz w:val="24"/>
        </w:rPr>
      </w:pPr>
      <w:r>
        <w:rPr>
          <w:rFonts w:hint="eastAsia" w:ascii="Times New Roman" w:hAnsi="Times New Roman"/>
          <w:sz w:val="24"/>
        </w:rPr>
        <w:t>25.3.3认为自己合法权益受到损害或可能受到损害的相关事实依据及证据材料；</w:t>
      </w:r>
    </w:p>
    <w:p w14:paraId="2D6925F5">
      <w:pPr>
        <w:tabs>
          <w:tab w:val="left" w:pos="900"/>
        </w:tabs>
        <w:spacing w:line="360" w:lineRule="auto"/>
        <w:rPr>
          <w:rFonts w:ascii="Times New Roman" w:hAnsi="Times New Roman"/>
          <w:sz w:val="24"/>
        </w:rPr>
      </w:pPr>
      <w:r>
        <w:rPr>
          <w:rFonts w:hint="eastAsia" w:ascii="Times New Roman" w:hAnsi="Times New Roman"/>
          <w:sz w:val="24"/>
        </w:rPr>
        <w:t>25.3.4提起质疑的日期；</w:t>
      </w:r>
    </w:p>
    <w:p w14:paraId="35E1FE79">
      <w:pPr>
        <w:tabs>
          <w:tab w:val="left" w:pos="900"/>
        </w:tabs>
        <w:spacing w:line="360" w:lineRule="auto"/>
        <w:rPr>
          <w:rFonts w:ascii="Times New Roman" w:hAnsi="Times New Roman"/>
          <w:sz w:val="24"/>
        </w:rPr>
      </w:pPr>
      <w:r>
        <w:rPr>
          <w:rFonts w:hint="eastAsia" w:ascii="Times New Roman" w:hAnsi="Times New Roman"/>
          <w:sz w:val="24"/>
        </w:rPr>
        <w:t>25.3.5质疑函应当署名：质疑人为自然人的，应当由本人签字并附有效身份证明；质疑人为法人或其他组织的，应当由法定代表人签字并加盖单位公章（质疑人为联合体的，则联合体各方法定代表人均需签字并加盖单位公章）。质疑人委托代理质疑的，应当向代理机构提交授权委托书，并载明委托代理的具体权限和事项。</w:t>
      </w:r>
    </w:p>
    <w:p w14:paraId="39EC32F6">
      <w:pPr>
        <w:tabs>
          <w:tab w:val="left" w:pos="900"/>
        </w:tabs>
        <w:spacing w:line="360" w:lineRule="auto"/>
        <w:rPr>
          <w:rFonts w:ascii="Times New Roman" w:hAnsi="Times New Roman"/>
          <w:sz w:val="24"/>
        </w:rPr>
      </w:pPr>
      <w:r>
        <w:rPr>
          <w:rFonts w:hint="eastAsia" w:ascii="Times New Roman" w:hAnsi="Times New Roman"/>
          <w:sz w:val="24"/>
        </w:rPr>
        <w:t>25.4代理机构只接收以纸质原件形式送达的质疑。</w:t>
      </w:r>
    </w:p>
    <w:p w14:paraId="356BDA64">
      <w:pPr>
        <w:tabs>
          <w:tab w:val="left" w:pos="900"/>
        </w:tabs>
        <w:spacing w:line="360" w:lineRule="auto"/>
        <w:rPr>
          <w:rFonts w:ascii="Times New Roman" w:hAnsi="Times New Roman"/>
          <w:sz w:val="24"/>
        </w:rPr>
      </w:pPr>
      <w:r>
        <w:rPr>
          <w:rFonts w:hint="eastAsia" w:ascii="Times New Roman" w:hAnsi="Times New Roman"/>
          <w:sz w:val="24"/>
        </w:rPr>
        <w:t>25.5以下情形的质疑不予受理</w:t>
      </w:r>
    </w:p>
    <w:p w14:paraId="05A5EBB3">
      <w:pPr>
        <w:tabs>
          <w:tab w:val="left" w:pos="900"/>
        </w:tabs>
        <w:spacing w:line="360" w:lineRule="auto"/>
        <w:rPr>
          <w:rFonts w:ascii="Times New Roman" w:hAnsi="Times New Roman"/>
          <w:sz w:val="24"/>
        </w:rPr>
      </w:pPr>
      <w:r>
        <w:rPr>
          <w:rFonts w:hint="eastAsia" w:ascii="Times New Roman" w:hAnsi="Times New Roman"/>
          <w:sz w:val="24"/>
        </w:rPr>
        <w:t>25.5.1内容不符合磋商文件规定的质疑。</w:t>
      </w:r>
    </w:p>
    <w:p w14:paraId="494FDC70">
      <w:pPr>
        <w:tabs>
          <w:tab w:val="left" w:pos="900"/>
        </w:tabs>
        <w:spacing w:line="360" w:lineRule="auto"/>
        <w:rPr>
          <w:rFonts w:ascii="Times New Roman" w:hAnsi="Times New Roman"/>
          <w:sz w:val="24"/>
        </w:rPr>
      </w:pPr>
      <w:r>
        <w:rPr>
          <w:rFonts w:hint="eastAsia" w:ascii="Times New Roman" w:hAnsi="Times New Roman"/>
          <w:sz w:val="24"/>
        </w:rPr>
        <w:t>25.5.2超出磋商文件规定期限的质疑。</w:t>
      </w:r>
    </w:p>
    <w:p w14:paraId="17C88730">
      <w:pPr>
        <w:tabs>
          <w:tab w:val="left" w:pos="900"/>
        </w:tabs>
        <w:spacing w:line="360" w:lineRule="auto"/>
        <w:rPr>
          <w:rFonts w:ascii="Times New Roman" w:hAnsi="Times New Roman"/>
          <w:sz w:val="24"/>
        </w:rPr>
      </w:pPr>
      <w:r>
        <w:rPr>
          <w:rFonts w:hint="eastAsia" w:ascii="Times New Roman" w:hAnsi="Times New Roman"/>
          <w:sz w:val="24"/>
        </w:rPr>
        <w:t>25.5.3以传真、电子邮件等方式递交的非原件形式的质疑。</w:t>
      </w:r>
    </w:p>
    <w:p w14:paraId="02F6EF65">
      <w:pPr>
        <w:tabs>
          <w:tab w:val="left" w:pos="900"/>
        </w:tabs>
        <w:spacing w:line="360" w:lineRule="auto"/>
        <w:rPr>
          <w:rFonts w:ascii="Times New Roman" w:hAnsi="Times New Roman"/>
          <w:sz w:val="24"/>
        </w:rPr>
      </w:pPr>
      <w:r>
        <w:rPr>
          <w:rFonts w:hint="eastAsia" w:ascii="Times New Roman" w:hAnsi="Times New Roman"/>
          <w:sz w:val="24"/>
        </w:rPr>
        <w:t>25.5.4未参加磋商采购活动的供应商或在磋商采购活动中自身权益未受到损害的供应商所提出的质疑。</w:t>
      </w:r>
    </w:p>
    <w:p w14:paraId="564A9695">
      <w:pPr>
        <w:tabs>
          <w:tab w:val="left" w:pos="900"/>
        </w:tabs>
        <w:spacing w:line="360" w:lineRule="auto"/>
        <w:rPr>
          <w:rFonts w:ascii="Times New Roman" w:hAnsi="Times New Roman"/>
          <w:sz w:val="24"/>
        </w:rPr>
      </w:pPr>
      <w:r>
        <w:rPr>
          <w:rFonts w:hint="eastAsia" w:ascii="Times New Roman" w:hAnsi="Times New Roman"/>
          <w:sz w:val="24"/>
        </w:rPr>
        <w:t>25.5.5供应商组成联合体参加磋商，联合体中任何一方或多方未按要求签字、盖章、加盖公章的质疑。</w:t>
      </w:r>
    </w:p>
    <w:p w14:paraId="067FC85F">
      <w:pPr>
        <w:tabs>
          <w:tab w:val="left" w:pos="900"/>
        </w:tabs>
        <w:spacing w:line="360" w:lineRule="auto"/>
        <w:rPr>
          <w:rFonts w:ascii="Times New Roman" w:hAnsi="Times New Roman"/>
          <w:sz w:val="24"/>
        </w:rPr>
      </w:pPr>
      <w:r>
        <w:rPr>
          <w:rFonts w:hint="eastAsia" w:ascii="Times New Roman" w:hAnsi="Times New Roman"/>
          <w:sz w:val="24"/>
        </w:rPr>
        <w:t>25.6代理机构收到质疑函后，将对质疑的形式和内容进行审查，如质疑函内容、格式不符合规定，代理机构将告知质疑人进行补正。</w:t>
      </w:r>
    </w:p>
    <w:p w14:paraId="6F36A0C0">
      <w:pPr>
        <w:tabs>
          <w:tab w:val="left" w:pos="900"/>
        </w:tabs>
        <w:spacing w:line="360" w:lineRule="auto"/>
        <w:rPr>
          <w:rFonts w:ascii="Times New Roman" w:hAnsi="Times New Roman"/>
          <w:sz w:val="24"/>
        </w:rPr>
      </w:pPr>
      <w:r>
        <w:rPr>
          <w:rFonts w:hint="eastAsia" w:ascii="Times New Roman" w:hAnsi="Times New Roman"/>
          <w:sz w:val="24"/>
        </w:rPr>
        <w:t>25.7质疑人应当在磋商文件规定的质疑期限内进行补正并重新提交质疑函，拒不补正或者在有效质疑期限内未重新提交质疑函的，为无效质疑，代理机构将不予受理。</w:t>
      </w:r>
    </w:p>
    <w:p w14:paraId="11243974">
      <w:pPr>
        <w:tabs>
          <w:tab w:val="left" w:pos="900"/>
        </w:tabs>
        <w:spacing w:line="360" w:lineRule="auto"/>
        <w:rPr>
          <w:rFonts w:ascii="Times New Roman" w:hAnsi="Times New Roman"/>
          <w:sz w:val="24"/>
        </w:rPr>
      </w:pPr>
      <w:r>
        <w:rPr>
          <w:rFonts w:hint="eastAsia" w:ascii="Times New Roman" w:hAnsi="Times New Roman"/>
          <w:sz w:val="24"/>
        </w:rPr>
        <w:t>25.8供应商提出书面质疑必须有理、有据，不得捏造事实、提供虚假材料进行恶意质疑，并且须确保提出的质疑内容和相应证明材料的合法性。否则供应商须承担相应的法律责任。</w:t>
      </w:r>
    </w:p>
    <w:p w14:paraId="6CB1CC9B">
      <w:pPr>
        <w:jc w:val="center"/>
        <w:outlineLvl w:val="1"/>
        <w:rPr>
          <w:b/>
          <w:bCs/>
          <w:sz w:val="28"/>
          <w:szCs w:val="36"/>
        </w:rPr>
      </w:pPr>
      <w:bookmarkStart w:id="32" w:name="_Toc155687990"/>
      <w:bookmarkStart w:id="33" w:name="_Toc171605456"/>
      <w:bookmarkStart w:id="34" w:name="_Toc171512436"/>
      <w:r>
        <w:rPr>
          <w:rFonts w:hint="eastAsia"/>
          <w:b/>
          <w:bCs/>
          <w:sz w:val="28"/>
          <w:szCs w:val="36"/>
        </w:rPr>
        <w:t>六、合同签订相关事项</w:t>
      </w:r>
      <w:bookmarkEnd w:id="32"/>
      <w:bookmarkEnd w:id="33"/>
      <w:bookmarkEnd w:id="34"/>
    </w:p>
    <w:p w14:paraId="7C0346D9">
      <w:pPr>
        <w:tabs>
          <w:tab w:val="left" w:pos="900"/>
        </w:tabs>
        <w:spacing w:line="360" w:lineRule="auto"/>
        <w:rPr>
          <w:rFonts w:hint="eastAsia" w:ascii="宋体" w:hAnsi="宋体"/>
          <w:b/>
          <w:sz w:val="24"/>
        </w:rPr>
      </w:pPr>
      <w:r>
        <w:rPr>
          <w:rFonts w:ascii="Times New Roman" w:hAnsi="Times New Roman"/>
          <w:b/>
          <w:sz w:val="24"/>
        </w:rPr>
        <w:t>26、</w:t>
      </w:r>
      <w:r>
        <w:rPr>
          <w:rFonts w:hint="eastAsia" w:ascii="宋体" w:hAnsi="宋体"/>
          <w:b/>
          <w:sz w:val="24"/>
        </w:rPr>
        <w:t>签订合同</w:t>
      </w:r>
    </w:p>
    <w:p w14:paraId="24C1EC71">
      <w:pPr>
        <w:tabs>
          <w:tab w:val="left" w:pos="900"/>
        </w:tabs>
        <w:spacing w:line="360" w:lineRule="auto"/>
        <w:rPr>
          <w:rFonts w:hint="eastAsia" w:ascii="宋体" w:hAnsi="宋体"/>
          <w:sz w:val="24"/>
        </w:rPr>
      </w:pPr>
      <w:r>
        <w:rPr>
          <w:rFonts w:ascii="Times New Roman" w:hAnsi="Times New Roman"/>
          <w:sz w:val="24"/>
        </w:rPr>
        <w:t>26</w:t>
      </w:r>
      <w:r>
        <w:rPr>
          <w:rFonts w:hint="eastAsia" w:ascii="Times New Roman" w:hAnsi="Times New Roman"/>
          <w:sz w:val="24"/>
        </w:rPr>
        <w:t>.1</w:t>
      </w:r>
      <w:r>
        <w:rPr>
          <w:rFonts w:hint="eastAsia" w:ascii="宋体" w:hAnsi="宋体"/>
          <w:sz w:val="24"/>
        </w:rPr>
        <w:t>成交供应商确定后，代理机构将向成交供应商发出成交通知书。成交供应商应按成交通知书规定的时间、地点，按照磋商文件确定的事项与采购人签订政府采购合同，且不得迟于成交通知书发出之日起三十日内，否则按照政府采购规定追究其责任，由此给采购人造成损失的，成交供应商还应承担赔偿责任。</w:t>
      </w:r>
    </w:p>
    <w:p w14:paraId="3E987D66">
      <w:pPr>
        <w:tabs>
          <w:tab w:val="left" w:pos="900"/>
        </w:tabs>
        <w:spacing w:line="360" w:lineRule="auto"/>
        <w:rPr>
          <w:rFonts w:hint="eastAsia" w:ascii="宋体" w:hAnsi="宋体"/>
          <w:sz w:val="24"/>
        </w:rPr>
      </w:pPr>
      <w:r>
        <w:rPr>
          <w:rFonts w:ascii="Times New Roman" w:hAnsi="Times New Roman"/>
          <w:sz w:val="24"/>
        </w:rPr>
        <w:t>26</w:t>
      </w:r>
      <w:r>
        <w:rPr>
          <w:rFonts w:hint="eastAsia" w:ascii="Times New Roman" w:hAnsi="Times New Roman"/>
          <w:sz w:val="24"/>
        </w:rPr>
        <w:t>.2</w:t>
      </w:r>
      <w:r>
        <w:rPr>
          <w:rFonts w:hint="eastAsia" w:ascii="宋体" w:hAnsi="宋体"/>
          <w:sz w:val="24"/>
        </w:rPr>
        <w:t>磋商文件、成交供应商的响应文件及磋商采购过程中有关澄清、承诺文件均应作为合同附件。</w:t>
      </w:r>
    </w:p>
    <w:p w14:paraId="7B0F7D6E">
      <w:pPr>
        <w:tabs>
          <w:tab w:val="left" w:pos="900"/>
        </w:tabs>
        <w:spacing w:line="360" w:lineRule="auto"/>
        <w:rPr>
          <w:rFonts w:hint="eastAsia" w:ascii="宋体" w:hAnsi="宋体"/>
          <w:sz w:val="24"/>
        </w:rPr>
      </w:pPr>
      <w:r>
        <w:rPr>
          <w:rFonts w:ascii="Times New Roman" w:hAnsi="Times New Roman"/>
          <w:sz w:val="24"/>
        </w:rPr>
        <w:t>26.3</w:t>
      </w:r>
      <w:r>
        <w:rPr>
          <w:rFonts w:hint="eastAsia" w:ascii="宋体" w:hAnsi="宋体"/>
          <w:sz w:val="24"/>
        </w:rPr>
        <w:t>签订合同后，</w:t>
      </w:r>
      <w:r>
        <w:rPr>
          <w:rFonts w:hint="eastAsia" w:ascii="宋体" w:hAnsi="宋体"/>
          <w:b/>
          <w:i/>
          <w:sz w:val="24"/>
          <w:u w:val="single"/>
        </w:rPr>
        <w:t>成交供应商不得将成交产品或服务进行转包</w:t>
      </w:r>
      <w:r>
        <w:rPr>
          <w:rFonts w:hint="eastAsia" w:ascii="宋体" w:hAnsi="宋体"/>
          <w:i/>
          <w:sz w:val="24"/>
          <w:u w:val="single"/>
        </w:rPr>
        <w:t>。</w:t>
      </w:r>
      <w:r>
        <w:rPr>
          <w:rFonts w:hint="eastAsia" w:ascii="宋体" w:hAnsi="宋体"/>
          <w:sz w:val="24"/>
        </w:rPr>
        <w:t>未经采购人同意，成交供应商也不得采用分包的形式履行合同，否则采购人有权终止合同。转包或分包造成采购人损失的，成交供应商应承担相应赔偿责任。</w:t>
      </w:r>
    </w:p>
    <w:p w14:paraId="1C4BDAD3">
      <w:pPr>
        <w:jc w:val="center"/>
        <w:outlineLvl w:val="1"/>
        <w:rPr>
          <w:b/>
          <w:bCs/>
          <w:sz w:val="28"/>
          <w:szCs w:val="36"/>
        </w:rPr>
      </w:pPr>
      <w:bookmarkStart w:id="35" w:name="_Toc155687991"/>
      <w:bookmarkStart w:id="36" w:name="_Toc171605457"/>
      <w:bookmarkStart w:id="37" w:name="_Toc171512437"/>
      <w:r>
        <w:rPr>
          <w:rFonts w:hint="eastAsia"/>
          <w:b/>
          <w:bCs/>
          <w:sz w:val="28"/>
          <w:szCs w:val="36"/>
        </w:rPr>
        <w:t>七、其他</w:t>
      </w:r>
      <w:bookmarkEnd w:id="35"/>
      <w:bookmarkEnd w:id="36"/>
      <w:bookmarkEnd w:id="37"/>
    </w:p>
    <w:p w14:paraId="25169FDB">
      <w:pPr>
        <w:tabs>
          <w:tab w:val="left" w:pos="900"/>
        </w:tabs>
        <w:spacing w:line="360" w:lineRule="auto"/>
        <w:rPr>
          <w:rFonts w:ascii="Times New Roman" w:hAnsi="Times New Roman"/>
          <w:b/>
          <w:sz w:val="24"/>
        </w:rPr>
      </w:pPr>
      <w:r>
        <w:rPr>
          <w:rFonts w:ascii="Times New Roman" w:hAnsi="Times New Roman"/>
          <w:b/>
          <w:sz w:val="24"/>
        </w:rPr>
        <w:t>27、样品</w:t>
      </w:r>
    </w:p>
    <w:p w14:paraId="6FFF47CF">
      <w:pPr>
        <w:tabs>
          <w:tab w:val="left" w:pos="900"/>
        </w:tabs>
        <w:spacing w:line="360" w:lineRule="auto"/>
        <w:rPr>
          <w:rFonts w:hint="eastAsia" w:ascii="宋体" w:hAnsi="宋体"/>
          <w:sz w:val="24"/>
        </w:rPr>
      </w:pPr>
      <w:r>
        <w:rPr>
          <w:rFonts w:ascii="Times New Roman" w:hAnsi="Times New Roman"/>
          <w:sz w:val="24"/>
        </w:rPr>
        <w:t>27.1</w:t>
      </w:r>
      <w:r>
        <w:rPr>
          <w:rFonts w:hint="eastAsia" w:ascii="宋体" w:hAnsi="宋体"/>
          <w:sz w:val="24"/>
        </w:rPr>
        <w:t>如项目要求提供样品的，成交供应商的样品由采购人负责保管、封存，并作为履约验收的参考。未成交供应商的样品将及时退还。</w:t>
      </w:r>
    </w:p>
    <w:p w14:paraId="2F72B355">
      <w:pPr>
        <w:tabs>
          <w:tab w:val="left" w:pos="900"/>
        </w:tabs>
        <w:spacing w:line="360" w:lineRule="auto"/>
        <w:rPr>
          <w:rFonts w:hint="eastAsia" w:ascii="宋体" w:hAnsi="宋体"/>
          <w:sz w:val="24"/>
        </w:rPr>
      </w:pPr>
      <w:r>
        <w:rPr>
          <w:rFonts w:ascii="Times New Roman" w:hAnsi="Times New Roman"/>
          <w:sz w:val="24"/>
        </w:rPr>
        <w:t>27.2</w:t>
      </w:r>
      <w:r>
        <w:rPr>
          <w:rFonts w:hint="eastAsia" w:ascii="宋体" w:hAnsi="宋体"/>
          <w:sz w:val="24"/>
        </w:rPr>
        <w:t>代理机构不接收在样品递交截止时间后递交的样品。</w:t>
      </w:r>
    </w:p>
    <w:p w14:paraId="5E568357">
      <w:pPr>
        <w:spacing w:line="360" w:lineRule="auto"/>
        <w:jc w:val="left"/>
        <w:rPr>
          <w:rFonts w:hint="eastAsia" w:ascii="宋体" w:hAnsi="宋体"/>
          <w:sz w:val="24"/>
        </w:rPr>
      </w:pPr>
      <w:r>
        <w:rPr>
          <w:rFonts w:ascii="Times New Roman" w:hAnsi="Times New Roman"/>
          <w:sz w:val="24"/>
        </w:rPr>
        <w:t>27</w:t>
      </w:r>
      <w:r>
        <w:rPr>
          <w:rFonts w:hint="eastAsia" w:ascii="Times New Roman" w:hAnsi="Times New Roman"/>
          <w:sz w:val="24"/>
        </w:rPr>
        <w:t>.3</w:t>
      </w:r>
      <w:r>
        <w:rPr>
          <w:rFonts w:hint="eastAsia" w:ascii="宋体" w:hAnsi="宋体"/>
          <w:sz w:val="24"/>
        </w:rPr>
        <w:t>未中标样品在评审结束后统一退还（退还具体时间另行通知），各供应商应在接到退还通知后</w:t>
      </w:r>
      <w:r>
        <w:rPr>
          <w:rFonts w:ascii="Times New Roman" w:hAnsi="Times New Roman"/>
          <w:sz w:val="24"/>
        </w:rPr>
        <w:t>1</w:t>
      </w:r>
      <w:r>
        <w:rPr>
          <w:rFonts w:hint="eastAsia" w:ascii="宋体" w:hAnsi="宋体"/>
          <w:sz w:val="24"/>
        </w:rPr>
        <w:t>天内将样品搬离样品递交现场，超过时间未退还的样品由采购人或代理机构处置。</w:t>
      </w:r>
    </w:p>
    <w:p w14:paraId="37F99B0A">
      <w:pPr>
        <w:tabs>
          <w:tab w:val="left" w:pos="900"/>
        </w:tabs>
        <w:spacing w:line="360" w:lineRule="auto"/>
        <w:rPr>
          <w:rFonts w:hint="eastAsia" w:ascii="宋体" w:hAnsi="宋体"/>
          <w:sz w:val="24"/>
        </w:rPr>
      </w:pPr>
      <w:r>
        <w:rPr>
          <w:rFonts w:hint="eastAsia" w:ascii="Times New Roman" w:hAnsi="Times New Roman"/>
          <w:sz w:val="24"/>
        </w:rPr>
        <w:t>27.4</w:t>
      </w:r>
      <w:r>
        <w:rPr>
          <w:rFonts w:hint="eastAsia" w:ascii="宋体" w:hAnsi="宋体"/>
          <w:sz w:val="24"/>
        </w:rPr>
        <w:t>成交供应商的样品由代理机构在评审现场移交给采购人，成交供应商应按照采购人要求，将样品及时运送至指定地点封存。</w:t>
      </w:r>
    </w:p>
    <w:p w14:paraId="614E810B">
      <w:pPr>
        <w:widowControl/>
        <w:jc w:val="left"/>
      </w:pPr>
      <w:r>
        <w:br w:type="page"/>
      </w:r>
    </w:p>
    <w:p w14:paraId="2752E776">
      <w:pPr>
        <w:spacing w:after="156" w:afterLines="50" w:line="360" w:lineRule="auto"/>
        <w:jc w:val="center"/>
        <w:outlineLvl w:val="0"/>
        <w:rPr>
          <w:rFonts w:hint="eastAsia" w:ascii="华文中宋" w:hAnsi="华文中宋" w:eastAsia="华文中宋"/>
          <w:b/>
          <w:bCs/>
          <w:sz w:val="32"/>
          <w:szCs w:val="32"/>
        </w:rPr>
      </w:pPr>
      <w:bookmarkStart w:id="38" w:name="_Toc155687992"/>
      <w:bookmarkStart w:id="39" w:name="_Toc171512438"/>
      <w:bookmarkStart w:id="40" w:name="_Toc171605458"/>
      <w:r>
        <w:rPr>
          <w:rFonts w:ascii="华文中宋" w:hAnsi="华文中宋" w:eastAsia="华文中宋"/>
          <w:b/>
          <w:bCs/>
          <w:sz w:val="32"/>
          <w:szCs w:val="32"/>
        </w:rPr>
        <w:t>第三章  合同条款及格式</w:t>
      </w:r>
      <w:bookmarkEnd w:id="38"/>
      <w:bookmarkEnd w:id="39"/>
      <w:bookmarkEnd w:id="40"/>
    </w:p>
    <w:p w14:paraId="32865F40">
      <w:pPr>
        <w:autoSpaceDE w:val="0"/>
        <w:autoSpaceDN w:val="0"/>
        <w:spacing w:line="360" w:lineRule="auto"/>
        <w:rPr>
          <w:rFonts w:hint="eastAsia" w:ascii="Times New Roman Regular" w:hAnsi="Times New Roman Regular" w:cs="Times New Roman Regular"/>
          <w:sz w:val="24"/>
          <w:lang w:val="zh-CN" w:bidi="zh-CN"/>
        </w:rPr>
      </w:pPr>
      <w:r>
        <w:rPr>
          <w:rFonts w:hint="eastAsia" w:ascii="Times New Roman Regular" w:hAnsi="Times New Roman Regular" w:cs="Times New Roman Regular"/>
          <w:sz w:val="24"/>
          <w:lang w:val="zh-CN" w:bidi="zh-CN"/>
        </w:rPr>
        <w:t>以下为本项目的合同条款，合同双方不得对磋商、响应文件内容作实质性修改。</w:t>
      </w:r>
    </w:p>
    <w:p w14:paraId="6800FBBB">
      <w:pPr>
        <w:autoSpaceDE w:val="0"/>
        <w:autoSpaceDN w:val="0"/>
        <w:spacing w:line="360" w:lineRule="auto"/>
        <w:rPr>
          <w:rFonts w:hint="eastAsia" w:ascii="Times New Roman Regular" w:hAnsi="Times New Roman Regular" w:cs="Times New Roman Regular"/>
          <w:sz w:val="24"/>
          <w:lang w:val="zh-CN" w:bidi="zh-CN"/>
        </w:rPr>
      </w:pPr>
    </w:p>
    <w:p w14:paraId="08C61AD7">
      <w:pPr>
        <w:spacing w:line="360" w:lineRule="auto"/>
        <w:jc w:val="center"/>
        <w:rPr>
          <w:rFonts w:hint="eastAsia" w:ascii="宋体" w:hAnsi="宋体" w:cs="方正小标宋简体"/>
          <w:b/>
          <w:bCs/>
          <w:color w:val="000000"/>
          <w:sz w:val="32"/>
          <w:szCs w:val="32"/>
        </w:rPr>
      </w:pPr>
      <w:r>
        <w:rPr>
          <w:rFonts w:hint="eastAsia" w:ascii="宋体" w:hAnsi="宋体" w:cs="方正小标宋简体"/>
          <w:b/>
          <w:bCs/>
          <w:color w:val="000000"/>
          <w:sz w:val="32"/>
          <w:szCs w:val="32"/>
        </w:rPr>
        <w:t>南京市政府采购合同（服务）</w:t>
      </w:r>
    </w:p>
    <w:p w14:paraId="76A2B452">
      <w:pPr>
        <w:spacing w:line="360" w:lineRule="auto"/>
        <w:contextualSpacing/>
        <w:jc w:val="left"/>
        <w:rPr>
          <w:rFonts w:hint="eastAsia" w:ascii="宋体" w:hAnsi="宋体" w:cs="Courier New"/>
          <w:color w:val="000000"/>
          <w:sz w:val="24"/>
        </w:rPr>
      </w:pPr>
      <w:r>
        <w:rPr>
          <w:rFonts w:ascii="宋体" w:hAnsi="宋体" w:cs="Courier New"/>
          <w:color w:val="000000"/>
          <w:sz w:val="24"/>
        </w:rPr>
        <w:t>合同编号：</w:t>
      </w:r>
    </w:p>
    <w:p w14:paraId="5AECB256">
      <w:pPr>
        <w:spacing w:line="360" w:lineRule="auto"/>
        <w:contextualSpacing/>
        <w:rPr>
          <w:rFonts w:hint="eastAsia" w:ascii="宋体" w:hAnsi="宋体" w:cs="Courier New"/>
          <w:color w:val="000000"/>
          <w:sz w:val="24"/>
        </w:rPr>
      </w:pPr>
      <w:r>
        <w:rPr>
          <w:rFonts w:ascii="宋体" w:hAnsi="宋体" w:cs="Courier New"/>
          <w:color w:val="000000"/>
          <w:sz w:val="24"/>
        </w:rPr>
        <w:t>项目名称：                                       项目编号：</w:t>
      </w:r>
    </w:p>
    <w:p w14:paraId="45827385">
      <w:pPr>
        <w:spacing w:line="360" w:lineRule="auto"/>
        <w:contextualSpacing/>
        <w:jc w:val="left"/>
        <w:rPr>
          <w:rFonts w:hint="eastAsia" w:ascii="宋体" w:hAnsi="宋体" w:cs="Courier New"/>
          <w:color w:val="000000"/>
          <w:sz w:val="24"/>
        </w:rPr>
      </w:pPr>
      <w:r>
        <w:rPr>
          <w:rFonts w:ascii="宋体" w:hAnsi="宋体" w:cs="Courier New"/>
          <w:color w:val="000000"/>
          <w:sz w:val="24"/>
        </w:rPr>
        <w:t>甲方：（买方）</w:t>
      </w:r>
    </w:p>
    <w:p w14:paraId="38968CD5">
      <w:pPr>
        <w:spacing w:line="360" w:lineRule="auto"/>
        <w:contextualSpacing/>
        <w:jc w:val="left"/>
        <w:rPr>
          <w:rFonts w:hint="eastAsia" w:ascii="宋体" w:hAnsi="宋体" w:cs="Courier New"/>
          <w:color w:val="000000"/>
          <w:sz w:val="24"/>
        </w:rPr>
      </w:pPr>
      <w:r>
        <w:rPr>
          <w:rFonts w:ascii="宋体" w:hAnsi="宋体" w:cs="Courier New"/>
          <w:color w:val="000000"/>
          <w:sz w:val="24"/>
        </w:rPr>
        <w:t>乙方：（卖方）</w:t>
      </w:r>
    </w:p>
    <w:p w14:paraId="02A5A737">
      <w:pPr>
        <w:spacing w:line="360" w:lineRule="auto"/>
        <w:ind w:firstLine="480" w:firstLineChars="200"/>
        <w:contextualSpacing/>
        <w:rPr>
          <w:rFonts w:hint="eastAsia" w:ascii="宋体" w:hAnsi="宋体" w:cs="Courier New"/>
          <w:b/>
          <w:color w:val="000000"/>
          <w:sz w:val="24"/>
        </w:rPr>
      </w:pPr>
      <w:r>
        <w:rPr>
          <w:rFonts w:ascii="宋体" w:hAnsi="宋体" w:cs="Courier New"/>
          <w:color w:val="000000"/>
          <w:sz w:val="24"/>
        </w:rPr>
        <w:t>甲、乙双方根据</w:t>
      </w:r>
      <w:r>
        <w:rPr>
          <w:rFonts w:hint="eastAsia" w:ascii="宋体" w:hAnsi="宋体" w:cs="Courier New"/>
          <w:color w:val="000000"/>
          <w:sz w:val="24"/>
        </w:rPr>
        <w:t>南京越鑫项目管理咨询有限公司组织的</w:t>
      </w:r>
      <w:r>
        <w:rPr>
          <w:rFonts w:hint="eastAsia" w:hAnsi="宋体" w:cs="Courier New"/>
          <w:sz w:val="24"/>
        </w:rPr>
        <w:t>____________________</w:t>
      </w:r>
      <w:r>
        <w:rPr>
          <w:rFonts w:ascii="宋体" w:hAnsi="宋体" w:cs="Courier New"/>
          <w:color w:val="000000"/>
          <w:sz w:val="24"/>
        </w:rPr>
        <w:t>项目</w:t>
      </w:r>
      <w:r>
        <w:rPr>
          <w:rFonts w:hint="eastAsia" w:ascii="宋体" w:hAnsi="宋体" w:cs="Courier New"/>
          <w:color w:val="000000"/>
          <w:sz w:val="24"/>
        </w:rPr>
        <w:t>竞争性磋商</w:t>
      </w:r>
      <w:r>
        <w:rPr>
          <w:rFonts w:ascii="宋体" w:hAnsi="宋体" w:cs="Courier New"/>
          <w:color w:val="000000"/>
          <w:sz w:val="24"/>
        </w:rPr>
        <w:t>结果</w:t>
      </w:r>
      <w:r>
        <w:rPr>
          <w:rFonts w:hint="eastAsia" w:ascii="宋体" w:hAnsi="宋体" w:cs="Courier New"/>
          <w:color w:val="000000"/>
          <w:sz w:val="24"/>
        </w:rPr>
        <w:t>，</w:t>
      </w:r>
      <w:r>
        <w:rPr>
          <w:rFonts w:ascii="宋体" w:hAnsi="宋体" w:cs="Courier New"/>
          <w:color w:val="000000"/>
          <w:sz w:val="24"/>
        </w:rPr>
        <w:t>签署本合同。</w:t>
      </w:r>
    </w:p>
    <w:p w14:paraId="280CA8AC">
      <w:pPr>
        <w:spacing w:line="360" w:lineRule="auto"/>
        <w:contextualSpacing/>
        <w:rPr>
          <w:rFonts w:hint="eastAsia" w:ascii="宋体" w:hAnsi="宋体" w:cs="方正黑体_GBK"/>
          <w:b/>
          <w:color w:val="000000"/>
          <w:sz w:val="24"/>
        </w:rPr>
      </w:pPr>
      <w:r>
        <w:rPr>
          <w:rFonts w:hint="eastAsia" w:ascii="宋体" w:hAnsi="宋体" w:cs="方正黑体_GBK"/>
          <w:b/>
          <w:color w:val="000000"/>
          <w:sz w:val="24"/>
        </w:rPr>
        <w:t>一、合同内容</w:t>
      </w:r>
    </w:p>
    <w:p w14:paraId="08AF911A">
      <w:pPr>
        <w:spacing w:line="360" w:lineRule="auto"/>
        <w:contextualSpacing/>
        <w:rPr>
          <w:rFonts w:ascii="Times New Roman" w:hAnsi="Times New Roman"/>
          <w:color w:val="000000"/>
          <w:sz w:val="24"/>
        </w:rPr>
      </w:pPr>
      <w:r>
        <w:rPr>
          <w:rFonts w:ascii="Times New Roman" w:hAnsi="Times New Roman"/>
          <w:color w:val="000000"/>
          <w:sz w:val="24"/>
        </w:rPr>
        <w:t>1.1 标的名称：</w:t>
      </w:r>
    </w:p>
    <w:p w14:paraId="525E48EB">
      <w:pPr>
        <w:spacing w:line="360" w:lineRule="auto"/>
        <w:contextualSpacing/>
        <w:rPr>
          <w:rFonts w:ascii="Times New Roman" w:hAnsi="Times New Roman"/>
          <w:color w:val="000000"/>
          <w:sz w:val="24"/>
        </w:rPr>
      </w:pPr>
      <w:r>
        <w:rPr>
          <w:rFonts w:ascii="Times New Roman" w:hAnsi="Times New Roman"/>
          <w:color w:val="000000"/>
          <w:sz w:val="24"/>
        </w:rPr>
        <w:t>1.2 标的质量：</w:t>
      </w:r>
    </w:p>
    <w:p w14:paraId="06203B3D">
      <w:pPr>
        <w:spacing w:line="360" w:lineRule="auto"/>
        <w:contextualSpacing/>
        <w:rPr>
          <w:rFonts w:ascii="Times New Roman" w:hAnsi="Times New Roman"/>
          <w:color w:val="000000"/>
          <w:sz w:val="24"/>
        </w:rPr>
      </w:pPr>
      <w:r>
        <w:rPr>
          <w:rFonts w:ascii="Times New Roman" w:hAnsi="Times New Roman"/>
          <w:color w:val="000000"/>
          <w:sz w:val="24"/>
        </w:rPr>
        <w:t>1.3 标的数量（规模）：</w:t>
      </w:r>
    </w:p>
    <w:p w14:paraId="1D8D3ACD">
      <w:pPr>
        <w:spacing w:line="360" w:lineRule="auto"/>
        <w:contextualSpacing/>
        <w:rPr>
          <w:rFonts w:ascii="Times New Roman" w:hAnsi="Times New Roman"/>
          <w:color w:val="000000"/>
          <w:sz w:val="24"/>
        </w:rPr>
      </w:pPr>
      <w:r>
        <w:rPr>
          <w:rFonts w:ascii="Times New Roman" w:hAnsi="Times New Roman"/>
          <w:color w:val="000000"/>
          <w:sz w:val="24"/>
        </w:rPr>
        <w:t>1.4 履行时间（期限）：</w:t>
      </w:r>
    </w:p>
    <w:p w14:paraId="4E158152">
      <w:pPr>
        <w:spacing w:line="360" w:lineRule="auto"/>
        <w:contextualSpacing/>
        <w:rPr>
          <w:rFonts w:ascii="Times New Roman" w:hAnsi="Times New Roman"/>
          <w:color w:val="000000"/>
          <w:sz w:val="24"/>
        </w:rPr>
      </w:pPr>
      <w:r>
        <w:rPr>
          <w:rFonts w:ascii="Times New Roman" w:hAnsi="Times New Roman"/>
          <w:color w:val="000000"/>
          <w:sz w:val="24"/>
        </w:rPr>
        <w:t>1.5 履行地点：</w:t>
      </w:r>
    </w:p>
    <w:p w14:paraId="2A0EFF22">
      <w:pPr>
        <w:spacing w:line="360" w:lineRule="auto"/>
        <w:contextualSpacing/>
        <w:rPr>
          <w:rFonts w:ascii="Times New Roman" w:hAnsi="Times New Roman"/>
          <w:color w:val="000000"/>
          <w:sz w:val="24"/>
        </w:rPr>
      </w:pPr>
      <w:r>
        <w:rPr>
          <w:rFonts w:ascii="Times New Roman" w:hAnsi="Times New Roman"/>
          <w:color w:val="000000"/>
          <w:sz w:val="24"/>
        </w:rPr>
        <w:t>1.6 履行方式：</w:t>
      </w:r>
    </w:p>
    <w:p w14:paraId="6EB1A278">
      <w:pPr>
        <w:spacing w:line="360" w:lineRule="auto"/>
        <w:contextualSpacing/>
        <w:rPr>
          <w:rFonts w:hint="eastAsia" w:ascii="宋体" w:hAnsi="宋体" w:cs="方正黑体_GBK"/>
          <w:b/>
          <w:color w:val="000000"/>
          <w:sz w:val="24"/>
        </w:rPr>
      </w:pPr>
      <w:r>
        <w:rPr>
          <w:rFonts w:hint="eastAsia" w:ascii="宋体" w:hAnsi="宋体" w:cs="方正黑体_GBK"/>
          <w:b/>
          <w:color w:val="000000"/>
          <w:sz w:val="24"/>
        </w:rPr>
        <w:t>二、合同金额</w:t>
      </w:r>
    </w:p>
    <w:p w14:paraId="2FB2C2B1">
      <w:pPr>
        <w:pStyle w:val="17"/>
        <w:spacing w:line="360" w:lineRule="auto"/>
        <w:rPr>
          <w:rFonts w:hAnsi="宋体" w:cs="Courier New"/>
          <w:color w:val="000000"/>
          <w:sz w:val="24"/>
          <w:szCs w:val="24"/>
        </w:rPr>
      </w:pPr>
      <w:r>
        <w:rPr>
          <w:rFonts w:hint="default" w:ascii="Times New Roman" w:hAnsi="Times New Roman"/>
          <w:color w:val="000000"/>
          <w:sz w:val="24"/>
          <w:szCs w:val="24"/>
        </w:rPr>
        <w:t xml:space="preserve">2.1 </w:t>
      </w:r>
      <w:r>
        <w:rPr>
          <w:rFonts w:hAnsi="宋体" w:cs="Courier New"/>
          <w:sz w:val="24"/>
          <w:szCs w:val="24"/>
        </w:rPr>
        <w:t>本合同金额为（大写）：____________________圆（____________________元）人民币。</w:t>
      </w:r>
    </w:p>
    <w:p w14:paraId="77E3C5C2">
      <w:pPr>
        <w:spacing w:line="360" w:lineRule="auto"/>
        <w:contextualSpacing/>
        <w:rPr>
          <w:rFonts w:hint="eastAsia" w:ascii="宋体" w:hAnsi="宋体" w:cs="方正黑体_GBK"/>
          <w:b/>
          <w:color w:val="000000"/>
          <w:sz w:val="24"/>
        </w:rPr>
      </w:pPr>
      <w:r>
        <w:rPr>
          <w:rFonts w:hint="eastAsia" w:ascii="宋体" w:hAnsi="宋体" w:cs="方正黑体_GBK"/>
          <w:b/>
          <w:color w:val="000000"/>
          <w:sz w:val="24"/>
        </w:rPr>
        <w:t>三、技术资料</w:t>
      </w:r>
    </w:p>
    <w:p w14:paraId="78268BEC">
      <w:pPr>
        <w:spacing w:line="360" w:lineRule="auto"/>
        <w:rPr>
          <w:rFonts w:ascii="Times New Roman" w:hAnsi="Times New Roman"/>
          <w:color w:val="000000"/>
          <w:sz w:val="24"/>
        </w:rPr>
      </w:pPr>
      <w:r>
        <w:rPr>
          <w:rFonts w:ascii="Times New Roman" w:hAnsi="Times New Roman"/>
          <w:color w:val="000000"/>
          <w:sz w:val="24"/>
        </w:rPr>
        <w:t>3.1 乙方应按磋商文件规定的时间向甲方提供服务（包含与服务相关的货物）的有关技术资料。</w:t>
      </w:r>
    </w:p>
    <w:p w14:paraId="79D2E507">
      <w:pPr>
        <w:spacing w:line="360" w:lineRule="auto"/>
        <w:rPr>
          <w:rFonts w:ascii="Times New Roman" w:hAnsi="Times New Roman"/>
          <w:color w:val="000000"/>
          <w:sz w:val="24"/>
        </w:rPr>
      </w:pPr>
      <w:r>
        <w:rPr>
          <w:rFonts w:ascii="Times New Roman" w:hAnsi="Times New Roman"/>
          <w:color w:val="000000"/>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保密期至保密内容按照相关法律法规规定，以合法方式和途径将其全部披露或本合同终止后5年为止，以两者孰长为准。</w:t>
      </w:r>
    </w:p>
    <w:p w14:paraId="2AA926F8">
      <w:pPr>
        <w:spacing w:line="360" w:lineRule="auto"/>
        <w:contextualSpacing/>
        <w:rPr>
          <w:rFonts w:ascii="Times New Roman" w:hAnsi="Times New Roman"/>
          <w:b/>
          <w:color w:val="000000"/>
          <w:sz w:val="24"/>
        </w:rPr>
      </w:pPr>
      <w:r>
        <w:rPr>
          <w:rFonts w:ascii="Times New Roman" w:hAnsi="Times New Roman"/>
          <w:b/>
          <w:color w:val="000000"/>
          <w:sz w:val="24"/>
        </w:rPr>
        <w:t>四、知识产权</w:t>
      </w:r>
    </w:p>
    <w:p w14:paraId="3648C173">
      <w:pPr>
        <w:spacing w:line="360" w:lineRule="auto"/>
        <w:rPr>
          <w:rFonts w:ascii="Times New Roman" w:hAnsi="Times New Roman"/>
          <w:color w:val="000000"/>
          <w:sz w:val="24"/>
        </w:rPr>
      </w:pPr>
      <w:r>
        <w:rPr>
          <w:rFonts w:ascii="Times New Roman" w:hAnsi="Times New Roman"/>
          <w:color w:val="000000"/>
          <w:sz w:val="24"/>
        </w:rPr>
        <w:t>4.1 乙方应保证甲方在使用、接受本合同服务（包含与服务相关的货物）或其任何一部分时不受第三方提出侵犯其专利权、版权、商标权和工业设计权等知识产权的起诉。一旦出现侵权，由乙方负全部责任。</w:t>
      </w:r>
    </w:p>
    <w:p w14:paraId="20322BF3">
      <w:pPr>
        <w:spacing w:line="360" w:lineRule="auto"/>
        <w:rPr>
          <w:rFonts w:ascii="Times New Roman" w:hAnsi="Times New Roman"/>
          <w:b/>
          <w:color w:val="000000"/>
          <w:sz w:val="24"/>
        </w:rPr>
      </w:pPr>
      <w:r>
        <w:rPr>
          <w:rFonts w:ascii="Times New Roman" w:hAnsi="Times New Roman"/>
          <w:b/>
          <w:color w:val="000000"/>
          <w:sz w:val="24"/>
        </w:rPr>
        <w:t>五、产权担保</w:t>
      </w:r>
    </w:p>
    <w:p w14:paraId="3FCCD495">
      <w:pPr>
        <w:spacing w:line="360" w:lineRule="auto"/>
        <w:rPr>
          <w:rFonts w:ascii="Times New Roman" w:hAnsi="Times New Roman"/>
          <w:color w:val="000000"/>
          <w:sz w:val="24"/>
        </w:rPr>
      </w:pPr>
      <w:r>
        <w:rPr>
          <w:rFonts w:ascii="Times New Roman" w:hAnsi="Times New Roman"/>
          <w:color w:val="000000"/>
          <w:sz w:val="24"/>
        </w:rPr>
        <w:t>5.1 乙方保证所交付的服务（包含与服务相关的货物）的所有权完全属于乙方且无任何抵押、查封等产权瑕疵。</w:t>
      </w:r>
    </w:p>
    <w:p w14:paraId="300420A9">
      <w:pPr>
        <w:spacing w:line="360" w:lineRule="auto"/>
        <w:rPr>
          <w:rFonts w:ascii="Times New Roman" w:hAnsi="Times New Roman"/>
          <w:b/>
          <w:color w:val="000000"/>
          <w:sz w:val="24"/>
        </w:rPr>
      </w:pPr>
      <w:r>
        <w:rPr>
          <w:rFonts w:hint="eastAsia" w:ascii="Times New Roman" w:hAnsi="Times New Roman"/>
          <w:b/>
          <w:color w:val="000000"/>
          <w:sz w:val="24"/>
        </w:rPr>
        <w:t>六、履约保证金</w:t>
      </w:r>
    </w:p>
    <w:p w14:paraId="2965C6A4">
      <w:pPr>
        <w:spacing w:line="360" w:lineRule="auto"/>
        <w:contextualSpacing/>
        <w:rPr>
          <w:rFonts w:ascii="Times New Roman" w:hAnsi="Times New Roman"/>
          <w:sz w:val="24"/>
        </w:rPr>
      </w:pPr>
      <w:r>
        <w:rPr>
          <w:rFonts w:ascii="Times New Roman" w:hAnsi="Times New Roman"/>
          <w:sz w:val="24"/>
        </w:rPr>
        <w:t>6.1 本项目乙方无需缴纳履约保证金。</w:t>
      </w:r>
    </w:p>
    <w:p w14:paraId="1C50601F">
      <w:pPr>
        <w:spacing w:line="360" w:lineRule="auto"/>
        <w:rPr>
          <w:rFonts w:ascii="Times New Roman" w:hAnsi="Times New Roman"/>
          <w:b/>
          <w:color w:val="000000"/>
          <w:sz w:val="24"/>
        </w:rPr>
      </w:pPr>
      <w:r>
        <w:rPr>
          <w:rFonts w:hint="eastAsia" w:ascii="Times New Roman" w:hAnsi="Times New Roman"/>
          <w:b/>
          <w:color w:val="000000"/>
          <w:sz w:val="24"/>
        </w:rPr>
        <w:t>七、合同转包或分包</w:t>
      </w:r>
    </w:p>
    <w:p w14:paraId="52844C25">
      <w:pPr>
        <w:spacing w:line="360" w:lineRule="auto"/>
        <w:contextualSpacing/>
        <w:rPr>
          <w:rFonts w:ascii="Times New Roman" w:hAnsi="Times New Roman"/>
          <w:color w:val="000000"/>
          <w:sz w:val="24"/>
        </w:rPr>
      </w:pPr>
      <w:r>
        <w:rPr>
          <w:rFonts w:ascii="Times New Roman" w:hAnsi="Times New Roman"/>
          <w:color w:val="000000"/>
          <w:sz w:val="24"/>
        </w:rPr>
        <w:t>7.1 乙方不得将合同标的转包给他人履行。</w:t>
      </w:r>
    </w:p>
    <w:p w14:paraId="3869FAD6">
      <w:pPr>
        <w:spacing w:line="360" w:lineRule="auto"/>
        <w:contextualSpacing/>
        <w:rPr>
          <w:rFonts w:ascii="Times New Roman" w:hAnsi="Times New Roman"/>
          <w:color w:val="000000"/>
          <w:sz w:val="24"/>
        </w:rPr>
      </w:pPr>
      <w:r>
        <w:rPr>
          <w:rFonts w:ascii="Times New Roman" w:hAnsi="Times New Roman"/>
          <w:color w:val="000000"/>
          <w:sz w:val="24"/>
        </w:rPr>
        <w:t>7.2 除磋商文件接受分包并经甲方同意，乙方可按分包意向协议分包情况外，乙方不得将合同标的分包给他人履行。</w:t>
      </w:r>
    </w:p>
    <w:p w14:paraId="54C8C3F3">
      <w:pPr>
        <w:spacing w:line="360" w:lineRule="auto"/>
        <w:contextualSpacing/>
        <w:rPr>
          <w:rFonts w:ascii="Times New Roman" w:hAnsi="Times New Roman"/>
          <w:color w:val="000000"/>
          <w:sz w:val="24"/>
        </w:rPr>
      </w:pPr>
      <w:r>
        <w:rPr>
          <w:rFonts w:ascii="Times New Roman" w:hAnsi="Times New Roman"/>
          <w:color w:val="000000"/>
          <w:sz w:val="24"/>
        </w:rPr>
        <w:t>7.3 乙方如有转包或未经甲方同意的分包行为，甲方有权终止合同。</w:t>
      </w:r>
    </w:p>
    <w:p w14:paraId="351223CF">
      <w:pPr>
        <w:spacing w:line="360" w:lineRule="auto"/>
        <w:rPr>
          <w:rFonts w:ascii="Times New Roman" w:hAnsi="Times New Roman"/>
          <w:b/>
          <w:color w:val="000000"/>
          <w:sz w:val="24"/>
        </w:rPr>
      </w:pPr>
      <w:r>
        <w:rPr>
          <w:rFonts w:hint="eastAsia" w:ascii="Times New Roman" w:hAnsi="Times New Roman"/>
          <w:b/>
          <w:color w:val="000000"/>
          <w:sz w:val="24"/>
        </w:rPr>
        <w:t>八、合同款项支付</w:t>
      </w:r>
    </w:p>
    <w:p w14:paraId="13F49092">
      <w:pPr>
        <w:pStyle w:val="17"/>
        <w:spacing w:line="360" w:lineRule="auto"/>
        <w:contextualSpacing/>
        <w:rPr>
          <w:rFonts w:hint="default" w:ascii="Times New Roman" w:hAnsi="Times New Roman"/>
          <w:sz w:val="24"/>
          <w:szCs w:val="24"/>
        </w:rPr>
      </w:pPr>
      <w:r>
        <w:rPr>
          <w:rFonts w:hint="default" w:ascii="Times New Roman" w:hAnsi="Times New Roman"/>
          <w:sz w:val="24"/>
          <w:szCs w:val="24"/>
        </w:rPr>
        <w:t>8.1 合同款项的支付方式及时间</w:t>
      </w:r>
    </w:p>
    <w:p w14:paraId="285AF8BF">
      <w:pPr>
        <w:spacing w:line="360" w:lineRule="auto"/>
        <w:contextualSpacing/>
        <w:rPr>
          <w:rFonts w:ascii="Times New Roman" w:hAnsi="Times New Roman"/>
          <w:sz w:val="24"/>
        </w:rPr>
      </w:pPr>
      <w:r>
        <w:rPr>
          <w:rFonts w:ascii="Times New Roman" w:hAnsi="Times New Roman"/>
          <w:sz w:val="24"/>
        </w:rPr>
        <w:t>8.1.1 合同签订后，甲方支付合同总价款的</w:t>
      </w:r>
      <w:r>
        <w:rPr>
          <w:rFonts w:hint="eastAsia" w:ascii="Times New Roman" w:hAnsi="Times New Roman"/>
          <w:sz w:val="24"/>
        </w:rPr>
        <w:t>50</w:t>
      </w:r>
      <w:r>
        <w:rPr>
          <w:rFonts w:ascii="Times New Roman" w:hAnsi="Times New Roman"/>
          <w:sz w:val="24"/>
        </w:rPr>
        <w:t>%作为预付款。</w:t>
      </w:r>
    </w:p>
    <w:p w14:paraId="45058AB5">
      <w:pPr>
        <w:spacing w:line="360" w:lineRule="auto"/>
        <w:contextualSpacing/>
        <w:rPr>
          <w:rFonts w:ascii="Times New Roman" w:hAnsi="Times New Roman"/>
          <w:sz w:val="24"/>
        </w:rPr>
      </w:pPr>
      <w:r>
        <w:rPr>
          <w:rFonts w:ascii="Times New Roman" w:hAnsi="Times New Roman"/>
          <w:sz w:val="24"/>
        </w:rPr>
        <w:t xml:space="preserve">8.1.2 </w:t>
      </w:r>
      <w:r>
        <w:rPr>
          <w:rFonts w:hint="eastAsia" w:ascii="Times New Roman" w:hAnsi="Times New Roman"/>
          <w:sz w:val="24"/>
        </w:rPr>
        <w:t>服务期满6个月后</w:t>
      </w:r>
      <w:r>
        <w:rPr>
          <w:rFonts w:ascii="Times New Roman" w:hAnsi="Times New Roman"/>
          <w:sz w:val="24"/>
        </w:rPr>
        <w:t>，甲方支付合同总价款的</w:t>
      </w:r>
      <w:r>
        <w:rPr>
          <w:rFonts w:hint="eastAsia" w:ascii="Times New Roman" w:hAnsi="Times New Roman"/>
          <w:sz w:val="24"/>
        </w:rPr>
        <w:t>50</w:t>
      </w:r>
      <w:r>
        <w:rPr>
          <w:rFonts w:ascii="Times New Roman" w:hAnsi="Times New Roman"/>
          <w:sz w:val="24"/>
        </w:rPr>
        <w:t>%。</w:t>
      </w:r>
    </w:p>
    <w:p w14:paraId="00A71AFF">
      <w:pPr>
        <w:pStyle w:val="17"/>
        <w:spacing w:line="360" w:lineRule="auto"/>
        <w:contextualSpacing/>
        <w:rPr>
          <w:rFonts w:hint="default" w:ascii="Times New Roman" w:hAnsi="Times New Roman"/>
          <w:sz w:val="24"/>
          <w:szCs w:val="24"/>
        </w:rPr>
      </w:pPr>
      <w:r>
        <w:rPr>
          <w:rFonts w:hint="default" w:ascii="Times New Roman" w:hAnsi="Times New Roman"/>
          <w:sz w:val="24"/>
          <w:szCs w:val="24"/>
        </w:rPr>
        <w:t>8.1.3 满足合同约定支付条件的，甲方收到乙方发票后10个工作日内，将资金支付到合同约定的乙方账户。</w:t>
      </w:r>
    </w:p>
    <w:p w14:paraId="25C368ED">
      <w:pPr>
        <w:pStyle w:val="17"/>
        <w:spacing w:line="360" w:lineRule="auto"/>
        <w:contextualSpacing/>
        <w:rPr>
          <w:rFonts w:hint="default" w:ascii="Times New Roman" w:hAnsi="Times New Roman"/>
          <w:sz w:val="24"/>
          <w:szCs w:val="24"/>
        </w:rPr>
      </w:pPr>
      <w:r>
        <w:rPr>
          <w:rFonts w:hint="default" w:ascii="Times New Roman" w:hAnsi="Times New Roman"/>
          <w:sz w:val="24"/>
          <w:szCs w:val="24"/>
        </w:rPr>
        <w:t>8.2 根据工业和信息化部关于印发《保障中小企业款项支付投诉处理暂行办法》的通知（工信部企业〔2021〕224号），甲方未按合同约定支付款项的，乙方可以向有关部门投诉。</w:t>
      </w:r>
    </w:p>
    <w:p w14:paraId="549D2018">
      <w:pPr>
        <w:spacing w:line="360" w:lineRule="auto"/>
        <w:rPr>
          <w:rFonts w:ascii="Times New Roman" w:hAnsi="Times New Roman"/>
          <w:b/>
          <w:color w:val="000000"/>
          <w:sz w:val="24"/>
        </w:rPr>
      </w:pPr>
      <w:r>
        <w:rPr>
          <w:rFonts w:ascii="Times New Roman" w:hAnsi="Times New Roman"/>
          <w:b/>
          <w:color w:val="000000"/>
          <w:sz w:val="24"/>
        </w:rPr>
        <w:t>九、税费</w:t>
      </w:r>
    </w:p>
    <w:p w14:paraId="2AE50F73">
      <w:pPr>
        <w:spacing w:line="360" w:lineRule="auto"/>
        <w:contextualSpacing/>
        <w:rPr>
          <w:rFonts w:ascii="Times New Roman" w:hAnsi="Times New Roman"/>
          <w:color w:val="000000"/>
          <w:sz w:val="24"/>
        </w:rPr>
      </w:pPr>
      <w:r>
        <w:rPr>
          <w:rFonts w:ascii="Times New Roman" w:hAnsi="Times New Roman"/>
          <w:color w:val="000000"/>
          <w:sz w:val="24"/>
        </w:rPr>
        <w:t>9.1 本合同执行中的相关税费均由乙方负担。</w:t>
      </w:r>
    </w:p>
    <w:p w14:paraId="308E7EF4">
      <w:pPr>
        <w:spacing w:line="360" w:lineRule="auto"/>
        <w:rPr>
          <w:rFonts w:ascii="Times New Roman" w:hAnsi="Times New Roman"/>
          <w:b/>
          <w:color w:val="000000"/>
          <w:sz w:val="24"/>
        </w:rPr>
      </w:pPr>
      <w:r>
        <w:rPr>
          <w:rFonts w:hint="eastAsia" w:ascii="Times New Roman" w:hAnsi="Times New Roman"/>
          <w:b/>
          <w:color w:val="000000"/>
          <w:sz w:val="24"/>
        </w:rPr>
        <w:t>十、项目验收</w:t>
      </w:r>
    </w:p>
    <w:p w14:paraId="65A917C0">
      <w:pPr>
        <w:spacing w:line="360" w:lineRule="auto"/>
        <w:contextualSpacing/>
        <w:rPr>
          <w:rFonts w:ascii="Times New Roman" w:hAnsi="Times New Roman"/>
          <w:color w:val="000000"/>
          <w:sz w:val="24"/>
        </w:rPr>
      </w:pPr>
      <w:r>
        <w:rPr>
          <w:rFonts w:ascii="Times New Roman" w:hAnsi="Times New Roman"/>
          <w:color w:val="000000"/>
          <w:sz w:val="24"/>
        </w:rPr>
        <w:t>10.1 甲方依法组织履约验收工作。</w:t>
      </w:r>
    </w:p>
    <w:p w14:paraId="23011B09">
      <w:pPr>
        <w:spacing w:line="360" w:lineRule="auto"/>
        <w:contextualSpacing/>
        <w:rPr>
          <w:rFonts w:ascii="Times New Roman" w:hAnsi="Times New Roman"/>
          <w:color w:val="000000"/>
          <w:sz w:val="24"/>
        </w:rPr>
      </w:pPr>
      <w:r>
        <w:rPr>
          <w:rFonts w:ascii="Times New Roman" w:hAnsi="Times New Roman"/>
          <w:color w:val="000000"/>
          <w:sz w:val="24"/>
        </w:rPr>
        <w:t>10.2 甲方在组织履约验收前，将根据项目特点制定验收方案，明确验收的时间、方式、程序等内容，并可根据项目特点对服务期内的服务实施情况进行分期考核，综合考核情况和服务效果进行验收。乙方应根据验收方案做好相应配合工作。</w:t>
      </w:r>
    </w:p>
    <w:p w14:paraId="7C76EC87">
      <w:pPr>
        <w:spacing w:line="360" w:lineRule="auto"/>
        <w:contextualSpacing/>
        <w:rPr>
          <w:rFonts w:ascii="Times New Roman" w:hAnsi="Times New Roman"/>
          <w:color w:val="000000"/>
          <w:sz w:val="24"/>
        </w:rPr>
      </w:pPr>
      <w:r>
        <w:rPr>
          <w:rFonts w:ascii="Times New Roman" w:hAnsi="Times New Roman"/>
          <w:color w:val="000000"/>
          <w:sz w:val="24"/>
        </w:rPr>
        <w:t>10.3 对于实际使用人和甲方分离的项目，甲方邀请实际使用人参与验收。</w:t>
      </w:r>
    </w:p>
    <w:p w14:paraId="795CE316">
      <w:pPr>
        <w:spacing w:line="360" w:lineRule="auto"/>
        <w:contextualSpacing/>
        <w:rPr>
          <w:rFonts w:ascii="Times New Roman" w:hAnsi="Times New Roman"/>
          <w:color w:val="000000"/>
          <w:sz w:val="24"/>
        </w:rPr>
      </w:pPr>
      <w:r>
        <w:rPr>
          <w:rFonts w:ascii="Times New Roman" w:hAnsi="Times New Roman"/>
          <w:color w:val="000000"/>
          <w:sz w:val="24"/>
        </w:rPr>
        <w:t>10.4 如有必要，甲方可邀请参加本项目磋商的其他供应商或第三方专业机构及专家参与验收，相关意见将作为验收结论的参考。</w:t>
      </w:r>
    </w:p>
    <w:p w14:paraId="7B80C07E">
      <w:pPr>
        <w:spacing w:line="360" w:lineRule="auto"/>
        <w:contextualSpacing/>
        <w:rPr>
          <w:rFonts w:ascii="Times New Roman" w:hAnsi="Times New Roman"/>
          <w:color w:val="000000"/>
          <w:sz w:val="24"/>
        </w:rPr>
      </w:pPr>
      <w:r>
        <w:rPr>
          <w:rFonts w:ascii="Times New Roman" w:hAnsi="Times New Roman"/>
          <w:color w:val="000000"/>
          <w:sz w:val="24"/>
        </w:rPr>
        <w:t>10.5 甲方成立验收小组，按照采购合同约定对乙方的履约情况进行验收。验收时间、验收标准见磋商文件。验收时甲方按照采购合同的约定对每一项服务的履约情况进行确认。验收结束后</w:t>
      </w:r>
      <w:r>
        <w:rPr>
          <w:rFonts w:hint="eastAsia" w:ascii="Times New Roman" w:hAnsi="Times New Roman"/>
          <w:color w:val="000000"/>
          <w:sz w:val="24"/>
        </w:rPr>
        <w:t>，</w:t>
      </w:r>
      <w:r>
        <w:rPr>
          <w:rFonts w:ascii="Times New Roman" w:hAnsi="Times New Roman"/>
          <w:color w:val="000000"/>
          <w:sz w:val="24"/>
        </w:rPr>
        <w:t>验收小组出具验收书</w:t>
      </w:r>
      <w:r>
        <w:rPr>
          <w:rFonts w:hint="eastAsia" w:ascii="Times New Roman" w:hAnsi="Times New Roman"/>
          <w:color w:val="000000"/>
          <w:sz w:val="24"/>
        </w:rPr>
        <w:t>，</w:t>
      </w:r>
      <w:r>
        <w:rPr>
          <w:rFonts w:ascii="Times New Roman" w:hAnsi="Times New Roman"/>
          <w:color w:val="000000"/>
          <w:sz w:val="24"/>
        </w:rPr>
        <w:t>列明各项服务的验收情况及项目总体评价</w:t>
      </w:r>
      <w:r>
        <w:rPr>
          <w:rFonts w:hint="eastAsia" w:ascii="Times New Roman" w:hAnsi="Times New Roman"/>
          <w:color w:val="000000"/>
          <w:sz w:val="24"/>
        </w:rPr>
        <w:t>，</w:t>
      </w:r>
      <w:r>
        <w:rPr>
          <w:rFonts w:ascii="Times New Roman" w:hAnsi="Times New Roman"/>
          <w:color w:val="000000"/>
          <w:sz w:val="24"/>
        </w:rPr>
        <w:t>由验收双方共同签署。验收结果与采购合同约定的资金支付及履约保证金退还挂钩。履约验收的各项资料存档备查。</w:t>
      </w:r>
    </w:p>
    <w:p w14:paraId="1565AB92">
      <w:pPr>
        <w:spacing w:line="360" w:lineRule="auto"/>
        <w:contextualSpacing/>
        <w:rPr>
          <w:rFonts w:ascii="Times New Roman" w:hAnsi="Times New Roman"/>
          <w:color w:val="000000"/>
          <w:sz w:val="24"/>
        </w:rPr>
      </w:pPr>
      <w:r>
        <w:rPr>
          <w:rFonts w:ascii="Times New Roman" w:hAnsi="Times New Roman"/>
          <w:color w:val="000000"/>
          <w:sz w:val="24"/>
        </w:rPr>
        <w:t>10.6 验收合格的项目</w:t>
      </w:r>
      <w:r>
        <w:rPr>
          <w:rFonts w:hint="eastAsia" w:ascii="Times New Roman" w:hAnsi="Times New Roman"/>
          <w:color w:val="000000"/>
          <w:sz w:val="24"/>
        </w:rPr>
        <w:t>，</w:t>
      </w:r>
      <w:r>
        <w:rPr>
          <w:rFonts w:ascii="Times New Roman" w:hAnsi="Times New Roman"/>
          <w:color w:val="000000"/>
          <w:sz w:val="24"/>
        </w:rPr>
        <w:t>甲方根据采购合同的约定及时向乙方支付合同款项、退还履约保证金。验收不合格的项目，甲方依法及时处理。采购合同的履行、违约责任和解决争议的方式等适用《中华人民共和国民法典》。乙方在履约过程中有政府采购法律法规规定的违法违规情形的</w:t>
      </w:r>
      <w:r>
        <w:rPr>
          <w:rFonts w:hint="eastAsia" w:ascii="Times New Roman" w:hAnsi="Times New Roman"/>
          <w:color w:val="000000"/>
          <w:sz w:val="24"/>
        </w:rPr>
        <w:t>，</w:t>
      </w:r>
      <w:r>
        <w:rPr>
          <w:rFonts w:ascii="Times New Roman" w:hAnsi="Times New Roman"/>
          <w:color w:val="000000"/>
          <w:sz w:val="24"/>
        </w:rPr>
        <w:t>甲方将及时报告本级财政部门。</w:t>
      </w:r>
    </w:p>
    <w:p w14:paraId="7873B503">
      <w:pPr>
        <w:spacing w:line="360" w:lineRule="auto"/>
        <w:rPr>
          <w:rFonts w:ascii="Times New Roman" w:hAnsi="Times New Roman"/>
          <w:b/>
          <w:color w:val="000000"/>
          <w:sz w:val="24"/>
        </w:rPr>
      </w:pPr>
      <w:r>
        <w:rPr>
          <w:rFonts w:hint="eastAsia" w:ascii="Times New Roman" w:hAnsi="Times New Roman"/>
          <w:b/>
          <w:color w:val="000000"/>
          <w:sz w:val="24"/>
        </w:rPr>
        <w:t>十一、违约责任</w:t>
      </w:r>
    </w:p>
    <w:p w14:paraId="09F41E0B">
      <w:pPr>
        <w:spacing w:line="360" w:lineRule="auto"/>
        <w:contextualSpacing/>
        <w:rPr>
          <w:rFonts w:ascii="Times New Roman" w:hAnsi="Times New Roman"/>
          <w:color w:val="000000"/>
          <w:sz w:val="24"/>
        </w:rPr>
      </w:pPr>
      <w:r>
        <w:rPr>
          <w:rFonts w:ascii="Times New Roman" w:hAnsi="Times New Roman"/>
          <w:color w:val="000000"/>
          <w:sz w:val="24"/>
        </w:rPr>
        <w:t>11.1 甲方无正当理由拒绝接受乙方提供服务的，应向乙方偿付拒绝接受服务合同总额</w:t>
      </w:r>
    </w:p>
    <w:p w14:paraId="7531397A">
      <w:pPr>
        <w:spacing w:line="360" w:lineRule="auto"/>
        <w:contextualSpacing/>
        <w:rPr>
          <w:rFonts w:ascii="Times New Roman" w:hAnsi="Times New Roman"/>
          <w:color w:val="000000"/>
          <w:sz w:val="24"/>
        </w:rPr>
      </w:pPr>
      <w:r>
        <w:rPr>
          <w:rFonts w:ascii="Times New Roman" w:hAnsi="Times New Roman"/>
          <w:color w:val="000000"/>
          <w:sz w:val="24"/>
          <w:u w:val="single"/>
        </w:rPr>
        <w:t xml:space="preserve">     </w:t>
      </w:r>
      <w:r>
        <w:rPr>
          <w:rFonts w:ascii="Times New Roman" w:hAnsi="Times New Roman"/>
          <w:color w:val="000000"/>
          <w:sz w:val="24"/>
        </w:rPr>
        <w:t>的违约金。</w:t>
      </w:r>
    </w:p>
    <w:p w14:paraId="7C76E0F9">
      <w:pPr>
        <w:spacing w:line="360" w:lineRule="auto"/>
        <w:contextualSpacing/>
        <w:rPr>
          <w:rFonts w:ascii="Times New Roman" w:hAnsi="Times New Roman"/>
          <w:color w:val="000000"/>
          <w:sz w:val="24"/>
        </w:rPr>
      </w:pPr>
      <w:r>
        <w:rPr>
          <w:rFonts w:ascii="Times New Roman" w:hAnsi="Times New Roman"/>
          <w:color w:val="000000"/>
          <w:sz w:val="24"/>
        </w:rPr>
        <w:t xml:space="preserve">11.2 </w:t>
      </w:r>
      <w:r>
        <w:rPr>
          <w:rFonts w:ascii="Times New Roman" w:hAnsi="Times New Roman"/>
          <w:sz w:val="24"/>
        </w:rPr>
        <w:t>甲方无故逾期验收和办理支付手续的，应按逾期付款总额每日</w:t>
      </w:r>
      <w:r>
        <w:rPr>
          <w:rFonts w:ascii="Times New Roman" w:hAnsi="Times New Roman"/>
          <w:sz w:val="24"/>
          <w:u w:val="single"/>
        </w:rPr>
        <w:t xml:space="preserve">     </w:t>
      </w:r>
      <w:r>
        <w:rPr>
          <w:rFonts w:ascii="Times New Roman" w:hAnsi="Times New Roman"/>
          <w:sz w:val="24"/>
        </w:rPr>
        <w:t>向乙方支付违约金。</w:t>
      </w:r>
    </w:p>
    <w:p w14:paraId="77A1A0C5">
      <w:pPr>
        <w:spacing w:line="360" w:lineRule="auto"/>
        <w:contextualSpacing/>
        <w:rPr>
          <w:rFonts w:ascii="Times New Roman" w:hAnsi="Times New Roman"/>
          <w:sz w:val="24"/>
        </w:rPr>
      </w:pPr>
      <w:r>
        <w:rPr>
          <w:rFonts w:ascii="Times New Roman" w:hAnsi="Times New Roman"/>
          <w:color w:val="000000"/>
          <w:sz w:val="24"/>
        </w:rPr>
        <w:t>11.3 乙方逾期提供服务的，应按逾期提供服务合同总额每日</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ascii="Times New Roman" w:hAnsi="Times New Roman"/>
          <w:color w:val="000000"/>
          <w:sz w:val="24"/>
        </w:rPr>
        <w:t>甲方支付违约金，由甲方从待付合同款中扣除。逾期超过约定日期10个工作日不能提供服务的，甲方可解除本合同。乙方因逾期提供服务或因其他违约行为导致甲方解除合同的</w:t>
      </w:r>
      <w:r>
        <w:rPr>
          <w:rFonts w:ascii="Times New Roman" w:hAnsi="Times New Roman"/>
          <w:sz w:val="24"/>
        </w:rPr>
        <w:t>，应向甲方支付合同总额</w:t>
      </w:r>
      <w:r>
        <w:rPr>
          <w:rFonts w:ascii="Times New Roman" w:hAnsi="Times New Roman"/>
          <w:sz w:val="24"/>
          <w:u w:val="single"/>
        </w:rPr>
        <w:t xml:space="preserve">    </w:t>
      </w:r>
      <w:r>
        <w:rPr>
          <w:rFonts w:ascii="Times New Roman" w:hAnsi="Times New Roman"/>
          <w:sz w:val="24"/>
        </w:rPr>
        <w:t>的违约金。</w:t>
      </w:r>
    </w:p>
    <w:p w14:paraId="0EA1B090">
      <w:pPr>
        <w:spacing w:line="360" w:lineRule="auto"/>
        <w:contextualSpacing/>
        <w:rPr>
          <w:rFonts w:ascii="Times New Roman" w:hAnsi="Times New Roman"/>
          <w:color w:val="000000"/>
          <w:sz w:val="24"/>
        </w:rPr>
      </w:pPr>
      <w:r>
        <w:rPr>
          <w:rFonts w:ascii="Times New Roman" w:hAnsi="Times New Roman"/>
          <w:color w:val="000000"/>
          <w:sz w:val="24"/>
        </w:rPr>
        <w:t>11.4 乙方所提供服务的标准不符合合同规定及磋商文件规定标准的，甲方有权拒绝接受服务，并可单方面解除合同。</w:t>
      </w:r>
    </w:p>
    <w:p w14:paraId="6BFF35B0">
      <w:pPr>
        <w:spacing w:line="360" w:lineRule="auto"/>
        <w:contextualSpacing/>
        <w:rPr>
          <w:rFonts w:ascii="Times New Roman" w:hAnsi="Times New Roman"/>
        </w:rPr>
      </w:pPr>
      <w:r>
        <w:rPr>
          <w:rFonts w:ascii="Times New Roman" w:hAnsi="Times New Roman"/>
          <w:color w:val="000000"/>
          <w:sz w:val="24"/>
        </w:rPr>
        <w:t>11.5 甲乙双方任何一方违反本合同约定的，除应承担上述违约责任外，违约方还应当赔偿因此给守约方造成的一切直接和间接损失，包括但不限于守约方的实际损失、预期可得利益损失以及为实现债权而产生的费用（包括但不限于诉讼费、保全费、保全担保费、律师费、公证费、鉴定费、差旅费）。</w:t>
      </w:r>
    </w:p>
    <w:p w14:paraId="38BB95AD">
      <w:pPr>
        <w:spacing w:line="360" w:lineRule="auto"/>
        <w:rPr>
          <w:rFonts w:ascii="Times New Roman" w:hAnsi="Times New Roman"/>
          <w:b/>
          <w:color w:val="000000"/>
          <w:sz w:val="24"/>
        </w:rPr>
      </w:pPr>
      <w:r>
        <w:rPr>
          <w:rFonts w:hint="eastAsia" w:ascii="Times New Roman" w:hAnsi="Times New Roman"/>
          <w:b/>
          <w:color w:val="000000"/>
          <w:sz w:val="24"/>
        </w:rPr>
        <w:t>十二、不可抗力事件处理</w:t>
      </w:r>
    </w:p>
    <w:p w14:paraId="0F69E7B1">
      <w:pPr>
        <w:spacing w:line="360" w:lineRule="auto"/>
        <w:contextualSpacing/>
        <w:rPr>
          <w:rFonts w:ascii="Times New Roman" w:hAnsi="Times New Roman"/>
          <w:color w:val="000000"/>
          <w:sz w:val="24"/>
        </w:rPr>
      </w:pPr>
      <w:r>
        <w:rPr>
          <w:rFonts w:ascii="Times New Roman" w:hAnsi="Times New Roman"/>
          <w:color w:val="000000"/>
          <w:sz w:val="24"/>
        </w:rPr>
        <w:t>12.1 在合同有效期内，任何一方因不可抗力事件导致不能履行合同，则合同履行期可延长，其延长期与不可抗力影响期相同。</w:t>
      </w:r>
    </w:p>
    <w:p w14:paraId="6CEA1C9B">
      <w:pPr>
        <w:spacing w:line="360" w:lineRule="auto"/>
        <w:contextualSpacing/>
        <w:rPr>
          <w:rFonts w:ascii="Times New Roman" w:hAnsi="Times New Roman"/>
          <w:color w:val="000000"/>
          <w:sz w:val="24"/>
        </w:rPr>
      </w:pPr>
      <w:r>
        <w:rPr>
          <w:rFonts w:ascii="Times New Roman" w:hAnsi="Times New Roman"/>
          <w:color w:val="000000"/>
          <w:sz w:val="24"/>
        </w:rPr>
        <w:t>12.2 不可抗力事件发生后，应立即通知对方并寄送有关权威机构出具的证明。</w:t>
      </w:r>
    </w:p>
    <w:p w14:paraId="6C58660F">
      <w:pPr>
        <w:spacing w:line="360" w:lineRule="auto"/>
        <w:contextualSpacing/>
        <w:rPr>
          <w:rFonts w:ascii="Times New Roman" w:hAnsi="Times New Roman"/>
          <w:color w:val="000000"/>
          <w:sz w:val="24"/>
        </w:rPr>
      </w:pPr>
      <w:r>
        <w:rPr>
          <w:rFonts w:ascii="Times New Roman" w:hAnsi="Times New Roman"/>
          <w:color w:val="000000"/>
          <w:sz w:val="24"/>
        </w:rPr>
        <w:t>12.3 不可抗力事件延续120天以上，双方应通过友好协商，确定是否继续履行合同。</w:t>
      </w:r>
    </w:p>
    <w:p w14:paraId="1650421E">
      <w:pPr>
        <w:spacing w:line="360" w:lineRule="auto"/>
        <w:rPr>
          <w:rFonts w:ascii="Times New Roman" w:hAnsi="Times New Roman"/>
          <w:b/>
          <w:color w:val="000000"/>
          <w:sz w:val="24"/>
        </w:rPr>
      </w:pPr>
      <w:r>
        <w:rPr>
          <w:rFonts w:hint="eastAsia" w:ascii="Times New Roman" w:hAnsi="Times New Roman"/>
          <w:b/>
          <w:color w:val="000000"/>
          <w:sz w:val="24"/>
        </w:rPr>
        <w:t>十三、解决争议的方法</w:t>
      </w:r>
    </w:p>
    <w:p w14:paraId="20052555">
      <w:pPr>
        <w:spacing w:line="360" w:lineRule="auto"/>
        <w:contextualSpacing/>
        <w:rPr>
          <w:rFonts w:ascii="Times New Roman" w:hAnsi="Times New Roman"/>
          <w:color w:val="000000"/>
          <w:sz w:val="24"/>
        </w:rPr>
      </w:pPr>
      <w:r>
        <w:rPr>
          <w:rFonts w:ascii="Times New Roman" w:hAnsi="Times New Roman"/>
          <w:color w:val="000000"/>
          <w:sz w:val="24"/>
        </w:rPr>
        <w:t>13.1 双方在签订、履行合同中所发生的一切争议，应通过友好协商解决。如协商不成的由甲方住所地人民法院管辖。</w:t>
      </w:r>
    </w:p>
    <w:p w14:paraId="0075FCB5">
      <w:pPr>
        <w:spacing w:line="360" w:lineRule="auto"/>
        <w:rPr>
          <w:rFonts w:ascii="Times New Roman" w:hAnsi="Times New Roman"/>
          <w:b/>
          <w:color w:val="000000"/>
          <w:sz w:val="24"/>
        </w:rPr>
      </w:pPr>
      <w:r>
        <w:rPr>
          <w:rFonts w:ascii="Times New Roman" w:hAnsi="Times New Roman"/>
          <w:b/>
          <w:color w:val="000000"/>
          <w:sz w:val="24"/>
        </w:rPr>
        <w:t>十四、合同生效及其它</w:t>
      </w:r>
    </w:p>
    <w:p w14:paraId="496C6287">
      <w:pPr>
        <w:spacing w:line="360" w:lineRule="auto"/>
        <w:contextualSpacing/>
        <w:rPr>
          <w:rFonts w:ascii="Times New Roman" w:hAnsi="Times New Roman"/>
          <w:color w:val="000000"/>
          <w:sz w:val="24"/>
        </w:rPr>
      </w:pPr>
      <w:r>
        <w:rPr>
          <w:rFonts w:ascii="Times New Roman" w:hAnsi="Times New Roman"/>
          <w:color w:val="000000"/>
          <w:sz w:val="24"/>
        </w:rPr>
        <w:t>14.1 本合同经双方加盖单位公章后生效。</w:t>
      </w:r>
    </w:p>
    <w:p w14:paraId="5E0CA66A">
      <w:pPr>
        <w:spacing w:line="360" w:lineRule="auto"/>
        <w:contextualSpacing/>
        <w:rPr>
          <w:rFonts w:ascii="Times New Roman" w:hAnsi="Times New Roman"/>
          <w:color w:val="000000"/>
          <w:sz w:val="24"/>
        </w:rPr>
      </w:pPr>
      <w:r>
        <w:rPr>
          <w:rFonts w:ascii="Times New Roman" w:hAnsi="Times New Roman"/>
          <w:color w:val="000000"/>
          <w:sz w:val="24"/>
        </w:rPr>
        <w:t>14.2 本合同未尽事宜，遵照《中华人民共和国民法典》有关条文执行。</w:t>
      </w:r>
    </w:p>
    <w:p w14:paraId="26591FDA">
      <w:pPr>
        <w:spacing w:line="360" w:lineRule="auto"/>
        <w:contextualSpacing/>
        <w:rPr>
          <w:rFonts w:ascii="Times New Roman" w:hAnsi="Times New Roman"/>
          <w:color w:val="000000"/>
          <w:sz w:val="24"/>
        </w:rPr>
      </w:pPr>
      <w:r>
        <w:rPr>
          <w:rFonts w:ascii="Times New Roman" w:hAnsi="Times New Roman"/>
          <w:color w:val="000000"/>
          <w:sz w:val="24"/>
        </w:rPr>
        <w:t>14.3 本合同正本一式</w:t>
      </w:r>
      <w:r>
        <w:rPr>
          <w:rFonts w:hint="eastAsia" w:ascii="Times New Roman" w:hAnsi="Times New Roman"/>
          <w:color w:val="000000"/>
          <w:sz w:val="24"/>
        </w:rPr>
        <w:t>肆</w:t>
      </w:r>
      <w:r>
        <w:rPr>
          <w:rFonts w:ascii="Times New Roman" w:hAnsi="Times New Roman"/>
          <w:color w:val="000000"/>
          <w:sz w:val="24"/>
        </w:rPr>
        <w:t>份，具有同等法律效力，甲方、乙方各执</w:t>
      </w:r>
      <w:r>
        <w:rPr>
          <w:rFonts w:hint="eastAsia" w:ascii="Times New Roman" w:hAnsi="Times New Roman"/>
          <w:color w:val="000000"/>
          <w:sz w:val="24"/>
        </w:rPr>
        <w:t>贰</w:t>
      </w:r>
      <w:r>
        <w:rPr>
          <w:rFonts w:ascii="Times New Roman" w:hAnsi="Times New Roman"/>
          <w:color w:val="000000"/>
          <w:sz w:val="24"/>
        </w:rPr>
        <w:t>份。</w:t>
      </w:r>
    </w:p>
    <w:p w14:paraId="4427C4E3">
      <w:pPr>
        <w:pStyle w:val="17"/>
        <w:spacing w:line="360" w:lineRule="auto"/>
        <w:contextualSpacing/>
        <w:rPr>
          <w:rFonts w:hint="default" w:ascii="Times New Roman" w:hAnsi="Times New Roman"/>
          <w:sz w:val="24"/>
          <w:szCs w:val="24"/>
        </w:rPr>
      </w:pPr>
    </w:p>
    <w:p w14:paraId="44B91860">
      <w:pPr>
        <w:pStyle w:val="17"/>
        <w:spacing w:line="480" w:lineRule="auto"/>
        <w:contextualSpacing/>
        <w:rPr>
          <w:rFonts w:hint="default" w:ascii="Times New Roman" w:hAnsi="Times New Roman"/>
          <w:sz w:val="24"/>
          <w:szCs w:val="24"/>
        </w:rPr>
      </w:pPr>
      <w:r>
        <w:rPr>
          <w:rFonts w:hint="default" w:ascii="Times New Roman" w:hAnsi="Times New Roman"/>
          <w:sz w:val="24"/>
          <w:szCs w:val="24"/>
        </w:rPr>
        <w:t>甲方：（公章）                       乙方：（公章）</w:t>
      </w:r>
    </w:p>
    <w:p w14:paraId="0BE8E189">
      <w:pPr>
        <w:pStyle w:val="17"/>
        <w:spacing w:line="480" w:lineRule="auto"/>
        <w:contextualSpacing/>
        <w:rPr>
          <w:rFonts w:hint="default" w:ascii="Times New Roman" w:hAnsi="Times New Roman"/>
          <w:sz w:val="24"/>
          <w:szCs w:val="24"/>
        </w:rPr>
      </w:pPr>
      <w:r>
        <w:rPr>
          <w:rFonts w:hint="default" w:ascii="Times New Roman" w:hAnsi="Times New Roman"/>
          <w:sz w:val="24"/>
          <w:szCs w:val="24"/>
        </w:rPr>
        <w:t xml:space="preserve">地址：                              地址： </w:t>
      </w:r>
    </w:p>
    <w:p w14:paraId="00210344">
      <w:pPr>
        <w:pStyle w:val="17"/>
        <w:spacing w:line="480" w:lineRule="auto"/>
        <w:contextualSpacing/>
        <w:rPr>
          <w:rFonts w:hint="default" w:ascii="Times New Roman" w:hAnsi="Times New Roman"/>
          <w:sz w:val="24"/>
          <w:szCs w:val="24"/>
        </w:rPr>
      </w:pPr>
      <w:r>
        <w:rPr>
          <w:rFonts w:hint="default" w:ascii="Times New Roman" w:hAnsi="Times New Roman"/>
          <w:sz w:val="24"/>
          <w:szCs w:val="24"/>
        </w:rPr>
        <w:t>法定代表人或授权代表：              法定代表人或授权代表：</w:t>
      </w:r>
    </w:p>
    <w:p w14:paraId="0D86E78D">
      <w:pPr>
        <w:pStyle w:val="17"/>
        <w:spacing w:line="480" w:lineRule="auto"/>
        <w:contextualSpacing/>
        <w:rPr>
          <w:rFonts w:hint="default" w:ascii="Times New Roman" w:hAnsi="Times New Roman"/>
          <w:sz w:val="24"/>
          <w:szCs w:val="24"/>
        </w:rPr>
      </w:pPr>
      <w:r>
        <w:rPr>
          <w:rFonts w:hint="default" w:ascii="Times New Roman" w:hAnsi="Times New Roman"/>
          <w:sz w:val="24"/>
          <w:szCs w:val="24"/>
        </w:rPr>
        <w:t xml:space="preserve">联系电话：                          联系电话： </w:t>
      </w:r>
    </w:p>
    <w:p w14:paraId="0B6DC745">
      <w:pPr>
        <w:pStyle w:val="17"/>
        <w:spacing w:line="360" w:lineRule="auto"/>
        <w:contextualSpacing/>
        <w:rPr>
          <w:rFonts w:hint="default" w:ascii="Times New Roman" w:hAnsi="Times New Roman"/>
          <w:sz w:val="24"/>
          <w:szCs w:val="24"/>
        </w:rPr>
      </w:pPr>
      <w:r>
        <w:rPr>
          <w:rFonts w:hint="default" w:ascii="Times New Roman" w:hAnsi="Times New Roman"/>
          <w:sz w:val="24"/>
          <w:szCs w:val="24"/>
        </w:rPr>
        <w:t xml:space="preserve">                                          </w:t>
      </w:r>
    </w:p>
    <w:p w14:paraId="0D826902">
      <w:pPr>
        <w:pStyle w:val="17"/>
        <w:spacing w:line="360" w:lineRule="auto"/>
        <w:ind w:firstLine="5280" w:firstLineChars="2200"/>
        <w:contextualSpacing/>
        <w:rPr>
          <w:rFonts w:hint="default" w:ascii="Times New Roman" w:hAnsi="Times New Roman"/>
          <w:sz w:val="24"/>
          <w:szCs w:val="24"/>
        </w:rPr>
      </w:pPr>
      <w:r>
        <w:rPr>
          <w:rFonts w:hint="default" w:ascii="Times New Roman" w:hAnsi="Times New Roman"/>
          <w:sz w:val="24"/>
          <w:szCs w:val="24"/>
        </w:rPr>
        <w:t>签订日期：      年    月   日</w:t>
      </w:r>
    </w:p>
    <w:p w14:paraId="5F032D93">
      <w:pPr>
        <w:pStyle w:val="17"/>
        <w:spacing w:line="360" w:lineRule="auto"/>
        <w:contextualSpacing/>
        <w:rPr>
          <w:rFonts w:hAnsi="宋体" w:cs="Courier New"/>
          <w:sz w:val="24"/>
          <w:szCs w:val="24"/>
        </w:rPr>
      </w:pPr>
    </w:p>
    <w:p w14:paraId="17F8471D">
      <w:pPr>
        <w:spacing w:line="360" w:lineRule="auto"/>
        <w:contextualSpacing/>
        <w:jc w:val="center"/>
        <w:rPr>
          <w:rFonts w:hint="eastAsia" w:ascii="宋体" w:hAnsi="宋体"/>
          <w:b/>
          <w:sz w:val="30"/>
          <w:szCs w:val="21"/>
        </w:rPr>
      </w:pPr>
      <w:r>
        <w:rPr>
          <w:rFonts w:hint="eastAsia" w:ascii="宋体" w:hAnsi="宋体"/>
          <w:b/>
          <w:sz w:val="30"/>
          <w:szCs w:val="21"/>
        </w:rPr>
        <w:t>《*******合同》补充协议（合同附件）</w:t>
      </w:r>
    </w:p>
    <w:p w14:paraId="3AFE3FD1">
      <w:pPr>
        <w:pStyle w:val="17"/>
        <w:spacing w:line="360" w:lineRule="auto"/>
        <w:ind w:firstLine="480" w:firstLineChars="200"/>
        <w:contextualSpacing/>
        <w:jc w:val="left"/>
        <w:rPr>
          <w:rFonts w:hAnsi="宋体"/>
          <w:color w:val="000000"/>
          <w:sz w:val="24"/>
          <w:szCs w:val="24"/>
        </w:rPr>
      </w:pPr>
      <w:r>
        <w:rPr>
          <w:rFonts w:hAnsi="宋体"/>
          <w:color w:val="000000"/>
          <w:sz w:val="24"/>
          <w:szCs w:val="24"/>
        </w:rPr>
        <w:t>如遇磋商文件及合同未约定事项，双方可友好协商签订补充协议</w:t>
      </w:r>
    </w:p>
    <w:p w14:paraId="29B727A5">
      <w:pPr>
        <w:spacing w:after="156" w:afterLines="50" w:line="360" w:lineRule="auto"/>
        <w:jc w:val="center"/>
        <w:outlineLvl w:val="0"/>
        <w:rPr>
          <w:rFonts w:hint="eastAsia" w:ascii="华文中宋" w:hAnsi="华文中宋" w:eastAsia="华文中宋"/>
          <w:b/>
          <w:bCs/>
          <w:sz w:val="32"/>
          <w:szCs w:val="32"/>
        </w:rPr>
      </w:pPr>
      <w:r>
        <w:br w:type="page"/>
      </w:r>
      <w:bookmarkStart w:id="41" w:name="_Toc171512439"/>
      <w:bookmarkStart w:id="42" w:name="_Toc171605459"/>
      <w:bookmarkStart w:id="43" w:name="_Toc155687993"/>
      <w:r>
        <w:rPr>
          <w:rFonts w:ascii="华文中宋" w:hAnsi="华文中宋" w:eastAsia="华文中宋"/>
          <w:b/>
          <w:bCs/>
          <w:sz w:val="32"/>
          <w:szCs w:val="32"/>
        </w:rPr>
        <w:t>第四章  项目需求</w:t>
      </w:r>
      <w:bookmarkEnd w:id="41"/>
      <w:bookmarkEnd w:id="42"/>
      <w:bookmarkEnd w:id="43"/>
    </w:p>
    <w:p w14:paraId="7278B616">
      <w:pPr>
        <w:spacing w:line="360" w:lineRule="auto"/>
        <w:outlineLvl w:val="1"/>
        <w:rPr>
          <w:rFonts w:hint="eastAsia" w:ascii="宋体" w:hAnsi="宋体"/>
          <w:b/>
          <w:bCs/>
          <w:sz w:val="24"/>
        </w:rPr>
      </w:pPr>
      <w:bookmarkStart w:id="44" w:name="_Toc155687994"/>
      <w:bookmarkStart w:id="45" w:name="_Toc171605460"/>
      <w:bookmarkStart w:id="46" w:name="_Toc171512440"/>
      <w:r>
        <w:rPr>
          <w:rFonts w:hint="eastAsia" w:ascii="宋体" w:hAnsi="宋体"/>
          <w:b/>
          <w:bCs/>
          <w:sz w:val="24"/>
        </w:rPr>
        <w:t>一、项目概况</w:t>
      </w:r>
      <w:bookmarkEnd w:id="44"/>
      <w:bookmarkEnd w:id="45"/>
      <w:bookmarkEnd w:id="46"/>
    </w:p>
    <w:p w14:paraId="0255C4F6">
      <w:pPr>
        <w:spacing w:line="360" w:lineRule="auto"/>
        <w:ind w:firstLine="480" w:firstLineChars="200"/>
        <w:rPr>
          <w:rFonts w:ascii="Times New Roman" w:hAnsi="Times New Roman"/>
          <w:sz w:val="24"/>
        </w:rPr>
      </w:pPr>
      <w:r>
        <w:rPr>
          <w:rFonts w:ascii="Times New Roman" w:hAnsi="Times New Roman"/>
          <w:sz w:val="24"/>
        </w:rPr>
        <w:t>随着医院信息化建设的不断深入，各类核心业务系统（如HIS、LIS、PACS等）已成为支撑医院日常诊疗、运营管理与患者服务的关键基础设施。为保障南京市栖霞区医院现有信息系统的安全、稳定、高效运行，确保业务7*24小时不间断开展，现拟通过</w:t>
      </w:r>
      <w:r>
        <w:rPr>
          <w:rFonts w:hint="eastAsia" w:ascii="Times New Roman" w:hAnsi="Times New Roman"/>
          <w:sz w:val="24"/>
        </w:rPr>
        <w:t>竞争性磋商的采购</w:t>
      </w:r>
      <w:r>
        <w:rPr>
          <w:rFonts w:ascii="Times New Roman" w:hAnsi="Times New Roman"/>
          <w:sz w:val="24"/>
        </w:rPr>
        <w:t>方式，</w:t>
      </w:r>
      <w:r>
        <w:rPr>
          <w:rFonts w:hint="eastAsia" w:ascii="Times New Roman" w:hAnsi="Times New Roman"/>
          <w:sz w:val="24"/>
        </w:rPr>
        <w:t>选择</w:t>
      </w:r>
      <w:r>
        <w:rPr>
          <w:rFonts w:ascii="Times New Roman" w:hAnsi="Times New Roman"/>
          <w:sz w:val="24"/>
        </w:rPr>
        <w:t>一家具备丰富医疗行业经验、技术实力雄厚的专业</w:t>
      </w:r>
      <w:r>
        <w:rPr>
          <w:rFonts w:hint="eastAsia" w:ascii="Times New Roman" w:hAnsi="Times New Roman"/>
          <w:sz w:val="24"/>
        </w:rPr>
        <w:t>供应商</w:t>
      </w:r>
      <w:r>
        <w:rPr>
          <w:rFonts w:ascii="Times New Roman" w:hAnsi="Times New Roman"/>
          <w:sz w:val="24"/>
        </w:rPr>
        <w:t>，为我院提供全面、规范、及时的信息系统维保服务。</w:t>
      </w:r>
    </w:p>
    <w:p w14:paraId="2F71C36C">
      <w:pPr>
        <w:spacing w:after="156" w:afterLines="50" w:line="360" w:lineRule="auto"/>
        <w:outlineLvl w:val="1"/>
        <w:rPr>
          <w:rFonts w:hint="eastAsia" w:ascii="宋体" w:hAnsi="宋体"/>
          <w:b/>
          <w:bCs/>
          <w:sz w:val="24"/>
        </w:rPr>
      </w:pPr>
      <w:bookmarkStart w:id="47" w:name="_Toc171512441"/>
      <w:bookmarkStart w:id="48" w:name="_Toc171605461"/>
      <w:bookmarkStart w:id="49" w:name="_Toc155687997"/>
      <w:r>
        <w:rPr>
          <w:rFonts w:hint="eastAsia" w:ascii="宋体" w:hAnsi="宋体"/>
          <w:b/>
          <w:bCs/>
          <w:sz w:val="24"/>
        </w:rPr>
        <w:t>二、项目需求清单</w:t>
      </w:r>
      <w:bookmarkEnd w:id="47"/>
      <w:bookmarkEnd w:id="48"/>
      <w:bookmarkEnd w:id="49"/>
    </w:p>
    <w:tbl>
      <w:tblPr>
        <w:tblStyle w:val="35"/>
        <w:tblW w:w="9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3565"/>
        <w:gridCol w:w="709"/>
        <w:gridCol w:w="971"/>
        <w:gridCol w:w="2393"/>
        <w:gridCol w:w="837"/>
      </w:tblGrid>
      <w:tr w14:paraId="1E7C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3A62C69A">
            <w:pPr>
              <w:spacing w:line="360" w:lineRule="auto"/>
              <w:jc w:val="center"/>
              <w:rPr>
                <w:rFonts w:hint="eastAsia" w:ascii="宋体" w:hAnsi="宋体"/>
                <w:b/>
                <w:bCs/>
                <w:sz w:val="24"/>
              </w:rPr>
            </w:pPr>
            <w:r>
              <w:rPr>
                <w:rFonts w:hint="eastAsia" w:ascii="宋体" w:hAnsi="宋体"/>
                <w:b/>
                <w:bCs/>
                <w:sz w:val="24"/>
              </w:rPr>
              <w:t>序号</w:t>
            </w:r>
          </w:p>
        </w:tc>
        <w:tc>
          <w:tcPr>
            <w:tcW w:w="3565" w:type="dxa"/>
            <w:vAlign w:val="center"/>
          </w:tcPr>
          <w:p w14:paraId="7A69CD8B">
            <w:pPr>
              <w:spacing w:line="360" w:lineRule="auto"/>
              <w:jc w:val="center"/>
              <w:rPr>
                <w:rFonts w:hint="eastAsia" w:ascii="宋体" w:hAnsi="宋体"/>
                <w:b/>
                <w:bCs/>
                <w:sz w:val="24"/>
              </w:rPr>
            </w:pPr>
            <w:r>
              <w:rPr>
                <w:rFonts w:hint="eastAsia" w:ascii="宋体" w:hAnsi="宋体"/>
                <w:b/>
                <w:bCs/>
                <w:sz w:val="24"/>
              </w:rPr>
              <w:t>标的名称</w:t>
            </w:r>
          </w:p>
        </w:tc>
        <w:tc>
          <w:tcPr>
            <w:tcW w:w="709" w:type="dxa"/>
            <w:vAlign w:val="center"/>
          </w:tcPr>
          <w:p w14:paraId="47FF5843">
            <w:pPr>
              <w:spacing w:line="360" w:lineRule="auto"/>
              <w:jc w:val="center"/>
              <w:rPr>
                <w:rFonts w:hint="eastAsia" w:ascii="宋体" w:hAnsi="宋体"/>
                <w:b/>
                <w:bCs/>
                <w:sz w:val="24"/>
              </w:rPr>
            </w:pPr>
            <w:r>
              <w:rPr>
                <w:rFonts w:hint="eastAsia" w:ascii="宋体" w:hAnsi="宋体"/>
                <w:b/>
                <w:bCs/>
                <w:sz w:val="24"/>
              </w:rPr>
              <w:t>数量</w:t>
            </w:r>
          </w:p>
        </w:tc>
        <w:tc>
          <w:tcPr>
            <w:tcW w:w="971" w:type="dxa"/>
            <w:vAlign w:val="center"/>
          </w:tcPr>
          <w:p w14:paraId="29E9EB77">
            <w:pPr>
              <w:spacing w:line="360" w:lineRule="auto"/>
              <w:jc w:val="center"/>
              <w:rPr>
                <w:rFonts w:hint="eastAsia" w:ascii="宋体" w:hAnsi="宋体"/>
                <w:b/>
                <w:bCs/>
                <w:sz w:val="24"/>
              </w:rPr>
            </w:pPr>
            <w:r>
              <w:rPr>
                <w:rFonts w:hint="eastAsia" w:ascii="宋体" w:hAnsi="宋体"/>
                <w:b/>
                <w:bCs/>
                <w:sz w:val="24"/>
              </w:rPr>
              <w:t>单位</w:t>
            </w:r>
          </w:p>
        </w:tc>
        <w:tc>
          <w:tcPr>
            <w:tcW w:w="2393" w:type="dxa"/>
            <w:vAlign w:val="center"/>
          </w:tcPr>
          <w:p w14:paraId="0DFB0801">
            <w:pPr>
              <w:spacing w:line="360" w:lineRule="auto"/>
              <w:jc w:val="center"/>
              <w:rPr>
                <w:rFonts w:hint="eastAsia" w:ascii="宋体" w:hAnsi="宋体"/>
                <w:b/>
                <w:bCs/>
                <w:sz w:val="24"/>
              </w:rPr>
            </w:pPr>
            <w:r>
              <w:rPr>
                <w:rFonts w:hint="eastAsia" w:ascii="宋体" w:hAnsi="宋体"/>
                <w:b/>
                <w:bCs/>
                <w:sz w:val="24"/>
              </w:rPr>
              <w:t>采购标的所属行业</w:t>
            </w:r>
          </w:p>
        </w:tc>
        <w:tc>
          <w:tcPr>
            <w:tcW w:w="837" w:type="dxa"/>
          </w:tcPr>
          <w:p w14:paraId="726EC4AF">
            <w:pPr>
              <w:spacing w:line="360" w:lineRule="auto"/>
              <w:jc w:val="center"/>
              <w:rPr>
                <w:rFonts w:hint="eastAsia" w:ascii="宋体" w:hAnsi="宋体"/>
                <w:b/>
                <w:bCs/>
                <w:sz w:val="24"/>
              </w:rPr>
            </w:pPr>
            <w:r>
              <w:rPr>
                <w:rFonts w:hint="eastAsia" w:ascii="宋体" w:hAnsi="宋体"/>
                <w:b/>
                <w:bCs/>
                <w:sz w:val="24"/>
              </w:rPr>
              <w:t>属性</w:t>
            </w:r>
          </w:p>
        </w:tc>
      </w:tr>
      <w:tr w14:paraId="67158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24C33188">
            <w:pPr>
              <w:spacing w:line="360" w:lineRule="auto"/>
              <w:jc w:val="center"/>
              <w:rPr>
                <w:rFonts w:ascii="Times New Roman" w:hAnsi="Times New Roman"/>
                <w:sz w:val="24"/>
              </w:rPr>
            </w:pPr>
            <w:r>
              <w:rPr>
                <w:rFonts w:hint="eastAsia" w:ascii="Times New Roman" w:hAnsi="Times New Roman"/>
                <w:sz w:val="24"/>
              </w:rPr>
              <w:t>1</w:t>
            </w:r>
          </w:p>
        </w:tc>
        <w:tc>
          <w:tcPr>
            <w:tcW w:w="3565" w:type="dxa"/>
            <w:vAlign w:val="center"/>
          </w:tcPr>
          <w:p w14:paraId="6F4FE480">
            <w:pPr>
              <w:spacing w:line="360" w:lineRule="auto"/>
              <w:jc w:val="center"/>
              <w:rPr>
                <w:rFonts w:ascii="Times New Roman" w:hAnsi="Times New Roman"/>
                <w:sz w:val="24"/>
              </w:rPr>
            </w:pPr>
            <w:r>
              <w:rPr>
                <w:rFonts w:ascii="Times New Roman" w:hAnsi="Times New Roman"/>
                <w:sz w:val="24"/>
              </w:rPr>
              <w:t>中联HIS系统</w:t>
            </w:r>
            <w:r>
              <w:rPr>
                <w:rFonts w:hint="eastAsia" w:ascii="Times New Roman" w:hAnsi="Times New Roman"/>
                <w:sz w:val="24"/>
              </w:rPr>
              <w:t>维保服务</w:t>
            </w:r>
          </w:p>
        </w:tc>
        <w:tc>
          <w:tcPr>
            <w:tcW w:w="709" w:type="dxa"/>
            <w:vAlign w:val="center"/>
          </w:tcPr>
          <w:p w14:paraId="66FE083F">
            <w:pPr>
              <w:spacing w:line="360" w:lineRule="auto"/>
              <w:jc w:val="center"/>
              <w:rPr>
                <w:rFonts w:ascii="Times New Roman" w:hAnsi="Times New Roman"/>
                <w:sz w:val="24"/>
              </w:rPr>
            </w:pPr>
            <w:r>
              <w:rPr>
                <w:rFonts w:hint="eastAsia" w:ascii="Times New Roman" w:hAnsi="Times New Roman"/>
                <w:sz w:val="24"/>
              </w:rPr>
              <w:t>1</w:t>
            </w:r>
          </w:p>
        </w:tc>
        <w:tc>
          <w:tcPr>
            <w:tcW w:w="971" w:type="dxa"/>
            <w:vAlign w:val="center"/>
          </w:tcPr>
          <w:p w14:paraId="3A8F3B91">
            <w:pPr>
              <w:spacing w:line="360" w:lineRule="auto"/>
              <w:jc w:val="center"/>
              <w:rPr>
                <w:rFonts w:ascii="Times New Roman" w:hAnsi="Times New Roman"/>
                <w:sz w:val="24"/>
              </w:rPr>
            </w:pPr>
            <w:r>
              <w:rPr>
                <w:rFonts w:hint="eastAsia" w:ascii="Times New Roman" w:hAnsi="Times New Roman"/>
                <w:sz w:val="24"/>
              </w:rPr>
              <w:t>项</w:t>
            </w:r>
          </w:p>
        </w:tc>
        <w:tc>
          <w:tcPr>
            <w:tcW w:w="2393" w:type="dxa"/>
            <w:vAlign w:val="center"/>
          </w:tcPr>
          <w:p w14:paraId="23ED0BFC">
            <w:pPr>
              <w:spacing w:line="360" w:lineRule="auto"/>
              <w:jc w:val="center"/>
              <w:rPr>
                <w:rFonts w:ascii="Times New Roman" w:hAnsi="Times New Roman"/>
                <w:sz w:val="24"/>
              </w:rPr>
            </w:pPr>
            <w:r>
              <w:rPr>
                <w:rFonts w:ascii="Times New Roman" w:hAnsi="Times New Roman"/>
                <w:sz w:val="24"/>
              </w:rPr>
              <w:t>软件和信息技术服务</w:t>
            </w:r>
          </w:p>
        </w:tc>
        <w:tc>
          <w:tcPr>
            <w:tcW w:w="837" w:type="dxa"/>
          </w:tcPr>
          <w:p w14:paraId="57F18203">
            <w:pPr>
              <w:spacing w:line="360" w:lineRule="auto"/>
              <w:jc w:val="center"/>
              <w:rPr>
                <w:rFonts w:ascii="Times New Roman" w:hAnsi="Times New Roman"/>
                <w:sz w:val="24"/>
              </w:rPr>
            </w:pPr>
            <w:r>
              <w:rPr>
                <w:rFonts w:ascii="Times New Roman" w:hAnsi="Times New Roman"/>
                <w:sz w:val="24"/>
              </w:rPr>
              <w:t>服务</w:t>
            </w:r>
          </w:p>
        </w:tc>
      </w:tr>
      <w:tr w14:paraId="74A0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3F08D417">
            <w:pPr>
              <w:spacing w:line="360" w:lineRule="auto"/>
              <w:jc w:val="center"/>
              <w:rPr>
                <w:rFonts w:ascii="Times New Roman" w:hAnsi="Times New Roman"/>
                <w:sz w:val="24"/>
              </w:rPr>
            </w:pPr>
            <w:r>
              <w:rPr>
                <w:rFonts w:hint="eastAsia" w:ascii="Times New Roman" w:hAnsi="Times New Roman"/>
                <w:sz w:val="24"/>
              </w:rPr>
              <w:t>2</w:t>
            </w:r>
          </w:p>
        </w:tc>
        <w:tc>
          <w:tcPr>
            <w:tcW w:w="3565" w:type="dxa"/>
            <w:vAlign w:val="center"/>
          </w:tcPr>
          <w:p w14:paraId="50BD5A29">
            <w:pPr>
              <w:spacing w:line="360" w:lineRule="auto"/>
              <w:jc w:val="center"/>
              <w:rPr>
                <w:rFonts w:ascii="Times New Roman" w:hAnsi="Times New Roman"/>
                <w:sz w:val="24"/>
              </w:rPr>
            </w:pPr>
            <w:r>
              <w:rPr>
                <w:rFonts w:ascii="Times New Roman" w:hAnsi="Times New Roman"/>
                <w:sz w:val="24"/>
              </w:rPr>
              <w:t>中联LIS系统</w:t>
            </w:r>
            <w:r>
              <w:rPr>
                <w:rFonts w:hint="eastAsia" w:ascii="Times New Roman" w:hAnsi="Times New Roman"/>
                <w:sz w:val="24"/>
              </w:rPr>
              <w:t>维保服务</w:t>
            </w:r>
          </w:p>
        </w:tc>
        <w:tc>
          <w:tcPr>
            <w:tcW w:w="709" w:type="dxa"/>
            <w:vAlign w:val="center"/>
          </w:tcPr>
          <w:p w14:paraId="0B38AEA4">
            <w:pPr>
              <w:spacing w:line="360" w:lineRule="auto"/>
              <w:jc w:val="center"/>
              <w:rPr>
                <w:rFonts w:ascii="Times New Roman" w:hAnsi="Times New Roman"/>
                <w:sz w:val="24"/>
              </w:rPr>
            </w:pPr>
            <w:r>
              <w:rPr>
                <w:rFonts w:hint="eastAsia" w:ascii="Times New Roman" w:hAnsi="Times New Roman"/>
                <w:sz w:val="24"/>
              </w:rPr>
              <w:t>1</w:t>
            </w:r>
          </w:p>
        </w:tc>
        <w:tc>
          <w:tcPr>
            <w:tcW w:w="971" w:type="dxa"/>
            <w:vAlign w:val="center"/>
          </w:tcPr>
          <w:p w14:paraId="18907198">
            <w:pPr>
              <w:spacing w:line="360" w:lineRule="auto"/>
              <w:jc w:val="center"/>
              <w:rPr>
                <w:rFonts w:ascii="Times New Roman" w:hAnsi="Times New Roman"/>
                <w:sz w:val="24"/>
              </w:rPr>
            </w:pPr>
            <w:r>
              <w:rPr>
                <w:rFonts w:hint="eastAsia" w:ascii="Times New Roman" w:hAnsi="Times New Roman"/>
                <w:sz w:val="24"/>
              </w:rPr>
              <w:t>项</w:t>
            </w:r>
          </w:p>
        </w:tc>
        <w:tc>
          <w:tcPr>
            <w:tcW w:w="2393" w:type="dxa"/>
            <w:vAlign w:val="center"/>
          </w:tcPr>
          <w:p w14:paraId="7862878B">
            <w:pPr>
              <w:spacing w:line="360" w:lineRule="auto"/>
              <w:jc w:val="center"/>
              <w:rPr>
                <w:rFonts w:ascii="Times New Roman" w:hAnsi="Times New Roman"/>
                <w:sz w:val="24"/>
              </w:rPr>
            </w:pPr>
            <w:r>
              <w:rPr>
                <w:rFonts w:ascii="Times New Roman" w:hAnsi="Times New Roman"/>
                <w:sz w:val="24"/>
              </w:rPr>
              <w:t>软件和信息技术服务</w:t>
            </w:r>
          </w:p>
        </w:tc>
        <w:tc>
          <w:tcPr>
            <w:tcW w:w="837" w:type="dxa"/>
          </w:tcPr>
          <w:p w14:paraId="76F6C997">
            <w:pPr>
              <w:spacing w:line="360" w:lineRule="auto"/>
              <w:jc w:val="center"/>
              <w:rPr>
                <w:rFonts w:ascii="Times New Roman" w:hAnsi="Times New Roman"/>
                <w:sz w:val="24"/>
              </w:rPr>
            </w:pPr>
            <w:r>
              <w:rPr>
                <w:rFonts w:ascii="Times New Roman" w:hAnsi="Times New Roman"/>
                <w:sz w:val="24"/>
              </w:rPr>
              <w:t>服务</w:t>
            </w:r>
          </w:p>
        </w:tc>
      </w:tr>
      <w:tr w14:paraId="008B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56148448">
            <w:pPr>
              <w:spacing w:line="360" w:lineRule="auto"/>
              <w:jc w:val="center"/>
              <w:rPr>
                <w:rFonts w:ascii="Times New Roman" w:hAnsi="Times New Roman"/>
                <w:sz w:val="24"/>
              </w:rPr>
            </w:pPr>
            <w:r>
              <w:rPr>
                <w:rFonts w:hint="eastAsia" w:ascii="Times New Roman" w:hAnsi="Times New Roman"/>
                <w:sz w:val="24"/>
              </w:rPr>
              <w:t>3</w:t>
            </w:r>
          </w:p>
        </w:tc>
        <w:tc>
          <w:tcPr>
            <w:tcW w:w="3565" w:type="dxa"/>
            <w:vAlign w:val="center"/>
          </w:tcPr>
          <w:p w14:paraId="6C23B4B1">
            <w:pPr>
              <w:spacing w:line="360" w:lineRule="auto"/>
              <w:jc w:val="center"/>
              <w:rPr>
                <w:rFonts w:ascii="Times New Roman" w:hAnsi="Times New Roman"/>
                <w:sz w:val="24"/>
              </w:rPr>
            </w:pPr>
            <w:r>
              <w:rPr>
                <w:rFonts w:ascii="Times New Roman" w:hAnsi="Times New Roman"/>
                <w:sz w:val="24"/>
              </w:rPr>
              <w:t>中联血库管理系统</w:t>
            </w:r>
            <w:r>
              <w:rPr>
                <w:rFonts w:hint="eastAsia" w:ascii="Times New Roman" w:hAnsi="Times New Roman"/>
                <w:sz w:val="24"/>
              </w:rPr>
              <w:t>维保服务</w:t>
            </w:r>
          </w:p>
        </w:tc>
        <w:tc>
          <w:tcPr>
            <w:tcW w:w="709" w:type="dxa"/>
            <w:vAlign w:val="center"/>
          </w:tcPr>
          <w:p w14:paraId="30D7D1C7">
            <w:pPr>
              <w:spacing w:line="360" w:lineRule="auto"/>
              <w:jc w:val="center"/>
              <w:rPr>
                <w:rFonts w:ascii="Times New Roman" w:hAnsi="Times New Roman"/>
                <w:sz w:val="24"/>
              </w:rPr>
            </w:pPr>
            <w:r>
              <w:rPr>
                <w:rFonts w:hint="eastAsia" w:ascii="Times New Roman" w:hAnsi="Times New Roman"/>
                <w:sz w:val="24"/>
              </w:rPr>
              <w:t>1</w:t>
            </w:r>
          </w:p>
        </w:tc>
        <w:tc>
          <w:tcPr>
            <w:tcW w:w="971" w:type="dxa"/>
            <w:vAlign w:val="center"/>
          </w:tcPr>
          <w:p w14:paraId="62979349">
            <w:pPr>
              <w:spacing w:line="360" w:lineRule="auto"/>
              <w:jc w:val="center"/>
              <w:rPr>
                <w:rFonts w:ascii="Times New Roman" w:hAnsi="Times New Roman"/>
                <w:sz w:val="24"/>
              </w:rPr>
            </w:pPr>
            <w:r>
              <w:rPr>
                <w:rFonts w:hint="eastAsia" w:ascii="Times New Roman" w:hAnsi="Times New Roman"/>
                <w:sz w:val="24"/>
              </w:rPr>
              <w:t>项</w:t>
            </w:r>
          </w:p>
        </w:tc>
        <w:tc>
          <w:tcPr>
            <w:tcW w:w="2393" w:type="dxa"/>
            <w:vAlign w:val="center"/>
          </w:tcPr>
          <w:p w14:paraId="6BFA491C">
            <w:pPr>
              <w:spacing w:line="360" w:lineRule="auto"/>
              <w:jc w:val="center"/>
              <w:rPr>
                <w:rFonts w:ascii="Times New Roman" w:hAnsi="Times New Roman"/>
                <w:sz w:val="24"/>
              </w:rPr>
            </w:pPr>
            <w:r>
              <w:rPr>
                <w:rFonts w:ascii="Times New Roman" w:hAnsi="Times New Roman"/>
                <w:sz w:val="24"/>
              </w:rPr>
              <w:t>软件和信息技术服务</w:t>
            </w:r>
          </w:p>
        </w:tc>
        <w:tc>
          <w:tcPr>
            <w:tcW w:w="837" w:type="dxa"/>
          </w:tcPr>
          <w:p w14:paraId="7BD39F18">
            <w:pPr>
              <w:spacing w:line="360" w:lineRule="auto"/>
              <w:jc w:val="center"/>
              <w:rPr>
                <w:rFonts w:ascii="Times New Roman" w:hAnsi="Times New Roman"/>
                <w:sz w:val="24"/>
              </w:rPr>
            </w:pPr>
            <w:r>
              <w:rPr>
                <w:rFonts w:ascii="Times New Roman" w:hAnsi="Times New Roman"/>
                <w:sz w:val="24"/>
              </w:rPr>
              <w:t>服务</w:t>
            </w:r>
          </w:p>
        </w:tc>
      </w:tr>
      <w:tr w14:paraId="68B6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3141E6D5">
            <w:pPr>
              <w:spacing w:line="360" w:lineRule="auto"/>
              <w:jc w:val="center"/>
              <w:rPr>
                <w:rFonts w:ascii="Times New Roman" w:hAnsi="Times New Roman"/>
                <w:sz w:val="24"/>
              </w:rPr>
            </w:pPr>
            <w:r>
              <w:rPr>
                <w:rFonts w:hint="eastAsia" w:ascii="Times New Roman" w:hAnsi="Times New Roman"/>
                <w:sz w:val="24"/>
              </w:rPr>
              <w:t>4</w:t>
            </w:r>
          </w:p>
        </w:tc>
        <w:tc>
          <w:tcPr>
            <w:tcW w:w="3565" w:type="dxa"/>
            <w:vAlign w:val="center"/>
          </w:tcPr>
          <w:p w14:paraId="48414548">
            <w:pPr>
              <w:spacing w:line="360" w:lineRule="auto"/>
              <w:jc w:val="center"/>
              <w:rPr>
                <w:rFonts w:ascii="Times New Roman" w:hAnsi="Times New Roman"/>
                <w:sz w:val="24"/>
              </w:rPr>
            </w:pPr>
            <w:r>
              <w:rPr>
                <w:rFonts w:ascii="Times New Roman" w:hAnsi="Times New Roman"/>
                <w:sz w:val="24"/>
              </w:rPr>
              <w:t>中联PACS系统</w:t>
            </w:r>
            <w:r>
              <w:rPr>
                <w:rFonts w:hint="eastAsia" w:ascii="Times New Roman" w:hAnsi="Times New Roman"/>
                <w:sz w:val="24"/>
              </w:rPr>
              <w:t>维保服务</w:t>
            </w:r>
          </w:p>
        </w:tc>
        <w:tc>
          <w:tcPr>
            <w:tcW w:w="709" w:type="dxa"/>
            <w:vAlign w:val="center"/>
          </w:tcPr>
          <w:p w14:paraId="0B0BB513">
            <w:pPr>
              <w:spacing w:line="360" w:lineRule="auto"/>
              <w:jc w:val="center"/>
              <w:rPr>
                <w:rFonts w:ascii="Times New Roman" w:hAnsi="Times New Roman"/>
                <w:sz w:val="24"/>
              </w:rPr>
            </w:pPr>
            <w:r>
              <w:rPr>
                <w:rFonts w:hint="eastAsia" w:ascii="Times New Roman" w:hAnsi="Times New Roman"/>
                <w:sz w:val="24"/>
              </w:rPr>
              <w:t>1</w:t>
            </w:r>
          </w:p>
        </w:tc>
        <w:tc>
          <w:tcPr>
            <w:tcW w:w="971" w:type="dxa"/>
            <w:vAlign w:val="center"/>
          </w:tcPr>
          <w:p w14:paraId="5B2E4C2E">
            <w:pPr>
              <w:spacing w:line="360" w:lineRule="auto"/>
              <w:jc w:val="center"/>
              <w:rPr>
                <w:rFonts w:ascii="Times New Roman" w:hAnsi="Times New Roman"/>
                <w:sz w:val="24"/>
              </w:rPr>
            </w:pPr>
            <w:r>
              <w:rPr>
                <w:rFonts w:hint="eastAsia" w:ascii="Times New Roman" w:hAnsi="Times New Roman"/>
                <w:sz w:val="24"/>
              </w:rPr>
              <w:t>项</w:t>
            </w:r>
          </w:p>
        </w:tc>
        <w:tc>
          <w:tcPr>
            <w:tcW w:w="2393" w:type="dxa"/>
            <w:vAlign w:val="center"/>
          </w:tcPr>
          <w:p w14:paraId="1A2D55FB">
            <w:pPr>
              <w:spacing w:line="360" w:lineRule="auto"/>
              <w:jc w:val="center"/>
              <w:rPr>
                <w:rFonts w:ascii="Times New Roman" w:hAnsi="Times New Roman"/>
                <w:sz w:val="24"/>
              </w:rPr>
            </w:pPr>
            <w:r>
              <w:rPr>
                <w:rFonts w:ascii="Times New Roman" w:hAnsi="Times New Roman"/>
                <w:sz w:val="24"/>
              </w:rPr>
              <w:t>软件和信息技术服务</w:t>
            </w:r>
          </w:p>
        </w:tc>
        <w:tc>
          <w:tcPr>
            <w:tcW w:w="837" w:type="dxa"/>
          </w:tcPr>
          <w:p w14:paraId="58484CC8">
            <w:pPr>
              <w:spacing w:line="360" w:lineRule="auto"/>
              <w:jc w:val="center"/>
              <w:rPr>
                <w:rFonts w:ascii="Times New Roman" w:hAnsi="Times New Roman"/>
                <w:sz w:val="24"/>
              </w:rPr>
            </w:pPr>
            <w:r>
              <w:rPr>
                <w:rFonts w:ascii="Times New Roman" w:hAnsi="Times New Roman"/>
                <w:sz w:val="24"/>
              </w:rPr>
              <w:t>服务</w:t>
            </w:r>
          </w:p>
        </w:tc>
      </w:tr>
      <w:tr w14:paraId="0560D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1920328B">
            <w:pPr>
              <w:spacing w:line="360" w:lineRule="auto"/>
              <w:jc w:val="center"/>
              <w:rPr>
                <w:rFonts w:ascii="Times New Roman" w:hAnsi="Times New Roman"/>
                <w:sz w:val="24"/>
              </w:rPr>
            </w:pPr>
            <w:r>
              <w:rPr>
                <w:rFonts w:hint="eastAsia" w:ascii="Times New Roman" w:hAnsi="Times New Roman"/>
                <w:sz w:val="24"/>
              </w:rPr>
              <w:t>5</w:t>
            </w:r>
          </w:p>
        </w:tc>
        <w:tc>
          <w:tcPr>
            <w:tcW w:w="3565" w:type="dxa"/>
            <w:vAlign w:val="center"/>
          </w:tcPr>
          <w:p w14:paraId="033FC41C">
            <w:pPr>
              <w:spacing w:line="360" w:lineRule="auto"/>
              <w:jc w:val="center"/>
              <w:rPr>
                <w:rFonts w:ascii="Times New Roman" w:hAnsi="Times New Roman"/>
                <w:sz w:val="24"/>
              </w:rPr>
            </w:pPr>
            <w:r>
              <w:rPr>
                <w:rFonts w:ascii="Times New Roman" w:hAnsi="Times New Roman"/>
                <w:sz w:val="24"/>
              </w:rPr>
              <w:t>中联电子病历系统</w:t>
            </w:r>
            <w:r>
              <w:rPr>
                <w:rFonts w:hint="eastAsia" w:ascii="Times New Roman" w:hAnsi="Times New Roman"/>
                <w:sz w:val="24"/>
              </w:rPr>
              <w:t>维保服务</w:t>
            </w:r>
          </w:p>
        </w:tc>
        <w:tc>
          <w:tcPr>
            <w:tcW w:w="709" w:type="dxa"/>
            <w:vAlign w:val="center"/>
          </w:tcPr>
          <w:p w14:paraId="40530FD5">
            <w:pPr>
              <w:spacing w:line="360" w:lineRule="auto"/>
              <w:jc w:val="center"/>
              <w:rPr>
                <w:rFonts w:ascii="Times New Roman" w:hAnsi="Times New Roman"/>
                <w:sz w:val="24"/>
              </w:rPr>
            </w:pPr>
            <w:r>
              <w:rPr>
                <w:rFonts w:hint="eastAsia" w:ascii="Times New Roman" w:hAnsi="Times New Roman"/>
                <w:sz w:val="24"/>
              </w:rPr>
              <w:t>1</w:t>
            </w:r>
          </w:p>
        </w:tc>
        <w:tc>
          <w:tcPr>
            <w:tcW w:w="971" w:type="dxa"/>
            <w:vAlign w:val="center"/>
          </w:tcPr>
          <w:p w14:paraId="4D9337EC">
            <w:pPr>
              <w:spacing w:line="360" w:lineRule="auto"/>
              <w:jc w:val="center"/>
              <w:rPr>
                <w:rFonts w:ascii="Times New Roman" w:hAnsi="Times New Roman"/>
                <w:sz w:val="24"/>
              </w:rPr>
            </w:pPr>
            <w:r>
              <w:rPr>
                <w:rFonts w:hint="eastAsia" w:ascii="Times New Roman" w:hAnsi="Times New Roman"/>
                <w:sz w:val="24"/>
              </w:rPr>
              <w:t>项</w:t>
            </w:r>
          </w:p>
        </w:tc>
        <w:tc>
          <w:tcPr>
            <w:tcW w:w="2393" w:type="dxa"/>
            <w:vAlign w:val="center"/>
          </w:tcPr>
          <w:p w14:paraId="23D5258A">
            <w:pPr>
              <w:spacing w:line="360" w:lineRule="auto"/>
              <w:jc w:val="center"/>
              <w:rPr>
                <w:rFonts w:ascii="Times New Roman" w:hAnsi="Times New Roman"/>
                <w:sz w:val="24"/>
              </w:rPr>
            </w:pPr>
            <w:r>
              <w:rPr>
                <w:rFonts w:ascii="Times New Roman" w:hAnsi="Times New Roman"/>
                <w:sz w:val="24"/>
              </w:rPr>
              <w:t>软件和信息技术服务</w:t>
            </w:r>
          </w:p>
        </w:tc>
        <w:tc>
          <w:tcPr>
            <w:tcW w:w="837" w:type="dxa"/>
          </w:tcPr>
          <w:p w14:paraId="430DD994">
            <w:pPr>
              <w:spacing w:line="360" w:lineRule="auto"/>
              <w:jc w:val="center"/>
              <w:rPr>
                <w:rFonts w:ascii="Times New Roman" w:hAnsi="Times New Roman"/>
                <w:sz w:val="24"/>
              </w:rPr>
            </w:pPr>
            <w:r>
              <w:rPr>
                <w:rFonts w:ascii="Times New Roman" w:hAnsi="Times New Roman"/>
                <w:sz w:val="24"/>
              </w:rPr>
              <w:t>服务</w:t>
            </w:r>
          </w:p>
        </w:tc>
      </w:tr>
      <w:tr w14:paraId="0B59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2DDE55F8">
            <w:pPr>
              <w:spacing w:line="360" w:lineRule="auto"/>
              <w:jc w:val="center"/>
              <w:rPr>
                <w:rFonts w:ascii="Times New Roman" w:hAnsi="Times New Roman"/>
                <w:sz w:val="24"/>
              </w:rPr>
            </w:pPr>
            <w:r>
              <w:rPr>
                <w:rFonts w:hint="eastAsia" w:ascii="Times New Roman" w:hAnsi="Times New Roman"/>
                <w:sz w:val="24"/>
              </w:rPr>
              <w:t>6</w:t>
            </w:r>
          </w:p>
        </w:tc>
        <w:tc>
          <w:tcPr>
            <w:tcW w:w="3565" w:type="dxa"/>
            <w:vAlign w:val="center"/>
          </w:tcPr>
          <w:p w14:paraId="4594D68C">
            <w:pPr>
              <w:spacing w:line="360" w:lineRule="auto"/>
              <w:jc w:val="center"/>
              <w:rPr>
                <w:rFonts w:ascii="Times New Roman" w:hAnsi="Times New Roman"/>
                <w:sz w:val="24"/>
              </w:rPr>
            </w:pPr>
            <w:r>
              <w:rPr>
                <w:rFonts w:ascii="Times New Roman" w:hAnsi="Times New Roman"/>
                <w:sz w:val="24"/>
              </w:rPr>
              <w:t>中联临床路径系统</w:t>
            </w:r>
            <w:r>
              <w:rPr>
                <w:rFonts w:hint="eastAsia" w:ascii="Times New Roman" w:hAnsi="Times New Roman"/>
                <w:sz w:val="24"/>
              </w:rPr>
              <w:t>维保服务</w:t>
            </w:r>
          </w:p>
        </w:tc>
        <w:tc>
          <w:tcPr>
            <w:tcW w:w="709" w:type="dxa"/>
            <w:vAlign w:val="center"/>
          </w:tcPr>
          <w:p w14:paraId="79F78F53">
            <w:pPr>
              <w:spacing w:line="360" w:lineRule="auto"/>
              <w:jc w:val="center"/>
              <w:rPr>
                <w:rFonts w:ascii="Times New Roman" w:hAnsi="Times New Roman"/>
                <w:sz w:val="24"/>
              </w:rPr>
            </w:pPr>
            <w:r>
              <w:rPr>
                <w:rFonts w:hint="eastAsia" w:ascii="Times New Roman" w:hAnsi="Times New Roman"/>
                <w:sz w:val="24"/>
              </w:rPr>
              <w:t>1</w:t>
            </w:r>
          </w:p>
        </w:tc>
        <w:tc>
          <w:tcPr>
            <w:tcW w:w="971" w:type="dxa"/>
            <w:vAlign w:val="center"/>
          </w:tcPr>
          <w:p w14:paraId="29425485">
            <w:pPr>
              <w:spacing w:line="360" w:lineRule="auto"/>
              <w:jc w:val="center"/>
              <w:rPr>
                <w:rFonts w:ascii="Times New Roman" w:hAnsi="Times New Roman"/>
                <w:sz w:val="24"/>
              </w:rPr>
            </w:pPr>
            <w:r>
              <w:rPr>
                <w:rFonts w:hint="eastAsia" w:ascii="Times New Roman" w:hAnsi="Times New Roman"/>
                <w:sz w:val="24"/>
              </w:rPr>
              <w:t>项</w:t>
            </w:r>
          </w:p>
        </w:tc>
        <w:tc>
          <w:tcPr>
            <w:tcW w:w="2393" w:type="dxa"/>
            <w:vAlign w:val="center"/>
          </w:tcPr>
          <w:p w14:paraId="70B14569">
            <w:pPr>
              <w:spacing w:line="360" w:lineRule="auto"/>
              <w:jc w:val="center"/>
              <w:rPr>
                <w:rFonts w:ascii="Times New Roman" w:hAnsi="Times New Roman"/>
                <w:sz w:val="24"/>
              </w:rPr>
            </w:pPr>
            <w:r>
              <w:rPr>
                <w:rFonts w:ascii="Times New Roman" w:hAnsi="Times New Roman"/>
                <w:sz w:val="24"/>
              </w:rPr>
              <w:t>软件和信息技术服务</w:t>
            </w:r>
          </w:p>
        </w:tc>
        <w:tc>
          <w:tcPr>
            <w:tcW w:w="837" w:type="dxa"/>
          </w:tcPr>
          <w:p w14:paraId="5BC0B7D7">
            <w:pPr>
              <w:spacing w:line="360" w:lineRule="auto"/>
              <w:jc w:val="center"/>
              <w:rPr>
                <w:rFonts w:ascii="Times New Roman" w:hAnsi="Times New Roman"/>
                <w:sz w:val="24"/>
              </w:rPr>
            </w:pPr>
            <w:r>
              <w:rPr>
                <w:rFonts w:ascii="Times New Roman" w:hAnsi="Times New Roman"/>
                <w:sz w:val="24"/>
              </w:rPr>
              <w:t>服务</w:t>
            </w:r>
          </w:p>
        </w:tc>
      </w:tr>
      <w:tr w14:paraId="16750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685834B0">
            <w:pPr>
              <w:spacing w:line="360" w:lineRule="auto"/>
              <w:jc w:val="center"/>
              <w:rPr>
                <w:rFonts w:ascii="Times New Roman" w:hAnsi="Times New Roman"/>
                <w:sz w:val="24"/>
              </w:rPr>
            </w:pPr>
            <w:r>
              <w:rPr>
                <w:rFonts w:hint="eastAsia" w:ascii="Times New Roman" w:hAnsi="Times New Roman"/>
                <w:sz w:val="24"/>
              </w:rPr>
              <w:t>7</w:t>
            </w:r>
          </w:p>
        </w:tc>
        <w:tc>
          <w:tcPr>
            <w:tcW w:w="3565" w:type="dxa"/>
            <w:vAlign w:val="center"/>
          </w:tcPr>
          <w:p w14:paraId="1AEA3695">
            <w:pPr>
              <w:spacing w:line="360" w:lineRule="auto"/>
              <w:jc w:val="center"/>
              <w:rPr>
                <w:rFonts w:ascii="Times New Roman" w:hAnsi="Times New Roman"/>
                <w:sz w:val="24"/>
              </w:rPr>
            </w:pPr>
            <w:r>
              <w:rPr>
                <w:rFonts w:ascii="Times New Roman" w:hAnsi="Times New Roman"/>
                <w:sz w:val="24"/>
              </w:rPr>
              <w:t>中联传染病管理系统</w:t>
            </w:r>
            <w:r>
              <w:rPr>
                <w:rFonts w:hint="eastAsia" w:ascii="Times New Roman" w:hAnsi="Times New Roman"/>
                <w:sz w:val="24"/>
              </w:rPr>
              <w:t>维保服务</w:t>
            </w:r>
          </w:p>
        </w:tc>
        <w:tc>
          <w:tcPr>
            <w:tcW w:w="709" w:type="dxa"/>
            <w:vAlign w:val="center"/>
          </w:tcPr>
          <w:p w14:paraId="263CA229">
            <w:pPr>
              <w:spacing w:line="360" w:lineRule="auto"/>
              <w:jc w:val="center"/>
              <w:rPr>
                <w:rFonts w:ascii="Times New Roman" w:hAnsi="Times New Roman"/>
                <w:sz w:val="24"/>
              </w:rPr>
            </w:pPr>
            <w:r>
              <w:rPr>
                <w:rFonts w:hint="eastAsia" w:ascii="Times New Roman" w:hAnsi="Times New Roman"/>
                <w:sz w:val="24"/>
              </w:rPr>
              <w:t>1</w:t>
            </w:r>
          </w:p>
        </w:tc>
        <w:tc>
          <w:tcPr>
            <w:tcW w:w="971" w:type="dxa"/>
            <w:vAlign w:val="center"/>
          </w:tcPr>
          <w:p w14:paraId="7F25C2ED">
            <w:pPr>
              <w:spacing w:line="360" w:lineRule="auto"/>
              <w:jc w:val="center"/>
              <w:rPr>
                <w:rFonts w:ascii="Times New Roman" w:hAnsi="Times New Roman"/>
                <w:sz w:val="24"/>
              </w:rPr>
            </w:pPr>
            <w:r>
              <w:rPr>
                <w:rFonts w:hint="eastAsia" w:ascii="Times New Roman" w:hAnsi="Times New Roman"/>
                <w:sz w:val="24"/>
              </w:rPr>
              <w:t>项</w:t>
            </w:r>
          </w:p>
        </w:tc>
        <w:tc>
          <w:tcPr>
            <w:tcW w:w="2393" w:type="dxa"/>
            <w:vAlign w:val="center"/>
          </w:tcPr>
          <w:p w14:paraId="66B3FB9A">
            <w:pPr>
              <w:spacing w:line="360" w:lineRule="auto"/>
              <w:jc w:val="center"/>
              <w:rPr>
                <w:rFonts w:ascii="Times New Roman" w:hAnsi="Times New Roman"/>
                <w:sz w:val="24"/>
              </w:rPr>
            </w:pPr>
            <w:r>
              <w:rPr>
                <w:rFonts w:ascii="Times New Roman" w:hAnsi="Times New Roman"/>
                <w:sz w:val="24"/>
              </w:rPr>
              <w:t>软件和信息技术服务</w:t>
            </w:r>
          </w:p>
        </w:tc>
        <w:tc>
          <w:tcPr>
            <w:tcW w:w="837" w:type="dxa"/>
          </w:tcPr>
          <w:p w14:paraId="21C82661">
            <w:pPr>
              <w:spacing w:line="360" w:lineRule="auto"/>
              <w:jc w:val="center"/>
              <w:rPr>
                <w:rFonts w:ascii="Times New Roman" w:hAnsi="Times New Roman"/>
                <w:sz w:val="24"/>
              </w:rPr>
            </w:pPr>
            <w:r>
              <w:rPr>
                <w:rFonts w:ascii="Times New Roman" w:hAnsi="Times New Roman"/>
                <w:sz w:val="24"/>
              </w:rPr>
              <w:t>服务</w:t>
            </w:r>
          </w:p>
        </w:tc>
      </w:tr>
    </w:tbl>
    <w:p w14:paraId="1BDC62AB">
      <w:pPr>
        <w:spacing w:line="360" w:lineRule="auto"/>
        <w:rPr>
          <w:rFonts w:hint="eastAsia" w:ascii="宋体" w:hAnsi="宋体"/>
          <w:b/>
          <w:bCs/>
          <w:sz w:val="22"/>
        </w:rPr>
      </w:pPr>
    </w:p>
    <w:p w14:paraId="70C206FF">
      <w:pPr>
        <w:spacing w:line="360" w:lineRule="auto"/>
        <w:outlineLvl w:val="1"/>
        <w:rPr>
          <w:rFonts w:hint="eastAsia" w:ascii="宋体" w:hAnsi="宋体"/>
          <w:b/>
          <w:bCs/>
          <w:sz w:val="24"/>
          <w:szCs w:val="28"/>
        </w:rPr>
      </w:pPr>
      <w:bookmarkStart w:id="50" w:name="_Toc171512442"/>
      <w:bookmarkStart w:id="51" w:name="_Toc171605462"/>
      <w:bookmarkStart w:id="52" w:name="_Toc155687998"/>
      <w:r>
        <w:rPr>
          <w:rFonts w:hint="eastAsia" w:ascii="宋体" w:hAnsi="宋体"/>
          <w:b/>
          <w:bCs/>
          <w:sz w:val="24"/>
          <w:szCs w:val="28"/>
        </w:rPr>
        <w:t>三、技术部分要求</w:t>
      </w:r>
      <w:bookmarkEnd w:id="50"/>
      <w:bookmarkEnd w:id="51"/>
      <w:bookmarkEnd w:id="52"/>
    </w:p>
    <w:p w14:paraId="6A0CBBD1">
      <w:pPr>
        <w:spacing w:line="360" w:lineRule="auto"/>
        <w:ind w:firstLine="480" w:firstLineChars="200"/>
        <w:rPr>
          <w:rFonts w:ascii="Times New Roman" w:hAnsi="Times New Roman"/>
          <w:sz w:val="24"/>
        </w:rPr>
      </w:pPr>
      <w:r>
        <w:rPr>
          <w:rFonts w:ascii="Times New Roman" w:hAnsi="Times New Roman"/>
          <w:sz w:val="24"/>
          <w:szCs w:val="28"/>
        </w:rPr>
        <w:t>供应商须对南京市栖霞区医院在用的</w:t>
      </w:r>
      <w:r>
        <w:rPr>
          <w:rFonts w:ascii="Times New Roman" w:hAnsi="Times New Roman"/>
          <w:sz w:val="24"/>
        </w:rPr>
        <w:t>中联HIS系统、中联LIS系统、中联血库管理系统、中联PACS系统、中联电子病历系统、中联临床路径系统、中联传染病管理系统提供运维服务，服务内容包含以下内容：</w:t>
      </w:r>
    </w:p>
    <w:p w14:paraId="20A92F4E">
      <w:pPr>
        <w:spacing w:line="360" w:lineRule="auto"/>
        <w:rPr>
          <w:rFonts w:ascii="Times New Roman" w:hAnsi="Times New Roman"/>
          <w:b/>
          <w:bCs/>
          <w:sz w:val="24"/>
          <w:szCs w:val="28"/>
        </w:rPr>
      </w:pPr>
      <w:r>
        <w:rPr>
          <w:rFonts w:ascii="Times New Roman" w:hAnsi="Times New Roman"/>
          <w:color w:val="000000"/>
          <w:sz w:val="24"/>
        </w:rPr>
        <w:t>▲</w:t>
      </w:r>
      <w:r>
        <w:rPr>
          <w:rFonts w:ascii="Times New Roman" w:hAnsi="Times New Roman"/>
          <w:b/>
          <w:bCs/>
          <w:sz w:val="24"/>
          <w:szCs w:val="28"/>
        </w:rPr>
        <w:t>1、系统升级服务（上门</w:t>
      </w:r>
      <w:r>
        <w:rPr>
          <w:rFonts w:hint="eastAsia" w:ascii="Times New Roman" w:hAnsi="Times New Roman"/>
          <w:b/>
          <w:bCs/>
          <w:sz w:val="24"/>
          <w:szCs w:val="28"/>
        </w:rPr>
        <w:t>服务</w:t>
      </w:r>
      <w:r>
        <w:rPr>
          <w:rFonts w:ascii="Times New Roman" w:hAnsi="Times New Roman"/>
          <w:b/>
          <w:bCs/>
          <w:sz w:val="24"/>
          <w:szCs w:val="28"/>
        </w:rPr>
        <w:t>）</w:t>
      </w:r>
    </w:p>
    <w:p w14:paraId="226D4EC0">
      <w:pPr>
        <w:spacing w:line="360" w:lineRule="auto"/>
        <w:rPr>
          <w:rFonts w:ascii="Times New Roman" w:hAnsi="Times New Roman"/>
          <w:sz w:val="24"/>
          <w:szCs w:val="28"/>
        </w:rPr>
      </w:pPr>
      <w:r>
        <w:rPr>
          <w:rFonts w:hint="eastAsia" w:ascii="Times New Roman" w:hAnsi="Times New Roman"/>
          <w:sz w:val="24"/>
          <w:szCs w:val="28"/>
        </w:rPr>
        <w:t>（1）</w:t>
      </w:r>
      <w:r>
        <w:rPr>
          <w:rFonts w:ascii="Times New Roman" w:hAnsi="Times New Roman"/>
          <w:sz w:val="24"/>
          <w:szCs w:val="28"/>
        </w:rPr>
        <w:t>提供软件升级补丁服务；</w:t>
      </w:r>
    </w:p>
    <w:p w14:paraId="5672E27B">
      <w:pPr>
        <w:spacing w:line="360" w:lineRule="auto"/>
        <w:rPr>
          <w:rFonts w:ascii="Times New Roman" w:hAnsi="Times New Roman"/>
          <w:sz w:val="24"/>
          <w:szCs w:val="28"/>
        </w:rPr>
      </w:pPr>
      <w:r>
        <w:rPr>
          <w:rFonts w:hint="eastAsia" w:ascii="Times New Roman" w:hAnsi="Times New Roman"/>
          <w:sz w:val="24"/>
          <w:szCs w:val="28"/>
        </w:rPr>
        <w:t>（2）</w:t>
      </w:r>
      <w:r>
        <w:rPr>
          <w:rFonts w:ascii="Times New Roman" w:hAnsi="Times New Roman"/>
          <w:sz w:val="24"/>
          <w:szCs w:val="28"/>
        </w:rPr>
        <w:t>及时对医院进行软件升级，保持最新的软件版本。</w:t>
      </w:r>
    </w:p>
    <w:p w14:paraId="1DAAAF7E">
      <w:pPr>
        <w:spacing w:line="360" w:lineRule="auto"/>
        <w:rPr>
          <w:rFonts w:ascii="Times New Roman" w:hAnsi="Times New Roman"/>
          <w:sz w:val="24"/>
          <w:szCs w:val="28"/>
        </w:rPr>
      </w:pPr>
      <w:r>
        <w:rPr>
          <w:rFonts w:ascii="Times New Roman" w:hAnsi="Times New Roman"/>
          <w:sz w:val="24"/>
          <w:szCs w:val="28"/>
        </w:rPr>
        <w:t>备注：新的软件补丁或版本正式发布3个月以后，根据医院实际情况</w:t>
      </w:r>
      <w:r>
        <w:rPr>
          <w:rFonts w:hint="eastAsia" w:ascii="Times New Roman" w:hAnsi="Times New Roman"/>
          <w:sz w:val="24"/>
          <w:szCs w:val="28"/>
        </w:rPr>
        <w:t>与采购人</w:t>
      </w:r>
      <w:r>
        <w:rPr>
          <w:rFonts w:ascii="Times New Roman" w:hAnsi="Times New Roman"/>
          <w:sz w:val="24"/>
          <w:szCs w:val="28"/>
        </w:rPr>
        <w:t>商讨决定是否升级。</w:t>
      </w:r>
    </w:p>
    <w:p w14:paraId="4FFAD235">
      <w:pPr>
        <w:spacing w:line="360" w:lineRule="auto"/>
        <w:rPr>
          <w:rFonts w:ascii="Times New Roman" w:hAnsi="Times New Roman"/>
          <w:b/>
          <w:bCs/>
          <w:sz w:val="24"/>
          <w:szCs w:val="28"/>
        </w:rPr>
      </w:pPr>
      <w:r>
        <w:rPr>
          <w:rFonts w:ascii="Times New Roman" w:hAnsi="Times New Roman"/>
          <w:color w:val="000000"/>
          <w:sz w:val="24"/>
        </w:rPr>
        <w:t>▲</w:t>
      </w:r>
      <w:r>
        <w:rPr>
          <w:rFonts w:hint="eastAsia" w:ascii="Times New Roman" w:hAnsi="Times New Roman"/>
          <w:b/>
          <w:bCs/>
          <w:sz w:val="24"/>
          <w:szCs w:val="28"/>
        </w:rPr>
        <w:t>2、</w:t>
      </w:r>
      <w:r>
        <w:rPr>
          <w:rFonts w:ascii="Times New Roman" w:hAnsi="Times New Roman"/>
          <w:b/>
          <w:bCs/>
          <w:sz w:val="24"/>
          <w:szCs w:val="28"/>
        </w:rPr>
        <w:t>报表新增、修改服务（网络或上门</w:t>
      </w:r>
      <w:r>
        <w:rPr>
          <w:rFonts w:hint="eastAsia" w:ascii="Times New Roman" w:hAnsi="Times New Roman"/>
          <w:b/>
          <w:bCs/>
          <w:sz w:val="24"/>
          <w:szCs w:val="28"/>
        </w:rPr>
        <w:t>服务</w:t>
      </w:r>
      <w:r>
        <w:rPr>
          <w:rFonts w:ascii="Times New Roman" w:hAnsi="Times New Roman"/>
          <w:b/>
          <w:bCs/>
          <w:sz w:val="24"/>
          <w:szCs w:val="28"/>
        </w:rPr>
        <w:t>）</w:t>
      </w:r>
    </w:p>
    <w:p w14:paraId="1D05873E">
      <w:pPr>
        <w:spacing w:line="360" w:lineRule="auto"/>
        <w:rPr>
          <w:rFonts w:ascii="Times New Roman" w:hAnsi="Times New Roman"/>
          <w:sz w:val="24"/>
          <w:szCs w:val="28"/>
        </w:rPr>
      </w:pPr>
      <w:r>
        <w:rPr>
          <w:rFonts w:hint="eastAsia" w:ascii="Times New Roman" w:hAnsi="Times New Roman"/>
          <w:sz w:val="24"/>
          <w:szCs w:val="28"/>
        </w:rPr>
        <w:t>（1）根据采购人需求，在医院现有功能模块下新增报表的编制。</w:t>
      </w:r>
    </w:p>
    <w:p w14:paraId="78221223">
      <w:pPr>
        <w:spacing w:line="360" w:lineRule="auto"/>
        <w:rPr>
          <w:rFonts w:ascii="Times New Roman" w:hAnsi="Times New Roman"/>
          <w:sz w:val="24"/>
          <w:szCs w:val="28"/>
        </w:rPr>
      </w:pPr>
      <w:r>
        <w:rPr>
          <w:rFonts w:hint="eastAsia" w:ascii="Times New Roman" w:hAnsi="Times New Roman"/>
          <w:sz w:val="24"/>
          <w:szCs w:val="28"/>
        </w:rPr>
        <w:t>（2）根据采购人需求，对现有报表作简单的修改、调整服务。</w:t>
      </w:r>
    </w:p>
    <w:p w14:paraId="5921D582">
      <w:pPr>
        <w:spacing w:line="360" w:lineRule="auto"/>
        <w:rPr>
          <w:rFonts w:ascii="Times New Roman" w:hAnsi="Times New Roman"/>
          <w:sz w:val="24"/>
          <w:szCs w:val="28"/>
        </w:rPr>
      </w:pPr>
      <w:r>
        <w:rPr>
          <w:rFonts w:hint="eastAsia" w:ascii="Times New Roman" w:hAnsi="Times New Roman"/>
          <w:sz w:val="24"/>
          <w:szCs w:val="28"/>
        </w:rPr>
        <w:t>备注：接到服务通知后，2个工作日内完成。</w:t>
      </w:r>
    </w:p>
    <w:p w14:paraId="6304B6F1">
      <w:pPr>
        <w:spacing w:line="360" w:lineRule="auto"/>
        <w:rPr>
          <w:rFonts w:ascii="Times New Roman" w:hAnsi="Times New Roman"/>
          <w:b/>
          <w:bCs/>
          <w:sz w:val="24"/>
          <w:szCs w:val="28"/>
        </w:rPr>
      </w:pPr>
      <w:r>
        <w:rPr>
          <w:rFonts w:ascii="Times New Roman" w:hAnsi="Times New Roman"/>
          <w:color w:val="000000"/>
          <w:sz w:val="24"/>
        </w:rPr>
        <w:t>▲</w:t>
      </w:r>
      <w:r>
        <w:rPr>
          <w:rFonts w:hint="eastAsia" w:ascii="Times New Roman" w:hAnsi="Times New Roman"/>
          <w:b/>
          <w:bCs/>
          <w:sz w:val="24"/>
          <w:szCs w:val="28"/>
        </w:rPr>
        <w:t>3、</w:t>
      </w:r>
      <w:r>
        <w:rPr>
          <w:rFonts w:ascii="Times New Roman" w:hAnsi="Times New Roman"/>
          <w:b/>
          <w:bCs/>
          <w:sz w:val="24"/>
          <w:szCs w:val="28"/>
        </w:rPr>
        <w:t>日常故障处理（电话或网络或上门</w:t>
      </w:r>
      <w:r>
        <w:rPr>
          <w:rFonts w:hint="eastAsia" w:ascii="Times New Roman" w:hAnsi="Times New Roman"/>
          <w:b/>
          <w:bCs/>
          <w:sz w:val="24"/>
          <w:szCs w:val="28"/>
        </w:rPr>
        <w:t>服务</w:t>
      </w:r>
      <w:r>
        <w:rPr>
          <w:rFonts w:ascii="Times New Roman" w:hAnsi="Times New Roman"/>
          <w:b/>
          <w:bCs/>
          <w:sz w:val="24"/>
          <w:szCs w:val="28"/>
        </w:rPr>
        <w:t>）</w:t>
      </w:r>
    </w:p>
    <w:p w14:paraId="583CCBF5">
      <w:pPr>
        <w:spacing w:line="360" w:lineRule="auto"/>
        <w:rPr>
          <w:rFonts w:ascii="Times New Roman" w:hAnsi="Times New Roman"/>
          <w:sz w:val="24"/>
          <w:szCs w:val="28"/>
        </w:rPr>
      </w:pPr>
      <w:r>
        <w:rPr>
          <w:rFonts w:hint="eastAsia" w:ascii="Times New Roman" w:hAnsi="Times New Roman"/>
          <w:sz w:val="24"/>
          <w:szCs w:val="28"/>
        </w:rPr>
        <w:t>（1）因医院管理业务要求需对软件进行调整与设置，或因操作失误、程序故障等原因所需提供的故障清除服务。</w:t>
      </w:r>
    </w:p>
    <w:p w14:paraId="6A017A7C">
      <w:pPr>
        <w:spacing w:line="360" w:lineRule="auto"/>
        <w:rPr>
          <w:rFonts w:ascii="Times New Roman" w:hAnsi="Times New Roman"/>
          <w:sz w:val="24"/>
          <w:szCs w:val="28"/>
        </w:rPr>
      </w:pPr>
      <w:r>
        <w:rPr>
          <w:rFonts w:hint="eastAsia" w:ascii="Times New Roman" w:hAnsi="Times New Roman"/>
          <w:sz w:val="24"/>
          <w:szCs w:val="28"/>
        </w:rPr>
        <w:t>备注：接到服务通知后即刻开始。</w:t>
      </w:r>
    </w:p>
    <w:p w14:paraId="18D35C49">
      <w:pPr>
        <w:spacing w:line="360" w:lineRule="auto"/>
        <w:rPr>
          <w:rFonts w:ascii="Times New Roman" w:hAnsi="Times New Roman"/>
          <w:b/>
          <w:bCs/>
          <w:sz w:val="24"/>
          <w:szCs w:val="28"/>
        </w:rPr>
      </w:pPr>
      <w:r>
        <w:rPr>
          <w:rFonts w:ascii="Times New Roman" w:hAnsi="Times New Roman"/>
          <w:color w:val="000000"/>
          <w:sz w:val="24"/>
        </w:rPr>
        <w:t>▲</w:t>
      </w:r>
      <w:r>
        <w:rPr>
          <w:rFonts w:hint="eastAsia" w:ascii="Times New Roman" w:hAnsi="Times New Roman"/>
          <w:b/>
          <w:bCs/>
          <w:sz w:val="24"/>
          <w:szCs w:val="28"/>
        </w:rPr>
        <w:t>4、</w:t>
      </w:r>
      <w:r>
        <w:rPr>
          <w:rFonts w:ascii="Times New Roman" w:hAnsi="Times New Roman"/>
          <w:b/>
          <w:bCs/>
          <w:sz w:val="24"/>
          <w:szCs w:val="28"/>
        </w:rPr>
        <w:t>数据库备份协助（网络或上门</w:t>
      </w:r>
      <w:r>
        <w:rPr>
          <w:rFonts w:hint="eastAsia" w:ascii="Times New Roman" w:hAnsi="Times New Roman"/>
          <w:b/>
          <w:bCs/>
          <w:sz w:val="24"/>
          <w:szCs w:val="28"/>
        </w:rPr>
        <w:t>服务</w:t>
      </w:r>
      <w:r>
        <w:rPr>
          <w:rFonts w:ascii="Times New Roman" w:hAnsi="Times New Roman"/>
          <w:b/>
          <w:bCs/>
          <w:sz w:val="24"/>
          <w:szCs w:val="28"/>
        </w:rPr>
        <w:t>）</w:t>
      </w:r>
    </w:p>
    <w:p w14:paraId="0FB87288">
      <w:pPr>
        <w:spacing w:line="360" w:lineRule="auto"/>
        <w:rPr>
          <w:rFonts w:ascii="Times New Roman" w:hAnsi="Times New Roman"/>
          <w:sz w:val="24"/>
          <w:szCs w:val="28"/>
        </w:rPr>
      </w:pPr>
      <w:r>
        <w:rPr>
          <w:rFonts w:hint="eastAsia" w:ascii="Times New Roman" w:hAnsi="Times New Roman"/>
          <w:sz w:val="24"/>
          <w:szCs w:val="28"/>
        </w:rPr>
        <w:t>（1）医院数据库备份完成后，供应商必须配合开展备份数据库业务流程有效性辅助测试。</w:t>
      </w:r>
    </w:p>
    <w:p w14:paraId="2E4E4812">
      <w:pPr>
        <w:spacing w:line="360" w:lineRule="auto"/>
        <w:rPr>
          <w:rFonts w:ascii="Times New Roman" w:hAnsi="Times New Roman"/>
          <w:sz w:val="24"/>
          <w:szCs w:val="28"/>
        </w:rPr>
      </w:pPr>
      <w:r>
        <w:rPr>
          <w:rFonts w:hint="eastAsia" w:ascii="Times New Roman" w:hAnsi="Times New Roman"/>
          <w:sz w:val="24"/>
          <w:szCs w:val="28"/>
        </w:rPr>
        <w:t>备注：接到服务通知后，2个工作日内完成。</w:t>
      </w:r>
    </w:p>
    <w:p w14:paraId="206DF9D8">
      <w:pPr>
        <w:spacing w:line="360" w:lineRule="auto"/>
        <w:rPr>
          <w:rFonts w:ascii="Times New Roman" w:hAnsi="Times New Roman"/>
          <w:b/>
          <w:bCs/>
          <w:sz w:val="24"/>
          <w:szCs w:val="28"/>
        </w:rPr>
      </w:pPr>
      <w:r>
        <w:rPr>
          <w:rFonts w:ascii="Times New Roman" w:hAnsi="Times New Roman"/>
          <w:color w:val="000000"/>
          <w:sz w:val="24"/>
        </w:rPr>
        <w:t>▲</w:t>
      </w:r>
      <w:r>
        <w:rPr>
          <w:rFonts w:hint="eastAsia" w:ascii="Times New Roman" w:hAnsi="Times New Roman"/>
          <w:b/>
          <w:bCs/>
          <w:sz w:val="24"/>
          <w:szCs w:val="28"/>
        </w:rPr>
        <w:t>5、</w:t>
      </w:r>
      <w:r>
        <w:rPr>
          <w:rFonts w:ascii="Times New Roman" w:hAnsi="Times New Roman"/>
          <w:b/>
          <w:bCs/>
          <w:sz w:val="24"/>
          <w:szCs w:val="28"/>
        </w:rPr>
        <w:t>数据库安全检查（网络或上门</w:t>
      </w:r>
      <w:r>
        <w:rPr>
          <w:rFonts w:hint="eastAsia" w:ascii="Times New Roman" w:hAnsi="Times New Roman"/>
          <w:b/>
          <w:bCs/>
          <w:sz w:val="24"/>
          <w:szCs w:val="28"/>
        </w:rPr>
        <w:t>服务</w:t>
      </w:r>
      <w:r>
        <w:rPr>
          <w:rFonts w:ascii="Times New Roman" w:hAnsi="Times New Roman"/>
          <w:b/>
          <w:bCs/>
          <w:sz w:val="24"/>
          <w:szCs w:val="28"/>
        </w:rPr>
        <w:t>）</w:t>
      </w:r>
    </w:p>
    <w:p w14:paraId="3B42AE00">
      <w:pPr>
        <w:spacing w:line="360" w:lineRule="auto"/>
        <w:rPr>
          <w:rFonts w:ascii="Times New Roman" w:hAnsi="Times New Roman"/>
          <w:sz w:val="24"/>
          <w:szCs w:val="28"/>
        </w:rPr>
      </w:pPr>
      <w:r>
        <w:rPr>
          <w:rFonts w:hint="eastAsia" w:ascii="Times New Roman" w:hAnsi="Times New Roman"/>
          <w:sz w:val="24"/>
          <w:szCs w:val="28"/>
        </w:rPr>
        <w:t>（1）协助采购人对数据库备份的有效性、表空间大小、硬件支撑能力、数据库的安全隐患等进行检测。</w:t>
      </w:r>
    </w:p>
    <w:p w14:paraId="046FC6D0">
      <w:pPr>
        <w:spacing w:line="360" w:lineRule="auto"/>
        <w:rPr>
          <w:rFonts w:ascii="Times New Roman" w:hAnsi="Times New Roman"/>
          <w:sz w:val="24"/>
          <w:szCs w:val="28"/>
        </w:rPr>
      </w:pPr>
      <w:r>
        <w:rPr>
          <w:rFonts w:hint="eastAsia" w:ascii="Times New Roman" w:hAnsi="Times New Roman"/>
          <w:sz w:val="24"/>
          <w:szCs w:val="28"/>
        </w:rPr>
        <w:t>备注：每半年一次或根据采购人实际需求开展。</w:t>
      </w:r>
    </w:p>
    <w:p w14:paraId="26DC952E">
      <w:pPr>
        <w:spacing w:line="360" w:lineRule="auto"/>
        <w:rPr>
          <w:rFonts w:ascii="Times New Roman" w:hAnsi="Times New Roman"/>
          <w:b/>
          <w:bCs/>
          <w:sz w:val="24"/>
          <w:szCs w:val="28"/>
        </w:rPr>
      </w:pPr>
      <w:r>
        <w:rPr>
          <w:rFonts w:hint="eastAsia" w:ascii="Times New Roman" w:hAnsi="Times New Roman"/>
          <w:b/>
          <w:bCs/>
          <w:sz w:val="24"/>
          <w:szCs w:val="28"/>
        </w:rPr>
        <w:t>6、培训服务</w:t>
      </w:r>
    </w:p>
    <w:p w14:paraId="48D1BC8A">
      <w:pPr>
        <w:spacing w:line="360" w:lineRule="auto"/>
        <w:rPr>
          <w:rFonts w:ascii="Times New Roman" w:hAnsi="Times New Roman"/>
          <w:sz w:val="24"/>
          <w:szCs w:val="28"/>
        </w:rPr>
      </w:pPr>
      <w:r>
        <w:rPr>
          <w:rFonts w:hint="eastAsia" w:ascii="Times New Roman" w:hAnsi="Times New Roman"/>
          <w:sz w:val="24"/>
          <w:szCs w:val="28"/>
        </w:rPr>
        <w:t>（1）</w:t>
      </w:r>
      <w:r>
        <w:rPr>
          <w:rFonts w:ascii="Times New Roman" w:hAnsi="Times New Roman"/>
          <w:sz w:val="24"/>
          <w:szCs w:val="28"/>
        </w:rPr>
        <w:t>供应商须提供</w:t>
      </w:r>
      <w:r>
        <w:rPr>
          <w:rFonts w:hint="eastAsia" w:ascii="Times New Roman" w:hAnsi="Times New Roman"/>
          <w:sz w:val="24"/>
          <w:szCs w:val="28"/>
        </w:rPr>
        <w:t>系统升级后的</w:t>
      </w:r>
      <w:r>
        <w:rPr>
          <w:rFonts w:ascii="Times New Roman" w:hAnsi="Times New Roman"/>
          <w:sz w:val="24"/>
          <w:szCs w:val="28"/>
        </w:rPr>
        <w:t>操作培训方案，方案内容包括但不限于培训方式、培训课时及培训目标成果等内容</w:t>
      </w:r>
      <w:r>
        <w:rPr>
          <w:rFonts w:hint="eastAsia" w:ascii="Times New Roman" w:hAnsi="Times New Roman"/>
          <w:sz w:val="24"/>
          <w:szCs w:val="28"/>
        </w:rPr>
        <w:t>。</w:t>
      </w:r>
    </w:p>
    <w:p w14:paraId="2D656681">
      <w:pPr>
        <w:spacing w:before="156" w:beforeLines="50" w:line="360" w:lineRule="auto"/>
        <w:outlineLvl w:val="1"/>
        <w:rPr>
          <w:rFonts w:hint="eastAsia" w:ascii="宋体" w:hAnsi="宋体"/>
          <w:b/>
          <w:bCs/>
          <w:sz w:val="24"/>
          <w:u w:color="000000"/>
        </w:rPr>
      </w:pPr>
      <w:bookmarkStart w:id="53" w:name="_Toc155687999"/>
      <w:bookmarkStart w:id="54" w:name="_Toc171605463"/>
      <w:bookmarkStart w:id="55" w:name="_Toc171512443"/>
      <w:r>
        <w:rPr>
          <w:rFonts w:ascii="Segoe UI Symbol" w:hAnsi="Segoe UI Symbol" w:cs="Segoe UI Symbol"/>
          <w:b/>
          <w:bCs/>
          <w:sz w:val="22"/>
        </w:rPr>
        <w:t>★</w:t>
      </w:r>
      <w:r>
        <w:rPr>
          <w:rFonts w:hint="eastAsia" w:ascii="宋体" w:hAnsi="宋体"/>
          <w:b/>
          <w:bCs/>
          <w:sz w:val="24"/>
          <w:u w:color="000000"/>
        </w:rPr>
        <w:t>四、商务部分要求</w:t>
      </w:r>
      <w:bookmarkEnd w:id="53"/>
      <w:bookmarkEnd w:id="54"/>
      <w:bookmarkEnd w:id="55"/>
    </w:p>
    <w:p w14:paraId="261A2B3F">
      <w:pPr>
        <w:spacing w:line="360" w:lineRule="auto"/>
        <w:rPr>
          <w:rFonts w:ascii="Times New Roman" w:hAnsi="Times New Roman"/>
          <w:sz w:val="24"/>
        </w:rPr>
      </w:pPr>
      <w:r>
        <w:rPr>
          <w:rFonts w:ascii="Times New Roman" w:hAnsi="Times New Roman"/>
          <w:b/>
          <w:sz w:val="24"/>
        </w:rPr>
        <w:t>1、服务周期</w:t>
      </w:r>
      <w:r>
        <w:rPr>
          <w:rFonts w:ascii="Times New Roman" w:hAnsi="Times New Roman"/>
          <w:color w:val="000000"/>
          <w:sz w:val="24"/>
        </w:rPr>
        <w:t>：</w:t>
      </w:r>
      <w:r>
        <w:rPr>
          <w:rFonts w:hint="eastAsia" w:ascii="Times New Roman" w:hAnsi="Times New Roman"/>
          <w:sz w:val="24"/>
        </w:rPr>
        <w:t>3年，合同每年一签，</w:t>
      </w:r>
      <w:r>
        <w:rPr>
          <w:rFonts w:ascii="Times New Roman" w:hAnsi="Times New Roman"/>
          <w:sz w:val="24"/>
        </w:rPr>
        <w:t>第一年合同期满后，根据考核结果采购人决定是否与</w:t>
      </w:r>
      <w:r>
        <w:rPr>
          <w:rFonts w:hint="eastAsia" w:ascii="Times New Roman" w:hAnsi="Times New Roman"/>
          <w:sz w:val="24"/>
        </w:rPr>
        <w:t>成交</w:t>
      </w:r>
      <w:r>
        <w:rPr>
          <w:rFonts w:ascii="Times New Roman" w:hAnsi="Times New Roman"/>
          <w:sz w:val="24"/>
        </w:rPr>
        <w:t>供应商签订下一年度服务合同。</w:t>
      </w:r>
    </w:p>
    <w:p w14:paraId="0F74B9AE">
      <w:pPr>
        <w:spacing w:line="360" w:lineRule="auto"/>
        <w:rPr>
          <w:rFonts w:ascii="Times New Roman" w:hAnsi="Times New Roman"/>
          <w:b/>
          <w:sz w:val="24"/>
        </w:rPr>
      </w:pPr>
      <w:r>
        <w:rPr>
          <w:rFonts w:hint="eastAsia" w:ascii="Times New Roman" w:hAnsi="Times New Roman"/>
          <w:b/>
          <w:sz w:val="24"/>
        </w:rPr>
        <w:t>2</w:t>
      </w:r>
      <w:r>
        <w:rPr>
          <w:rFonts w:ascii="Times New Roman" w:hAnsi="Times New Roman"/>
          <w:b/>
          <w:sz w:val="24"/>
        </w:rPr>
        <w:t>、服务要求</w:t>
      </w:r>
    </w:p>
    <w:p w14:paraId="0C040BE0">
      <w:pPr>
        <w:spacing w:line="360" w:lineRule="auto"/>
        <w:rPr>
          <w:rFonts w:ascii="Times New Roman" w:hAnsi="Times New Roman"/>
          <w:bCs/>
          <w:sz w:val="24"/>
        </w:rPr>
      </w:pPr>
      <w:r>
        <w:rPr>
          <w:rFonts w:ascii="Times New Roman" w:hAnsi="Times New Roman"/>
          <w:bCs/>
          <w:sz w:val="24"/>
        </w:rPr>
        <w:t>（1）</w:t>
      </w:r>
      <w:r>
        <w:rPr>
          <w:rFonts w:hint="eastAsia" w:ascii="Times New Roman" w:hAnsi="Times New Roman"/>
          <w:bCs/>
          <w:color w:val="000000"/>
          <w:sz w:val="24"/>
        </w:rPr>
        <w:t>服务期</w:t>
      </w:r>
      <w:r>
        <w:rPr>
          <w:rFonts w:ascii="Times New Roman" w:hAnsi="Times New Roman"/>
          <w:bCs/>
          <w:sz w:val="24"/>
        </w:rPr>
        <w:t>内，本合同项目所有技术和服务发生任何非人为故障，由供应商负责系统恢复。故障报修的响应时间为即时，到达现场的时间为2小时，小型故障恢复时间为4个小时，严重故障恢复时间为24小时内，并及时有效的提供解决方案。</w:t>
      </w:r>
    </w:p>
    <w:p w14:paraId="124844AE">
      <w:pPr>
        <w:spacing w:line="360" w:lineRule="auto"/>
        <w:rPr>
          <w:rFonts w:ascii="Times New Roman" w:hAnsi="Times New Roman"/>
          <w:bCs/>
          <w:sz w:val="24"/>
        </w:rPr>
      </w:pPr>
      <w:r>
        <w:rPr>
          <w:rFonts w:ascii="Times New Roman" w:hAnsi="Times New Roman"/>
          <w:bCs/>
          <w:sz w:val="24"/>
        </w:rPr>
        <w:t>（2）</w:t>
      </w:r>
      <w:r>
        <w:rPr>
          <w:rFonts w:hint="eastAsia" w:ascii="Times New Roman" w:hAnsi="Times New Roman"/>
          <w:bCs/>
          <w:color w:val="000000"/>
          <w:sz w:val="24"/>
        </w:rPr>
        <w:t>服务期</w:t>
      </w:r>
      <w:r>
        <w:rPr>
          <w:rFonts w:ascii="Times New Roman" w:hAnsi="Times New Roman"/>
          <w:bCs/>
          <w:sz w:val="24"/>
        </w:rPr>
        <w:t>内，对采购人提出的合理服务要求，供应商必须即时进行电话、邮件及远程网络支持，并在2小时内到场服务。如不到场，采购人有权自行处理，相关费用由供应商负责。</w:t>
      </w:r>
    </w:p>
    <w:p w14:paraId="797F7271">
      <w:pPr>
        <w:spacing w:line="360" w:lineRule="auto"/>
        <w:rPr>
          <w:rFonts w:ascii="Times New Roman" w:hAnsi="Times New Roman"/>
          <w:bCs/>
          <w:sz w:val="24"/>
        </w:rPr>
      </w:pPr>
      <w:r>
        <w:rPr>
          <w:rFonts w:ascii="Times New Roman" w:hAnsi="Times New Roman"/>
          <w:bCs/>
          <w:sz w:val="24"/>
        </w:rPr>
        <w:t>（3）供应商需提供定期回访服务，对采购人提出的合理优化建议应提供免费升级服务。</w:t>
      </w:r>
    </w:p>
    <w:p w14:paraId="295651D6">
      <w:pPr>
        <w:spacing w:line="360" w:lineRule="auto"/>
        <w:rPr>
          <w:rFonts w:ascii="Times New Roman" w:hAnsi="Times New Roman"/>
          <w:bCs/>
          <w:sz w:val="24"/>
        </w:rPr>
      </w:pPr>
      <w:r>
        <w:rPr>
          <w:rFonts w:ascii="Times New Roman" w:hAnsi="Times New Roman"/>
          <w:bCs/>
          <w:sz w:val="24"/>
        </w:rPr>
        <w:t>（4）所有的服务方式均为供应商上门保修，即由供应商派员到系统使用现场进行故障恢复，由此产生的一切费用均由供应商承担。</w:t>
      </w:r>
    </w:p>
    <w:p w14:paraId="41C9AABC">
      <w:pPr>
        <w:spacing w:line="360" w:lineRule="auto"/>
        <w:rPr>
          <w:rFonts w:ascii="Times New Roman" w:hAnsi="Times New Roman"/>
          <w:b/>
          <w:sz w:val="24"/>
        </w:rPr>
      </w:pPr>
      <w:r>
        <w:rPr>
          <w:rFonts w:hint="eastAsia" w:ascii="Times New Roman" w:hAnsi="Times New Roman"/>
          <w:b/>
          <w:sz w:val="24"/>
        </w:rPr>
        <w:t>3</w:t>
      </w:r>
      <w:r>
        <w:rPr>
          <w:rFonts w:ascii="Times New Roman" w:hAnsi="Times New Roman"/>
          <w:b/>
          <w:sz w:val="24"/>
        </w:rPr>
        <w:t>、服务保障和自罚承诺</w:t>
      </w:r>
    </w:p>
    <w:p w14:paraId="70A7BDF1">
      <w:pPr>
        <w:spacing w:line="360" w:lineRule="auto"/>
        <w:rPr>
          <w:rFonts w:ascii="Times New Roman" w:hAnsi="Times New Roman"/>
          <w:sz w:val="24"/>
        </w:rPr>
      </w:pPr>
      <w:r>
        <w:rPr>
          <w:rFonts w:ascii="Times New Roman" w:hAnsi="Times New Roman"/>
          <w:sz w:val="24"/>
        </w:rPr>
        <w:t>（1）供应商应对照磋商文件要求，书面说明已对采购人的需求做出了实质性的响应，或申明与需求的偏差和例外。</w:t>
      </w:r>
    </w:p>
    <w:p w14:paraId="6E2EC9F9">
      <w:pPr>
        <w:spacing w:line="360" w:lineRule="auto"/>
        <w:rPr>
          <w:rFonts w:ascii="Times New Roman" w:hAnsi="Times New Roman"/>
          <w:sz w:val="24"/>
        </w:rPr>
      </w:pPr>
      <w:r>
        <w:rPr>
          <w:rFonts w:ascii="Times New Roman" w:hAnsi="Times New Roman"/>
          <w:sz w:val="24"/>
        </w:rPr>
        <w:t>（2）如果发生因供应商安全措施不力造成的事故责任、或者其他工作失误，由此所产生的一切责任由供应商承担。</w:t>
      </w:r>
    </w:p>
    <w:p w14:paraId="14074661">
      <w:pPr>
        <w:spacing w:line="360" w:lineRule="auto"/>
        <w:rPr>
          <w:rFonts w:ascii="Times New Roman" w:hAnsi="Times New Roman"/>
          <w:sz w:val="24"/>
        </w:rPr>
      </w:pPr>
      <w:r>
        <w:rPr>
          <w:rFonts w:ascii="Times New Roman" w:hAnsi="Times New Roman"/>
          <w:sz w:val="24"/>
        </w:rPr>
        <w:t>（3）如因供应商投入人员过少原因，造成无法在承诺工期内完成服务，由此产生的一切责任由供应商承担。</w:t>
      </w:r>
    </w:p>
    <w:p w14:paraId="7623A085">
      <w:pPr>
        <w:spacing w:line="360" w:lineRule="auto"/>
        <w:rPr>
          <w:rFonts w:ascii="Times New Roman" w:hAnsi="Times New Roman"/>
          <w:b/>
          <w:sz w:val="24"/>
        </w:rPr>
      </w:pPr>
      <w:r>
        <w:rPr>
          <w:rFonts w:hint="eastAsia" w:ascii="Times New Roman" w:hAnsi="Times New Roman"/>
          <w:b/>
          <w:sz w:val="24"/>
        </w:rPr>
        <w:t>4</w:t>
      </w:r>
      <w:r>
        <w:rPr>
          <w:rFonts w:ascii="Times New Roman" w:hAnsi="Times New Roman"/>
          <w:b/>
          <w:sz w:val="24"/>
        </w:rPr>
        <w:t>、报价说明</w:t>
      </w:r>
    </w:p>
    <w:p w14:paraId="4FD211BD">
      <w:pPr>
        <w:spacing w:line="360" w:lineRule="auto"/>
        <w:rPr>
          <w:rFonts w:ascii="Times New Roman" w:hAnsi="Times New Roman"/>
          <w:sz w:val="24"/>
        </w:rPr>
      </w:pPr>
      <w:r>
        <w:rPr>
          <w:rFonts w:ascii="Times New Roman" w:hAnsi="Times New Roman"/>
          <w:sz w:val="24"/>
        </w:rPr>
        <w:t>（1）报价应包含与本次采购项目有关的所有费用。包含但不限于人员、设备、安装调试、验收、售后服务、伴随配套服务等所有含税费用。同时，还应包含支付给员工的工资和国家强制缴纳的各种社会保障资金，以及供应商认为需要的其他费用等。</w:t>
      </w:r>
    </w:p>
    <w:p w14:paraId="48FF7094">
      <w:pPr>
        <w:spacing w:line="360" w:lineRule="auto"/>
        <w:rPr>
          <w:rFonts w:ascii="Times New Roman" w:hAnsi="Times New Roman"/>
          <w:sz w:val="24"/>
        </w:rPr>
      </w:pPr>
      <w:r>
        <w:rPr>
          <w:rFonts w:ascii="Times New Roman" w:hAnsi="Times New Roman"/>
          <w:sz w:val="24"/>
        </w:rPr>
        <w:t>（2）供应商的任何错漏、优惠、竞争性报价不得作为减轻责任、减少服务、增加收费、降低服务质量的理由。</w:t>
      </w:r>
    </w:p>
    <w:p w14:paraId="0A8EAD58">
      <w:pPr>
        <w:spacing w:line="360" w:lineRule="auto"/>
        <w:rPr>
          <w:rFonts w:ascii="Times New Roman" w:hAnsi="Times New Roman"/>
          <w:sz w:val="24"/>
        </w:rPr>
      </w:pPr>
      <w:r>
        <w:rPr>
          <w:rFonts w:ascii="Times New Roman" w:hAnsi="Times New Roman"/>
          <w:sz w:val="24"/>
        </w:rPr>
        <w:t>（3）供应商报价除包含磋商文件中列明的项目外还应包括保障服务正常运行应当具有的物资和服务，对服务正常运行应当具有的物资和服务理解不一致的以采购人理解为准。</w:t>
      </w:r>
    </w:p>
    <w:p w14:paraId="03626EF0">
      <w:pPr>
        <w:spacing w:line="360" w:lineRule="auto"/>
        <w:rPr>
          <w:rFonts w:ascii="Times New Roman" w:hAnsi="Times New Roman"/>
          <w:b/>
          <w:sz w:val="24"/>
        </w:rPr>
      </w:pPr>
      <w:r>
        <w:rPr>
          <w:rFonts w:hint="eastAsia" w:ascii="Times New Roman" w:hAnsi="Times New Roman"/>
          <w:b/>
          <w:sz w:val="24"/>
        </w:rPr>
        <w:t>5</w:t>
      </w:r>
      <w:r>
        <w:rPr>
          <w:rFonts w:ascii="Times New Roman" w:hAnsi="Times New Roman"/>
          <w:b/>
          <w:sz w:val="24"/>
        </w:rPr>
        <w:t>、付款条件</w:t>
      </w:r>
    </w:p>
    <w:p w14:paraId="724696D8">
      <w:pPr>
        <w:spacing w:line="360" w:lineRule="auto"/>
        <w:rPr>
          <w:rFonts w:ascii="Times New Roman" w:hAnsi="Times New Roman"/>
          <w:bCs/>
          <w:sz w:val="24"/>
          <w:lang w:val="ja-JP"/>
        </w:rPr>
      </w:pPr>
      <w:r>
        <w:rPr>
          <w:rFonts w:ascii="Times New Roman" w:hAnsi="Times New Roman"/>
          <w:bCs/>
          <w:sz w:val="24"/>
          <w:lang w:val="ja-JP" w:eastAsia="ja-JP"/>
        </w:rPr>
        <w:t>（</w:t>
      </w:r>
      <w:r>
        <w:rPr>
          <w:rFonts w:hint="eastAsia" w:ascii="Times New Roman" w:hAnsi="Times New Roman"/>
          <w:bCs/>
          <w:sz w:val="24"/>
          <w:lang w:val="ja-JP"/>
        </w:rPr>
        <w:t>1</w:t>
      </w:r>
      <w:r>
        <w:rPr>
          <w:rFonts w:ascii="Times New Roman" w:hAnsi="Times New Roman"/>
          <w:bCs/>
          <w:sz w:val="24"/>
          <w:lang w:val="ja-JP" w:eastAsia="ja-JP"/>
        </w:rPr>
        <w:t>）付款方式：</w:t>
      </w:r>
      <w:r>
        <w:rPr>
          <w:rFonts w:hint="eastAsia" w:ascii="Times New Roman" w:hAnsi="Times New Roman"/>
          <w:bCs/>
          <w:sz w:val="24"/>
          <w:lang w:val="ja-JP" w:eastAsia="ja-JP"/>
        </w:rPr>
        <w:t>详见第本磋商文件《</w:t>
      </w:r>
      <w:r>
        <w:rPr>
          <w:rFonts w:hint="eastAsia" w:ascii="Times New Roman" w:hAnsi="Times New Roman"/>
          <w:bCs/>
          <w:sz w:val="24"/>
          <w:lang w:val="ja-JP"/>
        </w:rPr>
        <w:t>第三章 合同条款及格式</w:t>
      </w:r>
      <w:r>
        <w:rPr>
          <w:rFonts w:hint="eastAsia" w:ascii="Times New Roman" w:hAnsi="Times New Roman"/>
          <w:bCs/>
          <w:sz w:val="24"/>
          <w:lang w:val="ja-JP" w:eastAsia="ja-JP"/>
        </w:rPr>
        <w:t>》</w:t>
      </w:r>
      <w:r>
        <w:rPr>
          <w:rFonts w:hint="eastAsia" w:ascii="Times New Roman" w:hAnsi="Times New Roman"/>
          <w:bCs/>
          <w:sz w:val="24"/>
          <w:lang w:val="ja-JP"/>
        </w:rPr>
        <w:t>。</w:t>
      </w:r>
    </w:p>
    <w:p w14:paraId="0BE8F2D9">
      <w:pPr>
        <w:widowControl/>
        <w:jc w:val="left"/>
      </w:pPr>
      <w:r>
        <w:br w:type="page"/>
      </w:r>
    </w:p>
    <w:p w14:paraId="008006B2">
      <w:pPr>
        <w:spacing w:after="156" w:afterLines="50" w:line="360" w:lineRule="auto"/>
        <w:jc w:val="center"/>
        <w:outlineLvl w:val="0"/>
        <w:rPr>
          <w:rFonts w:hint="eastAsia" w:ascii="华文中宋" w:hAnsi="华文中宋" w:eastAsia="华文中宋"/>
          <w:b/>
          <w:bCs/>
          <w:sz w:val="32"/>
          <w:szCs w:val="32"/>
        </w:rPr>
      </w:pPr>
      <w:bookmarkStart w:id="56" w:name="_Toc155688000"/>
      <w:bookmarkStart w:id="57" w:name="_Toc171605464"/>
      <w:bookmarkStart w:id="58" w:name="_Toc171512444"/>
      <w:r>
        <w:rPr>
          <w:rFonts w:ascii="华文中宋" w:hAnsi="华文中宋" w:eastAsia="华文中宋"/>
          <w:b/>
          <w:bCs/>
          <w:sz w:val="32"/>
          <w:szCs w:val="32"/>
        </w:rPr>
        <w:t>第五章  评审方法和评审标准</w:t>
      </w:r>
      <w:bookmarkEnd w:id="56"/>
      <w:bookmarkEnd w:id="57"/>
      <w:bookmarkEnd w:id="58"/>
    </w:p>
    <w:p w14:paraId="4A8D8A3E">
      <w:pPr>
        <w:widowControl/>
        <w:spacing w:line="360" w:lineRule="auto"/>
        <w:jc w:val="left"/>
        <w:outlineLvl w:val="1"/>
        <w:rPr>
          <w:rFonts w:hint="eastAsia" w:asciiTheme="minorEastAsia" w:hAnsiTheme="minorEastAsia" w:eastAsiaTheme="minorEastAsia"/>
          <w:b/>
          <w:bCs/>
          <w:sz w:val="24"/>
        </w:rPr>
      </w:pPr>
      <w:bookmarkStart w:id="59" w:name="_Toc171512445"/>
      <w:bookmarkStart w:id="60" w:name="_Toc171605465"/>
      <w:r>
        <w:rPr>
          <w:rFonts w:hint="eastAsia" w:asciiTheme="minorEastAsia" w:hAnsiTheme="minorEastAsia" w:eastAsiaTheme="minorEastAsia"/>
          <w:b/>
          <w:bCs/>
          <w:sz w:val="24"/>
        </w:rPr>
        <w:t>一、评审方法</w:t>
      </w:r>
      <w:bookmarkEnd w:id="59"/>
      <w:bookmarkEnd w:id="60"/>
    </w:p>
    <w:p w14:paraId="2B0D1F70">
      <w:pPr>
        <w:widowControl/>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采用综合评分法，对满足磋商文件全部实质性要求的响应文件按评审因素的量化指标评审总分对供应商进行排序。</w:t>
      </w:r>
    </w:p>
    <w:p w14:paraId="317BD724">
      <w:pPr>
        <w:widowControl/>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经磋商确定最终采购需求和提交最后报价的供应商后，磋商小组成员独立对提交最后报价的供应商的响应文件和最后报价进行综合评分。</w:t>
      </w:r>
    </w:p>
    <w:p w14:paraId="38C830E5">
      <w:pPr>
        <w:widowControl/>
        <w:spacing w:line="360" w:lineRule="auto"/>
        <w:ind w:firstLine="480" w:firstLineChars="200"/>
        <w:jc w:val="left"/>
        <w:rPr>
          <w:rFonts w:ascii="Times New Roman" w:hAnsi="Times New Roman" w:eastAsiaTheme="minorEastAsia"/>
          <w:sz w:val="24"/>
        </w:rPr>
      </w:pPr>
      <w:r>
        <w:rPr>
          <w:rFonts w:ascii="Times New Roman" w:hAnsi="Times New Roman" w:eastAsiaTheme="minorEastAsia"/>
          <w:sz w:val="24"/>
        </w:rPr>
        <w:t>磋商小组按照评审总分由高到低顺序推荐3名成交候选供应商，并编写评审报告。符合本磋商文件第二章第2</w:t>
      </w:r>
      <w:r>
        <w:rPr>
          <w:rFonts w:hint="eastAsia" w:ascii="Times New Roman" w:hAnsi="Times New Roman" w:eastAsiaTheme="minorEastAsia"/>
          <w:sz w:val="24"/>
        </w:rPr>
        <w:t>3</w:t>
      </w:r>
      <w:r>
        <w:rPr>
          <w:rFonts w:ascii="Times New Roman" w:hAnsi="Times New Roman" w:eastAsiaTheme="minorEastAsia"/>
          <w:sz w:val="24"/>
        </w:rPr>
        <w:t>.1.2条第三款情形的，可以推荐2名成交候选供应商。评审得分相同的，按照最后报价由低到高的顺序推荐。评审得分且最后报价相同的，按照</w:t>
      </w:r>
      <w:r>
        <w:rPr>
          <w:rFonts w:ascii="宋体" w:hAnsi="宋体"/>
          <w:sz w:val="24"/>
        </w:rPr>
        <w:t>“</w:t>
      </w:r>
      <w:r>
        <w:rPr>
          <w:rFonts w:ascii="Times New Roman" w:hAnsi="Times New Roman" w:eastAsiaTheme="minorEastAsia"/>
          <w:sz w:val="24"/>
        </w:rPr>
        <w:t>评审标准-</w:t>
      </w:r>
      <w:r>
        <w:rPr>
          <w:rFonts w:hint="eastAsia" w:ascii="Times New Roman" w:hAnsi="Times New Roman" w:eastAsiaTheme="minorEastAsia"/>
          <w:sz w:val="24"/>
        </w:rPr>
        <w:t>（二）</w:t>
      </w:r>
      <w:r>
        <w:rPr>
          <w:rFonts w:ascii="Times New Roman" w:hAnsi="Times New Roman" w:eastAsiaTheme="minorEastAsia"/>
          <w:sz w:val="24"/>
        </w:rPr>
        <w:t>技术</w:t>
      </w:r>
      <w:r>
        <w:rPr>
          <w:rFonts w:asciiTheme="minorEastAsia" w:hAnsiTheme="minorEastAsia" w:eastAsiaTheme="minorEastAsia"/>
          <w:sz w:val="24"/>
        </w:rPr>
        <w:t>”</w:t>
      </w:r>
      <w:r>
        <w:rPr>
          <w:rFonts w:ascii="Times New Roman" w:hAnsi="Times New Roman" w:eastAsiaTheme="minorEastAsia"/>
          <w:sz w:val="24"/>
        </w:rPr>
        <w:t>得分由高到低顺序推荐。</w:t>
      </w:r>
    </w:p>
    <w:p w14:paraId="3B78444A">
      <w:pPr>
        <w:widowControl/>
        <w:spacing w:line="360" w:lineRule="auto"/>
        <w:jc w:val="left"/>
        <w:outlineLvl w:val="1"/>
        <w:rPr>
          <w:rFonts w:hint="eastAsia" w:asciiTheme="minorEastAsia" w:hAnsiTheme="minorEastAsia" w:eastAsiaTheme="minorEastAsia"/>
          <w:b/>
          <w:bCs/>
          <w:sz w:val="24"/>
        </w:rPr>
      </w:pPr>
      <w:bookmarkStart w:id="61" w:name="_Toc171512446"/>
      <w:bookmarkStart w:id="62" w:name="_Toc171605466"/>
      <w:r>
        <w:rPr>
          <w:rFonts w:hint="eastAsia" w:asciiTheme="minorEastAsia" w:hAnsiTheme="minorEastAsia" w:eastAsiaTheme="minorEastAsia"/>
          <w:b/>
          <w:bCs/>
          <w:sz w:val="24"/>
        </w:rPr>
        <w:t>二、评审标准</w:t>
      </w:r>
      <w:bookmarkEnd w:id="61"/>
      <w:bookmarkEnd w:id="62"/>
    </w:p>
    <w:p w14:paraId="0FE0A3FA">
      <w:pPr>
        <w:widowControl/>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本项目采用综合评分法确定成交候选人。磋商小组会将按下列评分办法和标准进行评分，总分值为</w:t>
      </w:r>
      <w:r>
        <w:rPr>
          <w:rFonts w:ascii="Times New Roman" w:hAnsi="Times New Roman" w:eastAsiaTheme="minorEastAsia"/>
          <w:sz w:val="24"/>
        </w:rPr>
        <w:t>100</w:t>
      </w:r>
      <w:r>
        <w:rPr>
          <w:rFonts w:hint="eastAsia" w:asciiTheme="minorEastAsia" w:hAnsiTheme="minorEastAsia" w:eastAsiaTheme="minorEastAsia"/>
          <w:sz w:val="24"/>
        </w:rPr>
        <w:t>分。</w:t>
      </w:r>
    </w:p>
    <w:tbl>
      <w:tblPr>
        <w:tblStyle w:val="35"/>
        <w:tblpPr w:leftFromText="180" w:rightFromText="180" w:vertAnchor="text" w:tblpXSpec="center" w:tblpY="1"/>
        <w:tblOverlap w:val="never"/>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320"/>
        <w:gridCol w:w="6377"/>
        <w:gridCol w:w="708"/>
      </w:tblGrid>
      <w:tr w14:paraId="240BB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blHeader/>
        </w:trPr>
        <w:tc>
          <w:tcPr>
            <w:tcW w:w="851" w:type="dxa"/>
            <w:tcBorders>
              <w:tl2br w:val="nil"/>
              <w:tr2bl w:val="nil"/>
            </w:tcBorders>
            <w:vAlign w:val="center"/>
          </w:tcPr>
          <w:p w14:paraId="37FF602C">
            <w:pPr>
              <w:widowControl/>
              <w:spacing w:line="360" w:lineRule="auto"/>
              <w:jc w:val="center"/>
              <w:rPr>
                <w:rFonts w:ascii="Times New Roman" w:hAnsi="Times New Roman"/>
                <w:b/>
                <w:bCs/>
                <w:color w:val="000000"/>
                <w:sz w:val="24"/>
              </w:rPr>
            </w:pPr>
            <w:r>
              <w:rPr>
                <w:rFonts w:ascii="Times New Roman" w:hAnsi="Times New Roman"/>
                <w:b/>
                <w:bCs/>
                <w:color w:val="000000"/>
                <w:sz w:val="24"/>
              </w:rPr>
              <w:t>序号</w:t>
            </w:r>
          </w:p>
        </w:tc>
        <w:tc>
          <w:tcPr>
            <w:tcW w:w="1320" w:type="dxa"/>
            <w:tcBorders>
              <w:tl2br w:val="nil"/>
              <w:tr2bl w:val="nil"/>
            </w:tcBorders>
            <w:vAlign w:val="center"/>
          </w:tcPr>
          <w:p w14:paraId="5B195438">
            <w:pPr>
              <w:widowControl/>
              <w:spacing w:line="360" w:lineRule="auto"/>
              <w:jc w:val="center"/>
              <w:rPr>
                <w:rFonts w:ascii="Times New Roman" w:hAnsi="Times New Roman"/>
                <w:b/>
                <w:bCs/>
                <w:color w:val="000000"/>
                <w:sz w:val="24"/>
              </w:rPr>
            </w:pPr>
            <w:r>
              <w:rPr>
                <w:rFonts w:ascii="Times New Roman" w:hAnsi="Times New Roman"/>
                <w:b/>
                <w:bCs/>
                <w:color w:val="000000"/>
                <w:sz w:val="24"/>
              </w:rPr>
              <w:t>评审因素</w:t>
            </w:r>
          </w:p>
        </w:tc>
        <w:tc>
          <w:tcPr>
            <w:tcW w:w="6377" w:type="dxa"/>
            <w:tcBorders>
              <w:tl2br w:val="nil"/>
              <w:tr2bl w:val="nil"/>
            </w:tcBorders>
            <w:vAlign w:val="center"/>
          </w:tcPr>
          <w:p w14:paraId="75C0D92F">
            <w:pPr>
              <w:widowControl/>
              <w:spacing w:line="360" w:lineRule="auto"/>
              <w:jc w:val="center"/>
              <w:rPr>
                <w:rFonts w:ascii="Times New Roman" w:hAnsi="Times New Roman"/>
                <w:b/>
                <w:bCs/>
                <w:color w:val="000000"/>
                <w:sz w:val="24"/>
              </w:rPr>
            </w:pPr>
            <w:r>
              <w:rPr>
                <w:rFonts w:ascii="Times New Roman" w:hAnsi="Times New Roman"/>
                <w:b/>
                <w:bCs/>
                <w:color w:val="000000"/>
                <w:sz w:val="24"/>
              </w:rPr>
              <w:t>评审细则</w:t>
            </w:r>
          </w:p>
        </w:tc>
        <w:tc>
          <w:tcPr>
            <w:tcW w:w="708" w:type="dxa"/>
            <w:tcBorders>
              <w:tl2br w:val="nil"/>
              <w:tr2bl w:val="nil"/>
            </w:tcBorders>
            <w:vAlign w:val="center"/>
          </w:tcPr>
          <w:p w14:paraId="0258CF0C">
            <w:pPr>
              <w:widowControl/>
              <w:spacing w:line="360" w:lineRule="auto"/>
              <w:jc w:val="center"/>
              <w:rPr>
                <w:rFonts w:ascii="Times New Roman" w:hAnsi="Times New Roman"/>
                <w:b/>
                <w:bCs/>
                <w:color w:val="000000"/>
                <w:sz w:val="24"/>
              </w:rPr>
            </w:pPr>
            <w:r>
              <w:rPr>
                <w:rFonts w:ascii="Times New Roman" w:hAnsi="Times New Roman"/>
                <w:b/>
                <w:bCs/>
                <w:color w:val="000000"/>
                <w:sz w:val="24"/>
              </w:rPr>
              <w:t>分值</w:t>
            </w:r>
          </w:p>
        </w:tc>
      </w:tr>
      <w:tr w14:paraId="775C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256" w:type="dxa"/>
            <w:gridSpan w:val="4"/>
            <w:tcBorders>
              <w:tl2br w:val="nil"/>
              <w:tr2bl w:val="nil"/>
            </w:tcBorders>
            <w:vAlign w:val="center"/>
          </w:tcPr>
          <w:p w14:paraId="6FE9CCA3">
            <w:pPr>
              <w:widowControl/>
              <w:spacing w:line="360" w:lineRule="auto"/>
              <w:rPr>
                <w:rFonts w:ascii="Times New Roman" w:hAnsi="Times New Roman"/>
                <w:color w:val="000000"/>
                <w:sz w:val="24"/>
              </w:rPr>
            </w:pPr>
            <w:r>
              <w:rPr>
                <w:rFonts w:ascii="Times New Roman" w:hAnsi="Times New Roman"/>
                <w:b/>
                <w:bCs/>
                <w:color w:val="000000"/>
                <w:sz w:val="24"/>
              </w:rPr>
              <w:t>（一）价格</w:t>
            </w:r>
            <w:r>
              <w:rPr>
                <w:rFonts w:hint="eastAsia" w:ascii="Times New Roman" w:hAnsi="Times New Roman"/>
                <w:b/>
                <w:bCs/>
                <w:color w:val="000000"/>
                <w:sz w:val="24"/>
              </w:rPr>
              <w:t>分</w:t>
            </w:r>
          </w:p>
        </w:tc>
      </w:tr>
      <w:tr w14:paraId="41A9E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851" w:type="dxa"/>
            <w:tcBorders>
              <w:tl2br w:val="nil"/>
              <w:tr2bl w:val="nil"/>
            </w:tcBorders>
            <w:vAlign w:val="center"/>
          </w:tcPr>
          <w:p w14:paraId="33BD4372">
            <w:pPr>
              <w:widowControl/>
              <w:spacing w:line="360" w:lineRule="auto"/>
              <w:jc w:val="center"/>
              <w:rPr>
                <w:rFonts w:ascii="Times New Roman" w:hAnsi="Times New Roman"/>
                <w:color w:val="000000"/>
                <w:sz w:val="24"/>
              </w:rPr>
            </w:pPr>
            <w:r>
              <w:rPr>
                <w:rFonts w:ascii="Times New Roman" w:hAnsi="Times New Roman"/>
                <w:color w:val="000000"/>
                <w:sz w:val="24"/>
              </w:rPr>
              <w:t>1.1</w:t>
            </w:r>
          </w:p>
        </w:tc>
        <w:tc>
          <w:tcPr>
            <w:tcW w:w="1320" w:type="dxa"/>
            <w:tcBorders>
              <w:tl2br w:val="nil"/>
              <w:tr2bl w:val="nil"/>
            </w:tcBorders>
            <w:vAlign w:val="center"/>
          </w:tcPr>
          <w:p w14:paraId="7ED131DE">
            <w:pPr>
              <w:widowControl/>
              <w:spacing w:line="360" w:lineRule="auto"/>
              <w:jc w:val="center"/>
              <w:rPr>
                <w:rFonts w:ascii="Times New Roman" w:hAnsi="Times New Roman"/>
                <w:color w:val="000000"/>
                <w:sz w:val="24"/>
              </w:rPr>
            </w:pPr>
            <w:r>
              <w:rPr>
                <w:rFonts w:ascii="Times New Roman" w:hAnsi="Times New Roman"/>
                <w:color w:val="000000"/>
                <w:sz w:val="24"/>
              </w:rPr>
              <w:t>价格</w:t>
            </w:r>
          </w:p>
        </w:tc>
        <w:tc>
          <w:tcPr>
            <w:tcW w:w="6377" w:type="dxa"/>
            <w:tcBorders>
              <w:tl2br w:val="nil"/>
              <w:tr2bl w:val="nil"/>
            </w:tcBorders>
            <w:vAlign w:val="center"/>
          </w:tcPr>
          <w:p w14:paraId="3A732076">
            <w:pPr>
              <w:widowControl/>
              <w:spacing w:line="360" w:lineRule="auto"/>
              <w:rPr>
                <w:rFonts w:ascii="Times New Roman" w:hAnsi="Times New Roman"/>
                <w:color w:val="000000"/>
                <w:sz w:val="24"/>
              </w:rPr>
            </w:pPr>
            <w:r>
              <w:rPr>
                <w:rFonts w:ascii="Times New Roman" w:hAnsi="Times New Roman"/>
                <w:color w:val="000000"/>
                <w:sz w:val="24"/>
              </w:rPr>
              <w:t>采用低价优先法计算，即满足</w:t>
            </w:r>
            <w:r>
              <w:rPr>
                <w:rFonts w:hint="eastAsia" w:ascii="Times New Roman" w:hAnsi="Times New Roman"/>
                <w:color w:val="000000"/>
                <w:sz w:val="24"/>
              </w:rPr>
              <w:t>磋商</w:t>
            </w:r>
            <w:r>
              <w:rPr>
                <w:rFonts w:ascii="Times New Roman" w:hAnsi="Times New Roman"/>
                <w:color w:val="000000"/>
                <w:sz w:val="24"/>
              </w:rPr>
              <w:t>文件要求且最终报价最低的为评审基准价，其价格分为满分。其他供应商的价格分统一按照下列公式计算：报价得分=（评标基准价/最终报价）×1</w:t>
            </w:r>
            <w:r>
              <w:rPr>
                <w:rFonts w:hint="eastAsia" w:ascii="Times New Roman" w:hAnsi="Times New Roman"/>
                <w:color w:val="000000"/>
                <w:sz w:val="24"/>
              </w:rPr>
              <w:t>5</w:t>
            </w:r>
            <w:r>
              <w:rPr>
                <w:rFonts w:hint="eastAsia" w:ascii="Times New Roman" w:hAnsi="Times New Roman"/>
                <w:b/>
                <w:bCs/>
                <w:color w:val="000000"/>
                <w:sz w:val="24"/>
              </w:rPr>
              <w:t>（保留小数点后两位）</w:t>
            </w:r>
          </w:p>
        </w:tc>
        <w:tc>
          <w:tcPr>
            <w:tcW w:w="708" w:type="dxa"/>
            <w:tcBorders>
              <w:tl2br w:val="nil"/>
              <w:tr2bl w:val="nil"/>
            </w:tcBorders>
            <w:vAlign w:val="center"/>
          </w:tcPr>
          <w:p w14:paraId="6DB130CC">
            <w:pPr>
              <w:widowControl/>
              <w:spacing w:line="360" w:lineRule="auto"/>
              <w:jc w:val="center"/>
              <w:rPr>
                <w:rFonts w:ascii="Times New Roman" w:hAnsi="Times New Roman"/>
                <w:color w:val="000000"/>
                <w:sz w:val="24"/>
              </w:rPr>
            </w:pPr>
            <w:r>
              <w:rPr>
                <w:rFonts w:ascii="Times New Roman" w:hAnsi="Times New Roman"/>
                <w:color w:val="000000"/>
                <w:sz w:val="24"/>
              </w:rPr>
              <w:t>1</w:t>
            </w:r>
            <w:r>
              <w:rPr>
                <w:rFonts w:hint="eastAsia" w:ascii="Times New Roman" w:hAnsi="Times New Roman"/>
                <w:color w:val="000000"/>
                <w:sz w:val="24"/>
              </w:rPr>
              <w:t>5</w:t>
            </w:r>
          </w:p>
        </w:tc>
      </w:tr>
      <w:tr w14:paraId="4FD7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256" w:type="dxa"/>
            <w:gridSpan w:val="4"/>
            <w:tcBorders>
              <w:tl2br w:val="nil"/>
              <w:tr2bl w:val="nil"/>
            </w:tcBorders>
            <w:vAlign w:val="center"/>
          </w:tcPr>
          <w:p w14:paraId="2EBAD054">
            <w:pPr>
              <w:widowControl/>
              <w:spacing w:line="360" w:lineRule="auto"/>
              <w:rPr>
                <w:rFonts w:ascii="Times New Roman" w:hAnsi="Times New Roman"/>
                <w:color w:val="000000"/>
                <w:sz w:val="24"/>
              </w:rPr>
            </w:pPr>
            <w:r>
              <w:rPr>
                <w:rFonts w:ascii="Times New Roman" w:hAnsi="Times New Roman"/>
                <w:b/>
                <w:bCs/>
                <w:color w:val="000000"/>
                <w:sz w:val="24"/>
              </w:rPr>
              <w:t>（二）技术</w:t>
            </w:r>
          </w:p>
        </w:tc>
      </w:tr>
      <w:tr w14:paraId="0B74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51" w:type="dxa"/>
            <w:tcBorders>
              <w:tl2br w:val="nil"/>
              <w:tr2bl w:val="nil"/>
            </w:tcBorders>
            <w:vAlign w:val="center"/>
          </w:tcPr>
          <w:p w14:paraId="012E908B">
            <w:pPr>
              <w:widowControl/>
              <w:spacing w:line="360" w:lineRule="auto"/>
              <w:jc w:val="center"/>
              <w:rPr>
                <w:rFonts w:ascii="Times New Roman" w:hAnsi="Times New Roman"/>
                <w:color w:val="000000"/>
                <w:sz w:val="24"/>
              </w:rPr>
            </w:pPr>
            <w:r>
              <w:rPr>
                <w:rFonts w:hint="eastAsia" w:ascii="Times New Roman" w:hAnsi="Times New Roman"/>
                <w:color w:val="000000"/>
                <w:sz w:val="24"/>
              </w:rPr>
              <w:t>2.1</w:t>
            </w:r>
          </w:p>
        </w:tc>
        <w:tc>
          <w:tcPr>
            <w:tcW w:w="1320" w:type="dxa"/>
            <w:tcBorders>
              <w:tl2br w:val="nil"/>
              <w:tr2bl w:val="nil"/>
            </w:tcBorders>
            <w:vAlign w:val="center"/>
          </w:tcPr>
          <w:p w14:paraId="726BE0E3">
            <w:pPr>
              <w:widowControl/>
              <w:spacing w:line="360" w:lineRule="auto"/>
              <w:jc w:val="center"/>
              <w:rPr>
                <w:rFonts w:ascii="Times New Roman" w:hAnsi="Times New Roman"/>
                <w:color w:val="000000"/>
                <w:sz w:val="24"/>
              </w:rPr>
            </w:pPr>
            <w:r>
              <w:rPr>
                <w:rFonts w:hint="eastAsia" w:ascii="Times New Roman" w:hAnsi="Times New Roman"/>
                <w:color w:val="000000"/>
                <w:sz w:val="24"/>
              </w:rPr>
              <w:t>服务响应情况</w:t>
            </w:r>
          </w:p>
        </w:tc>
        <w:tc>
          <w:tcPr>
            <w:tcW w:w="6377" w:type="dxa"/>
            <w:tcBorders>
              <w:tl2br w:val="nil"/>
              <w:tr2bl w:val="nil"/>
            </w:tcBorders>
            <w:vAlign w:val="center"/>
          </w:tcPr>
          <w:p w14:paraId="2F9F4DBE">
            <w:pPr>
              <w:widowControl/>
              <w:spacing w:line="360" w:lineRule="auto"/>
              <w:rPr>
                <w:rFonts w:ascii="Times New Roman" w:hAnsi="Times New Roman"/>
                <w:color w:val="000000"/>
                <w:sz w:val="24"/>
              </w:rPr>
            </w:pPr>
            <w:r>
              <w:rPr>
                <w:rFonts w:hint="eastAsia" w:ascii="Times New Roman" w:hAnsi="Times New Roman"/>
                <w:color w:val="000000"/>
                <w:sz w:val="24"/>
              </w:rPr>
              <w:t>服务</w:t>
            </w:r>
            <w:r>
              <w:rPr>
                <w:rFonts w:ascii="Times New Roman" w:hAnsi="Times New Roman"/>
                <w:color w:val="000000"/>
                <w:sz w:val="24"/>
              </w:rPr>
              <w:t>全部满足</w:t>
            </w:r>
            <w:r>
              <w:rPr>
                <w:rFonts w:hint="eastAsia" w:ascii="Times New Roman" w:hAnsi="Times New Roman"/>
                <w:color w:val="000000"/>
                <w:sz w:val="24"/>
              </w:rPr>
              <w:t>采购</w:t>
            </w:r>
            <w:r>
              <w:rPr>
                <w:rFonts w:ascii="Times New Roman" w:hAnsi="Times New Roman"/>
                <w:color w:val="000000"/>
                <w:sz w:val="24"/>
              </w:rPr>
              <w:t>要求的得满分</w:t>
            </w:r>
            <w:r>
              <w:rPr>
                <w:rFonts w:hint="eastAsia" w:ascii="Times New Roman" w:hAnsi="Times New Roman"/>
                <w:color w:val="000000"/>
                <w:sz w:val="24"/>
              </w:rPr>
              <w:t>，</w:t>
            </w:r>
            <w:r>
              <w:rPr>
                <w:rFonts w:ascii="Times New Roman" w:hAnsi="Times New Roman"/>
                <w:color w:val="000000"/>
                <w:sz w:val="24"/>
              </w:rPr>
              <w:t>打</w:t>
            </w:r>
            <w:r>
              <w:rPr>
                <w:rFonts w:ascii="Segoe UI Symbol" w:hAnsi="Segoe UI Symbol" w:cs="Segoe UI Symbol"/>
                <w:color w:val="000000"/>
                <w:sz w:val="24"/>
              </w:rPr>
              <w:t>★</w:t>
            </w:r>
            <w:r>
              <w:rPr>
                <w:rFonts w:ascii="Times New Roman" w:hAnsi="Times New Roman"/>
                <w:color w:val="000000"/>
                <w:sz w:val="24"/>
              </w:rPr>
              <w:t>指标为必须满足项，如有负偏离将作为无效投标</w:t>
            </w:r>
            <w:r>
              <w:rPr>
                <w:rFonts w:hint="eastAsia" w:ascii="Times New Roman" w:hAnsi="Times New Roman"/>
                <w:color w:val="000000"/>
                <w:sz w:val="24"/>
              </w:rPr>
              <w:t>，</w:t>
            </w:r>
            <w:r>
              <w:rPr>
                <w:rFonts w:ascii="Times New Roman" w:hAnsi="Times New Roman"/>
                <w:color w:val="000000"/>
                <w:sz w:val="24"/>
              </w:rPr>
              <w:t>打▲指标为重要指标，</w:t>
            </w:r>
            <w:r>
              <w:rPr>
                <w:rFonts w:hint="eastAsia" w:ascii="Times New Roman" w:hAnsi="Times New Roman"/>
                <w:color w:val="000000"/>
                <w:sz w:val="24"/>
              </w:rPr>
              <w:t>有1项负偏离扣2分，其余指标有1项负偏离扣1分。</w:t>
            </w:r>
          </w:p>
        </w:tc>
        <w:tc>
          <w:tcPr>
            <w:tcW w:w="708" w:type="dxa"/>
            <w:tcBorders>
              <w:tl2br w:val="nil"/>
              <w:tr2bl w:val="nil"/>
            </w:tcBorders>
            <w:vAlign w:val="center"/>
          </w:tcPr>
          <w:p w14:paraId="0D7638FC">
            <w:pPr>
              <w:widowControl/>
              <w:spacing w:line="360" w:lineRule="auto"/>
              <w:jc w:val="center"/>
              <w:rPr>
                <w:rFonts w:ascii="Times New Roman" w:hAnsi="Times New Roman"/>
                <w:color w:val="000000"/>
                <w:sz w:val="24"/>
              </w:rPr>
            </w:pPr>
            <w:r>
              <w:rPr>
                <w:rFonts w:hint="eastAsia" w:ascii="Times New Roman" w:hAnsi="Times New Roman"/>
                <w:color w:val="000000"/>
                <w:sz w:val="24"/>
              </w:rPr>
              <w:t>11</w:t>
            </w:r>
          </w:p>
        </w:tc>
      </w:tr>
      <w:tr w14:paraId="4E9AB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51" w:type="dxa"/>
            <w:tcBorders>
              <w:tl2br w:val="nil"/>
              <w:tr2bl w:val="nil"/>
            </w:tcBorders>
            <w:vAlign w:val="center"/>
          </w:tcPr>
          <w:p w14:paraId="06DF0D1B">
            <w:pPr>
              <w:widowControl/>
              <w:spacing w:line="360" w:lineRule="auto"/>
              <w:jc w:val="center"/>
              <w:rPr>
                <w:rFonts w:ascii="Times New Roman" w:hAnsi="Times New Roman"/>
                <w:color w:val="000000"/>
                <w:sz w:val="24"/>
              </w:rPr>
            </w:pPr>
            <w:r>
              <w:rPr>
                <w:rFonts w:ascii="Times New Roman" w:hAnsi="Times New Roman"/>
                <w:color w:val="000000"/>
                <w:sz w:val="24"/>
              </w:rPr>
              <w:t>2.</w:t>
            </w:r>
            <w:r>
              <w:rPr>
                <w:rFonts w:hint="eastAsia" w:ascii="Times New Roman" w:hAnsi="Times New Roman"/>
                <w:color w:val="000000"/>
                <w:sz w:val="24"/>
              </w:rPr>
              <w:t>2</w:t>
            </w:r>
          </w:p>
        </w:tc>
        <w:tc>
          <w:tcPr>
            <w:tcW w:w="1320" w:type="dxa"/>
            <w:tcBorders>
              <w:tl2br w:val="nil"/>
              <w:tr2bl w:val="nil"/>
            </w:tcBorders>
            <w:vAlign w:val="center"/>
          </w:tcPr>
          <w:p w14:paraId="36066AE0">
            <w:pPr>
              <w:widowControl/>
              <w:spacing w:line="360" w:lineRule="auto"/>
              <w:jc w:val="center"/>
              <w:rPr>
                <w:rFonts w:ascii="Times New Roman" w:hAnsi="Times New Roman"/>
                <w:color w:val="000000"/>
                <w:sz w:val="24"/>
              </w:rPr>
            </w:pPr>
            <w:r>
              <w:rPr>
                <w:rFonts w:ascii="Times New Roman" w:hAnsi="Times New Roman"/>
                <w:color w:val="000000"/>
                <w:sz w:val="24"/>
              </w:rPr>
              <w:t>需求分析报告</w:t>
            </w:r>
          </w:p>
        </w:tc>
        <w:tc>
          <w:tcPr>
            <w:tcW w:w="6377" w:type="dxa"/>
            <w:tcBorders>
              <w:tl2br w:val="nil"/>
              <w:tr2bl w:val="nil"/>
            </w:tcBorders>
          </w:tcPr>
          <w:p w14:paraId="78B4543F">
            <w:pPr>
              <w:widowControl/>
              <w:spacing w:line="360" w:lineRule="auto"/>
              <w:rPr>
                <w:rFonts w:ascii="Times New Roman" w:hAnsi="Times New Roman"/>
                <w:color w:val="000000"/>
                <w:sz w:val="24"/>
              </w:rPr>
            </w:pPr>
            <w:r>
              <w:rPr>
                <w:rFonts w:hint="eastAsia" w:ascii="Times New Roman" w:hAnsi="Times New Roman"/>
                <w:color w:val="000000"/>
                <w:sz w:val="24"/>
              </w:rPr>
              <w:t>需求分析报告对采购人现状及业务、技术需求有充分认识和理解，分析科学深入，对于维保服务重点、难点具有明确合理的应对措施，得10分；</w:t>
            </w:r>
          </w:p>
          <w:p w14:paraId="3910FF94">
            <w:pPr>
              <w:widowControl/>
              <w:spacing w:line="360" w:lineRule="auto"/>
              <w:rPr>
                <w:rFonts w:ascii="Times New Roman" w:hAnsi="Times New Roman"/>
                <w:color w:val="000000"/>
                <w:sz w:val="24"/>
              </w:rPr>
            </w:pPr>
            <w:r>
              <w:rPr>
                <w:rFonts w:hint="eastAsia" w:ascii="Times New Roman" w:hAnsi="Times New Roman"/>
                <w:color w:val="000000"/>
                <w:sz w:val="24"/>
              </w:rPr>
              <w:t>需求分析报告对采购人现状及业务、技术需求认识和理解不够充分，分析不够科学深入，对于维保服务重点、难点的应对措施考虑不全面，得7分；</w:t>
            </w:r>
          </w:p>
          <w:p w14:paraId="5C29B2FF">
            <w:pPr>
              <w:widowControl/>
              <w:spacing w:line="360" w:lineRule="auto"/>
              <w:rPr>
                <w:rFonts w:ascii="Times New Roman" w:hAnsi="Times New Roman"/>
                <w:color w:val="000000"/>
                <w:sz w:val="24"/>
              </w:rPr>
            </w:pPr>
            <w:r>
              <w:rPr>
                <w:rFonts w:hint="eastAsia" w:ascii="Times New Roman" w:hAnsi="Times New Roman"/>
                <w:color w:val="000000"/>
                <w:sz w:val="24"/>
              </w:rPr>
              <w:t>需求分析报告对采购人现状及业务、技术需求没有认识和理解，分析浅显，对于维保服务重点、难点未做考虑，得4分；</w:t>
            </w:r>
          </w:p>
          <w:p w14:paraId="392B4A3F">
            <w:pPr>
              <w:widowControl/>
              <w:spacing w:line="360" w:lineRule="auto"/>
              <w:rPr>
                <w:rFonts w:ascii="Times New Roman" w:hAnsi="Times New Roman"/>
                <w:color w:val="000000"/>
                <w:sz w:val="24"/>
              </w:rPr>
            </w:pPr>
            <w:r>
              <w:rPr>
                <w:rFonts w:hint="eastAsia" w:ascii="Times New Roman" w:hAnsi="Times New Roman"/>
                <w:color w:val="000000"/>
                <w:sz w:val="24"/>
              </w:rPr>
              <w:t>未提供需求分析报告或需求报告与项目严重不符，本项得0分。</w:t>
            </w:r>
          </w:p>
        </w:tc>
        <w:tc>
          <w:tcPr>
            <w:tcW w:w="708" w:type="dxa"/>
            <w:tcBorders>
              <w:tl2br w:val="nil"/>
              <w:tr2bl w:val="nil"/>
            </w:tcBorders>
            <w:vAlign w:val="center"/>
          </w:tcPr>
          <w:p w14:paraId="4CCC2455">
            <w:pPr>
              <w:widowControl/>
              <w:spacing w:line="360" w:lineRule="auto"/>
              <w:jc w:val="center"/>
              <w:rPr>
                <w:rFonts w:ascii="Times New Roman" w:hAnsi="Times New Roman"/>
                <w:color w:val="000000"/>
                <w:sz w:val="24"/>
              </w:rPr>
            </w:pPr>
            <w:r>
              <w:rPr>
                <w:rFonts w:hint="eastAsia" w:ascii="Times New Roman" w:hAnsi="Times New Roman"/>
                <w:color w:val="000000"/>
                <w:sz w:val="24"/>
              </w:rPr>
              <w:t>10</w:t>
            </w:r>
          </w:p>
        </w:tc>
      </w:tr>
      <w:tr w14:paraId="4DEC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51" w:type="dxa"/>
            <w:tcBorders>
              <w:tl2br w:val="nil"/>
              <w:tr2bl w:val="nil"/>
            </w:tcBorders>
            <w:vAlign w:val="center"/>
          </w:tcPr>
          <w:p w14:paraId="28688853">
            <w:pPr>
              <w:widowControl/>
              <w:spacing w:line="360" w:lineRule="auto"/>
              <w:jc w:val="center"/>
              <w:rPr>
                <w:rFonts w:ascii="Times New Roman" w:hAnsi="Times New Roman"/>
                <w:color w:val="000000"/>
                <w:sz w:val="24"/>
              </w:rPr>
            </w:pPr>
            <w:r>
              <w:rPr>
                <w:rFonts w:hint="eastAsia" w:ascii="Times New Roman" w:hAnsi="Times New Roman"/>
                <w:color w:val="000000"/>
                <w:sz w:val="24"/>
              </w:rPr>
              <w:t>2.3</w:t>
            </w:r>
          </w:p>
        </w:tc>
        <w:tc>
          <w:tcPr>
            <w:tcW w:w="1320" w:type="dxa"/>
            <w:tcBorders>
              <w:tl2br w:val="nil"/>
              <w:tr2bl w:val="nil"/>
            </w:tcBorders>
            <w:vAlign w:val="center"/>
          </w:tcPr>
          <w:p w14:paraId="4D42B07E">
            <w:pPr>
              <w:widowControl/>
              <w:spacing w:line="360" w:lineRule="auto"/>
              <w:jc w:val="center"/>
              <w:rPr>
                <w:rFonts w:ascii="Times New Roman" w:hAnsi="Times New Roman"/>
                <w:color w:val="000000"/>
                <w:sz w:val="24"/>
              </w:rPr>
            </w:pPr>
            <w:r>
              <w:rPr>
                <w:rFonts w:hint="eastAsia" w:ascii="Times New Roman" w:hAnsi="Times New Roman"/>
                <w:color w:val="000000"/>
                <w:sz w:val="24"/>
              </w:rPr>
              <w:t>总体实施方案</w:t>
            </w:r>
          </w:p>
        </w:tc>
        <w:tc>
          <w:tcPr>
            <w:tcW w:w="6377" w:type="dxa"/>
            <w:tcBorders>
              <w:tl2br w:val="nil"/>
              <w:tr2bl w:val="nil"/>
            </w:tcBorders>
          </w:tcPr>
          <w:p w14:paraId="079D168F">
            <w:pPr>
              <w:widowControl/>
              <w:spacing w:line="360" w:lineRule="auto"/>
              <w:rPr>
                <w:rFonts w:ascii="Times New Roman" w:hAnsi="Times New Roman"/>
                <w:color w:val="000000"/>
                <w:sz w:val="24"/>
              </w:rPr>
            </w:pPr>
            <w:r>
              <w:rPr>
                <w:rFonts w:hint="eastAsia" w:ascii="Times New Roman" w:hAnsi="Times New Roman"/>
                <w:color w:val="000000"/>
                <w:sz w:val="24"/>
              </w:rPr>
              <w:t>总体实施方案全面，具有合理的服务体系、组织架构，具有明确的进度控制、风险控制管理、质量保障措施、信息安全管理措施、文档管理措施，得10分；</w:t>
            </w:r>
          </w:p>
          <w:p w14:paraId="30772618">
            <w:pPr>
              <w:widowControl/>
              <w:spacing w:line="360" w:lineRule="auto"/>
              <w:rPr>
                <w:rFonts w:ascii="Times New Roman" w:hAnsi="Times New Roman"/>
                <w:color w:val="000000"/>
                <w:sz w:val="24"/>
              </w:rPr>
            </w:pPr>
            <w:r>
              <w:rPr>
                <w:rFonts w:hint="eastAsia" w:ascii="Times New Roman" w:hAnsi="Times New Roman"/>
                <w:color w:val="000000"/>
                <w:sz w:val="24"/>
              </w:rPr>
              <w:t>总体实施方案不够全面，服务体系、组织架构不够合理，进度控制、风险控制管理、质量保障措施、信息安全管理措施、文档管理措施不全，得7分；</w:t>
            </w:r>
          </w:p>
          <w:p w14:paraId="65FD3EC2">
            <w:pPr>
              <w:widowControl/>
              <w:spacing w:line="360" w:lineRule="auto"/>
              <w:rPr>
                <w:rFonts w:ascii="Times New Roman" w:hAnsi="Times New Roman"/>
                <w:color w:val="000000"/>
                <w:sz w:val="24"/>
              </w:rPr>
            </w:pPr>
            <w:r>
              <w:rPr>
                <w:rFonts w:hint="eastAsia" w:ascii="Times New Roman" w:hAnsi="Times New Roman"/>
                <w:color w:val="000000"/>
                <w:sz w:val="24"/>
              </w:rPr>
              <w:t>实施方案不全面，服务体系、组织架构不合理，进度控制、风险控制管理、质量保障措施、信息安全管理措施、文档管理措施严重缺漏，得4分；</w:t>
            </w:r>
          </w:p>
          <w:p w14:paraId="1279B189">
            <w:pPr>
              <w:widowControl/>
              <w:spacing w:line="360" w:lineRule="auto"/>
              <w:rPr>
                <w:rFonts w:ascii="Times New Roman" w:hAnsi="Times New Roman"/>
                <w:color w:val="000000"/>
                <w:sz w:val="24"/>
              </w:rPr>
            </w:pPr>
            <w:r>
              <w:rPr>
                <w:rFonts w:hint="eastAsia" w:ascii="Times New Roman" w:hAnsi="Times New Roman"/>
                <w:color w:val="000000"/>
                <w:sz w:val="24"/>
              </w:rPr>
              <w:t>未提供总体实施方案或方案与项目严重不符，本项得0分。</w:t>
            </w:r>
          </w:p>
        </w:tc>
        <w:tc>
          <w:tcPr>
            <w:tcW w:w="708" w:type="dxa"/>
            <w:tcBorders>
              <w:tl2br w:val="nil"/>
              <w:tr2bl w:val="nil"/>
            </w:tcBorders>
            <w:vAlign w:val="center"/>
          </w:tcPr>
          <w:p w14:paraId="619C8D7D">
            <w:pPr>
              <w:widowControl/>
              <w:spacing w:line="360" w:lineRule="auto"/>
              <w:jc w:val="center"/>
              <w:rPr>
                <w:rFonts w:ascii="Times New Roman" w:hAnsi="Times New Roman"/>
                <w:color w:val="000000"/>
                <w:sz w:val="24"/>
              </w:rPr>
            </w:pPr>
            <w:r>
              <w:rPr>
                <w:rFonts w:hint="eastAsia" w:ascii="Times New Roman" w:hAnsi="Times New Roman"/>
                <w:color w:val="000000"/>
                <w:sz w:val="24"/>
              </w:rPr>
              <w:t>10</w:t>
            </w:r>
          </w:p>
        </w:tc>
      </w:tr>
      <w:tr w14:paraId="173D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851" w:type="dxa"/>
            <w:tcBorders>
              <w:tl2br w:val="nil"/>
              <w:tr2bl w:val="nil"/>
            </w:tcBorders>
            <w:vAlign w:val="center"/>
          </w:tcPr>
          <w:p w14:paraId="4133919A">
            <w:pPr>
              <w:widowControl/>
              <w:spacing w:line="360" w:lineRule="auto"/>
              <w:jc w:val="center"/>
              <w:rPr>
                <w:rFonts w:ascii="Times New Roman" w:hAnsi="Times New Roman"/>
                <w:color w:val="000000"/>
                <w:kern w:val="0"/>
                <w:sz w:val="24"/>
              </w:rPr>
            </w:pPr>
            <w:r>
              <w:rPr>
                <w:rFonts w:ascii="Times New Roman" w:hAnsi="Times New Roman"/>
                <w:color w:val="000000"/>
                <w:kern w:val="0"/>
                <w:sz w:val="24"/>
              </w:rPr>
              <w:t>2.</w:t>
            </w:r>
            <w:r>
              <w:rPr>
                <w:rFonts w:hint="eastAsia" w:ascii="Times New Roman" w:hAnsi="Times New Roman"/>
                <w:color w:val="000000"/>
                <w:kern w:val="0"/>
                <w:sz w:val="24"/>
              </w:rPr>
              <w:t>4</w:t>
            </w:r>
          </w:p>
        </w:tc>
        <w:tc>
          <w:tcPr>
            <w:tcW w:w="1320" w:type="dxa"/>
            <w:tcBorders>
              <w:tl2br w:val="nil"/>
              <w:tr2bl w:val="nil"/>
            </w:tcBorders>
            <w:vAlign w:val="center"/>
          </w:tcPr>
          <w:p w14:paraId="7265A3C6">
            <w:pPr>
              <w:widowControl/>
              <w:spacing w:line="360" w:lineRule="auto"/>
              <w:jc w:val="center"/>
              <w:rPr>
                <w:rFonts w:ascii="Times New Roman" w:hAnsi="Times New Roman"/>
                <w:color w:val="000000"/>
                <w:kern w:val="0"/>
                <w:sz w:val="24"/>
              </w:rPr>
            </w:pPr>
            <w:r>
              <w:rPr>
                <w:rFonts w:hint="eastAsia" w:ascii="宋体" w:hAnsi="宋体" w:cs="宋体"/>
                <w:color w:val="000000"/>
                <w:sz w:val="24"/>
              </w:rPr>
              <w:t>日常维保方案</w:t>
            </w:r>
          </w:p>
        </w:tc>
        <w:tc>
          <w:tcPr>
            <w:tcW w:w="6377" w:type="dxa"/>
            <w:tcBorders>
              <w:tl2br w:val="nil"/>
              <w:tr2bl w:val="nil"/>
            </w:tcBorders>
          </w:tcPr>
          <w:p w14:paraId="12F7A4E4">
            <w:pPr>
              <w:widowControl/>
              <w:spacing w:line="360" w:lineRule="auto"/>
              <w:rPr>
                <w:rFonts w:ascii="Times New Roman" w:hAnsi="Times New Roman"/>
                <w:color w:val="000000"/>
                <w:sz w:val="24"/>
              </w:rPr>
            </w:pPr>
            <w:r>
              <w:rPr>
                <w:rFonts w:hint="eastAsia" w:ascii="Times New Roman" w:hAnsi="Times New Roman"/>
                <w:color w:val="000000"/>
                <w:sz w:val="24"/>
              </w:rPr>
              <w:t>日常维保方案科学全面，能够针对本项目需求出具深度细化的维保服务内容，维保服务流程科学标准，具有合理的巡检及问题处理机制，得10分；</w:t>
            </w:r>
          </w:p>
          <w:p w14:paraId="417D8902">
            <w:pPr>
              <w:widowControl/>
              <w:spacing w:line="360" w:lineRule="auto"/>
              <w:rPr>
                <w:rFonts w:ascii="Times New Roman" w:hAnsi="Times New Roman"/>
                <w:color w:val="000000"/>
                <w:sz w:val="24"/>
              </w:rPr>
            </w:pPr>
            <w:r>
              <w:rPr>
                <w:rFonts w:hint="eastAsia" w:ascii="Times New Roman" w:hAnsi="Times New Roman"/>
                <w:color w:val="000000"/>
                <w:sz w:val="24"/>
              </w:rPr>
              <w:t>日常维保方案较全面，具有主要维保服务内容，维保服务流程标准，具有巡检及问题处理机制，得7分；</w:t>
            </w:r>
          </w:p>
          <w:p w14:paraId="07FDE4D3">
            <w:pPr>
              <w:widowControl/>
              <w:spacing w:line="360" w:lineRule="auto"/>
              <w:rPr>
                <w:rFonts w:ascii="Times New Roman" w:hAnsi="Times New Roman"/>
                <w:color w:val="000000"/>
                <w:sz w:val="24"/>
              </w:rPr>
            </w:pPr>
            <w:r>
              <w:rPr>
                <w:rFonts w:hint="eastAsia" w:ascii="Times New Roman" w:hAnsi="Times New Roman"/>
                <w:color w:val="000000"/>
                <w:sz w:val="24"/>
              </w:rPr>
              <w:t>日常维保方案不全，维保服务内容缺漏，维保服务流程混乱，缺乏巡检及问题处理机制，得4分；</w:t>
            </w:r>
          </w:p>
          <w:p w14:paraId="7E8CA199">
            <w:pPr>
              <w:widowControl/>
              <w:spacing w:line="360" w:lineRule="auto"/>
              <w:rPr>
                <w:rFonts w:ascii="Times New Roman" w:hAnsi="Times New Roman"/>
                <w:color w:val="000000"/>
                <w:kern w:val="0"/>
                <w:sz w:val="24"/>
              </w:rPr>
            </w:pPr>
            <w:r>
              <w:rPr>
                <w:rFonts w:hint="eastAsia" w:ascii="Times New Roman" w:hAnsi="Times New Roman"/>
                <w:color w:val="000000"/>
                <w:sz w:val="24"/>
              </w:rPr>
              <w:t>未提供日常维保方案或方案与项目严重不符，本项得0分。</w:t>
            </w:r>
          </w:p>
        </w:tc>
        <w:tc>
          <w:tcPr>
            <w:tcW w:w="708" w:type="dxa"/>
            <w:tcBorders>
              <w:tl2br w:val="nil"/>
              <w:tr2bl w:val="nil"/>
            </w:tcBorders>
            <w:vAlign w:val="center"/>
          </w:tcPr>
          <w:p w14:paraId="742053DA">
            <w:pPr>
              <w:widowControl/>
              <w:spacing w:line="360" w:lineRule="auto"/>
              <w:jc w:val="center"/>
              <w:rPr>
                <w:rFonts w:ascii="Times New Roman" w:hAnsi="Times New Roman"/>
                <w:color w:val="000000"/>
                <w:kern w:val="0"/>
                <w:sz w:val="24"/>
              </w:rPr>
            </w:pPr>
            <w:r>
              <w:rPr>
                <w:rFonts w:hint="eastAsia" w:ascii="Times New Roman" w:hAnsi="Times New Roman"/>
                <w:color w:val="000000"/>
                <w:kern w:val="0"/>
                <w:sz w:val="24"/>
              </w:rPr>
              <w:t>10</w:t>
            </w:r>
          </w:p>
        </w:tc>
      </w:tr>
      <w:tr w14:paraId="166E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 w:type="dxa"/>
            <w:tcBorders>
              <w:tl2br w:val="nil"/>
              <w:tr2bl w:val="nil"/>
            </w:tcBorders>
            <w:vAlign w:val="center"/>
          </w:tcPr>
          <w:p w14:paraId="3AEE1718">
            <w:pPr>
              <w:widowControl/>
              <w:spacing w:line="360" w:lineRule="auto"/>
              <w:jc w:val="center"/>
              <w:rPr>
                <w:rFonts w:ascii="Times New Roman" w:hAnsi="Times New Roman"/>
                <w:color w:val="000000"/>
                <w:sz w:val="24"/>
              </w:rPr>
            </w:pPr>
            <w:r>
              <w:rPr>
                <w:rFonts w:ascii="Times New Roman" w:hAnsi="Times New Roman"/>
                <w:color w:val="000000"/>
                <w:sz w:val="24"/>
              </w:rPr>
              <w:t>2.</w:t>
            </w:r>
            <w:r>
              <w:rPr>
                <w:rFonts w:hint="eastAsia" w:ascii="Times New Roman" w:hAnsi="Times New Roman"/>
                <w:color w:val="000000"/>
                <w:sz w:val="24"/>
              </w:rPr>
              <w:t>5</w:t>
            </w:r>
          </w:p>
        </w:tc>
        <w:tc>
          <w:tcPr>
            <w:tcW w:w="1320" w:type="dxa"/>
            <w:tcBorders>
              <w:tl2br w:val="nil"/>
              <w:tr2bl w:val="nil"/>
            </w:tcBorders>
            <w:vAlign w:val="center"/>
          </w:tcPr>
          <w:p w14:paraId="5AF8C53D">
            <w:pPr>
              <w:widowControl/>
              <w:spacing w:line="360" w:lineRule="auto"/>
              <w:jc w:val="center"/>
              <w:rPr>
                <w:rFonts w:ascii="Times New Roman" w:hAnsi="Times New Roman"/>
                <w:color w:val="000000"/>
                <w:sz w:val="24"/>
              </w:rPr>
            </w:pPr>
            <w:r>
              <w:rPr>
                <w:rFonts w:hint="eastAsia" w:ascii="宋体" w:hAnsi="宋体" w:cs="宋体"/>
                <w:color w:val="000000"/>
                <w:sz w:val="24"/>
              </w:rPr>
              <w:t>突发事件应急处理预案</w:t>
            </w:r>
          </w:p>
        </w:tc>
        <w:tc>
          <w:tcPr>
            <w:tcW w:w="6377" w:type="dxa"/>
            <w:tcBorders>
              <w:tl2br w:val="nil"/>
              <w:tr2bl w:val="nil"/>
            </w:tcBorders>
          </w:tcPr>
          <w:p w14:paraId="4B731068">
            <w:pPr>
              <w:widowControl/>
              <w:spacing w:line="360" w:lineRule="auto"/>
              <w:rPr>
                <w:rFonts w:ascii="Times New Roman" w:hAnsi="Times New Roman"/>
                <w:color w:val="000000"/>
                <w:sz w:val="24"/>
              </w:rPr>
            </w:pPr>
            <w:r>
              <w:rPr>
                <w:rFonts w:ascii="Times New Roman" w:hAnsi="Times New Roman"/>
                <w:color w:val="000000"/>
                <w:sz w:val="24"/>
              </w:rPr>
              <w:t>应急预案细化全面，应急措施科学合理，服务响应及时高效，应急保障人力及物资安排合理，得</w:t>
            </w:r>
            <w:r>
              <w:rPr>
                <w:rFonts w:hint="eastAsia" w:ascii="Times New Roman" w:hAnsi="Times New Roman"/>
                <w:color w:val="000000"/>
                <w:sz w:val="24"/>
              </w:rPr>
              <w:t>10</w:t>
            </w:r>
            <w:r>
              <w:rPr>
                <w:rFonts w:ascii="Times New Roman" w:hAnsi="Times New Roman"/>
                <w:color w:val="000000"/>
                <w:sz w:val="24"/>
              </w:rPr>
              <w:t>分；</w:t>
            </w:r>
          </w:p>
          <w:p w14:paraId="184944B8">
            <w:pPr>
              <w:widowControl/>
              <w:spacing w:line="360" w:lineRule="auto"/>
              <w:rPr>
                <w:rFonts w:ascii="Times New Roman" w:hAnsi="Times New Roman"/>
                <w:color w:val="000000"/>
                <w:sz w:val="24"/>
              </w:rPr>
            </w:pPr>
            <w:r>
              <w:rPr>
                <w:rFonts w:ascii="Times New Roman" w:hAnsi="Times New Roman"/>
                <w:color w:val="000000"/>
                <w:sz w:val="24"/>
              </w:rPr>
              <w:t>应急预案较全面，应急措施恰当，服务响应较及时，具有基本的应急保障人力及物资安排，得</w:t>
            </w:r>
            <w:r>
              <w:rPr>
                <w:rFonts w:hint="eastAsia" w:ascii="Times New Roman" w:hAnsi="Times New Roman"/>
                <w:color w:val="000000"/>
                <w:sz w:val="24"/>
              </w:rPr>
              <w:t>7</w:t>
            </w:r>
            <w:r>
              <w:rPr>
                <w:rFonts w:ascii="Times New Roman" w:hAnsi="Times New Roman"/>
                <w:color w:val="000000"/>
                <w:sz w:val="24"/>
              </w:rPr>
              <w:t>分；</w:t>
            </w:r>
          </w:p>
          <w:p w14:paraId="4DDDFFA4">
            <w:pPr>
              <w:widowControl/>
              <w:spacing w:line="360" w:lineRule="auto"/>
              <w:rPr>
                <w:rFonts w:ascii="Times New Roman" w:hAnsi="Times New Roman"/>
                <w:color w:val="000000"/>
                <w:sz w:val="24"/>
              </w:rPr>
            </w:pPr>
            <w:r>
              <w:rPr>
                <w:rFonts w:ascii="Times New Roman" w:hAnsi="Times New Roman"/>
                <w:color w:val="000000"/>
                <w:sz w:val="24"/>
              </w:rPr>
              <w:t>应急预案不全，应急措施混乱，服务响应时间滞后，未考虑人力及物资安排或安排不合理，得</w:t>
            </w:r>
            <w:r>
              <w:rPr>
                <w:rFonts w:hint="eastAsia" w:ascii="Times New Roman" w:hAnsi="Times New Roman"/>
                <w:color w:val="000000"/>
                <w:sz w:val="24"/>
              </w:rPr>
              <w:t>4</w:t>
            </w:r>
            <w:r>
              <w:rPr>
                <w:rFonts w:ascii="Times New Roman" w:hAnsi="Times New Roman"/>
                <w:color w:val="000000"/>
                <w:sz w:val="24"/>
              </w:rPr>
              <w:t>分；</w:t>
            </w:r>
          </w:p>
          <w:p w14:paraId="01CB477D">
            <w:pPr>
              <w:widowControl/>
              <w:spacing w:line="360" w:lineRule="auto"/>
              <w:rPr>
                <w:rFonts w:ascii="Times New Roman" w:hAnsi="Times New Roman"/>
                <w:color w:val="000000"/>
                <w:sz w:val="24"/>
              </w:rPr>
            </w:pPr>
            <w:r>
              <w:rPr>
                <w:rFonts w:ascii="Times New Roman" w:hAnsi="Times New Roman"/>
                <w:color w:val="000000"/>
                <w:sz w:val="24"/>
              </w:rPr>
              <w:t>未提供应急预案或预案与项目严重不符，本项得0分。</w:t>
            </w:r>
          </w:p>
        </w:tc>
        <w:tc>
          <w:tcPr>
            <w:tcW w:w="708" w:type="dxa"/>
            <w:tcBorders>
              <w:tl2br w:val="nil"/>
              <w:tr2bl w:val="nil"/>
            </w:tcBorders>
            <w:vAlign w:val="center"/>
          </w:tcPr>
          <w:p w14:paraId="6E8243C6">
            <w:pPr>
              <w:widowControl/>
              <w:spacing w:line="360" w:lineRule="auto"/>
              <w:jc w:val="center"/>
              <w:rPr>
                <w:rFonts w:ascii="Times New Roman" w:hAnsi="Times New Roman"/>
                <w:color w:val="000000"/>
                <w:sz w:val="24"/>
              </w:rPr>
            </w:pPr>
            <w:r>
              <w:rPr>
                <w:rFonts w:hint="eastAsia" w:ascii="Times New Roman" w:hAnsi="Times New Roman"/>
                <w:color w:val="000000"/>
                <w:sz w:val="24"/>
              </w:rPr>
              <w:t>10</w:t>
            </w:r>
          </w:p>
        </w:tc>
      </w:tr>
      <w:tr w14:paraId="10916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 w:type="dxa"/>
            <w:tcBorders>
              <w:tl2br w:val="nil"/>
              <w:tr2bl w:val="nil"/>
            </w:tcBorders>
            <w:vAlign w:val="center"/>
          </w:tcPr>
          <w:p w14:paraId="3A7C47C0">
            <w:pPr>
              <w:widowControl/>
              <w:spacing w:line="360" w:lineRule="auto"/>
              <w:jc w:val="center"/>
              <w:rPr>
                <w:rFonts w:ascii="Times New Roman" w:hAnsi="Times New Roman"/>
                <w:color w:val="000000"/>
                <w:sz w:val="24"/>
              </w:rPr>
            </w:pPr>
            <w:r>
              <w:rPr>
                <w:rFonts w:ascii="Times New Roman" w:hAnsi="Times New Roman"/>
                <w:color w:val="000000"/>
                <w:sz w:val="24"/>
              </w:rPr>
              <w:t>2.</w:t>
            </w:r>
            <w:r>
              <w:rPr>
                <w:rFonts w:hint="eastAsia" w:ascii="Times New Roman" w:hAnsi="Times New Roman"/>
                <w:color w:val="000000"/>
                <w:sz w:val="24"/>
              </w:rPr>
              <w:t>6</w:t>
            </w:r>
          </w:p>
        </w:tc>
        <w:tc>
          <w:tcPr>
            <w:tcW w:w="1320" w:type="dxa"/>
            <w:tcBorders>
              <w:tl2br w:val="nil"/>
              <w:tr2bl w:val="nil"/>
            </w:tcBorders>
            <w:vAlign w:val="center"/>
          </w:tcPr>
          <w:p w14:paraId="4CD967F7">
            <w:pPr>
              <w:widowControl/>
              <w:spacing w:line="360" w:lineRule="auto"/>
              <w:jc w:val="center"/>
              <w:rPr>
                <w:rFonts w:ascii="Times New Roman" w:hAnsi="Times New Roman"/>
                <w:color w:val="000000"/>
                <w:sz w:val="24"/>
              </w:rPr>
            </w:pPr>
            <w:r>
              <w:rPr>
                <w:rFonts w:hint="eastAsia" w:ascii="宋体" w:hAnsi="宋体" w:cs="宋体"/>
                <w:color w:val="000000"/>
                <w:sz w:val="24"/>
              </w:rPr>
              <w:t>系统漏洞整改服务方案</w:t>
            </w:r>
          </w:p>
        </w:tc>
        <w:tc>
          <w:tcPr>
            <w:tcW w:w="6377" w:type="dxa"/>
            <w:tcBorders>
              <w:tl2br w:val="nil"/>
              <w:tr2bl w:val="nil"/>
            </w:tcBorders>
            <w:vAlign w:val="center"/>
          </w:tcPr>
          <w:p w14:paraId="531F4430">
            <w:pPr>
              <w:widowControl/>
              <w:spacing w:line="360" w:lineRule="auto"/>
              <w:rPr>
                <w:rFonts w:ascii="Times New Roman" w:hAnsi="Times New Roman"/>
                <w:color w:val="000000"/>
                <w:sz w:val="24"/>
              </w:rPr>
            </w:pPr>
            <w:r>
              <w:rPr>
                <w:rFonts w:hint="eastAsia" w:ascii="宋体" w:hAnsi="宋体" w:cs="宋体"/>
                <w:color w:val="000000"/>
                <w:sz w:val="24"/>
              </w:rPr>
              <w:t>系</w:t>
            </w:r>
            <w:r>
              <w:rPr>
                <w:rFonts w:hint="eastAsia" w:ascii="Times New Roman" w:hAnsi="Times New Roman"/>
                <w:color w:val="000000"/>
                <w:sz w:val="24"/>
              </w:rPr>
              <w:t>统漏洞整改服务方案科学、合理、完整，能完全满足采购需求的，得10分；</w:t>
            </w:r>
          </w:p>
          <w:p w14:paraId="7187DA79">
            <w:pPr>
              <w:widowControl/>
              <w:spacing w:line="360" w:lineRule="auto"/>
              <w:rPr>
                <w:rFonts w:ascii="Times New Roman" w:hAnsi="Times New Roman"/>
                <w:color w:val="000000"/>
                <w:sz w:val="24"/>
              </w:rPr>
            </w:pPr>
            <w:r>
              <w:rPr>
                <w:rFonts w:hint="eastAsia" w:ascii="Times New Roman" w:hAnsi="Times New Roman"/>
                <w:color w:val="000000"/>
                <w:sz w:val="24"/>
              </w:rPr>
              <w:t>系统漏洞整改服务方案比较合理、完整，能较好的满足采购需求的，得7分；</w:t>
            </w:r>
          </w:p>
          <w:p w14:paraId="03D54986">
            <w:pPr>
              <w:widowControl/>
              <w:spacing w:line="360" w:lineRule="auto"/>
              <w:rPr>
                <w:rFonts w:ascii="Times New Roman" w:hAnsi="Times New Roman"/>
                <w:color w:val="000000"/>
                <w:sz w:val="24"/>
              </w:rPr>
            </w:pPr>
            <w:r>
              <w:rPr>
                <w:rFonts w:hint="eastAsia" w:ascii="Times New Roman" w:hAnsi="Times New Roman"/>
                <w:color w:val="000000"/>
                <w:sz w:val="24"/>
              </w:rPr>
              <w:t>系统漏洞整改服务方案基本合理、不够完整，能基本满足采购需求的，得4分；</w:t>
            </w:r>
          </w:p>
          <w:p w14:paraId="2CB85174">
            <w:pPr>
              <w:widowControl/>
              <w:spacing w:line="360" w:lineRule="auto"/>
              <w:rPr>
                <w:rFonts w:ascii="Times New Roman" w:hAnsi="Times New Roman"/>
                <w:color w:val="000000"/>
                <w:sz w:val="24"/>
              </w:rPr>
            </w:pPr>
            <w:r>
              <w:rPr>
                <w:rFonts w:ascii="Times New Roman" w:hAnsi="Times New Roman"/>
                <w:color w:val="000000"/>
                <w:sz w:val="24"/>
              </w:rPr>
              <w:t>未提供</w:t>
            </w:r>
            <w:r>
              <w:rPr>
                <w:rFonts w:hint="eastAsia" w:ascii="宋体" w:hAnsi="宋体" w:cs="宋体"/>
                <w:color w:val="000000"/>
                <w:sz w:val="24"/>
              </w:rPr>
              <w:t>系统漏洞整改服务方案</w:t>
            </w:r>
            <w:r>
              <w:rPr>
                <w:rFonts w:ascii="Times New Roman" w:hAnsi="Times New Roman"/>
                <w:color w:val="000000"/>
                <w:sz w:val="24"/>
              </w:rPr>
              <w:t>或</w:t>
            </w:r>
            <w:r>
              <w:rPr>
                <w:rFonts w:hint="eastAsia" w:ascii="Times New Roman" w:hAnsi="Times New Roman"/>
                <w:color w:val="000000"/>
                <w:sz w:val="24"/>
              </w:rPr>
              <w:t>方案</w:t>
            </w:r>
            <w:r>
              <w:rPr>
                <w:rFonts w:ascii="Times New Roman" w:hAnsi="Times New Roman"/>
                <w:color w:val="000000"/>
                <w:sz w:val="24"/>
              </w:rPr>
              <w:t>与项目严重不符，本项得0分。</w:t>
            </w:r>
          </w:p>
        </w:tc>
        <w:tc>
          <w:tcPr>
            <w:tcW w:w="708" w:type="dxa"/>
            <w:tcBorders>
              <w:tl2br w:val="nil"/>
              <w:tr2bl w:val="nil"/>
            </w:tcBorders>
            <w:vAlign w:val="center"/>
          </w:tcPr>
          <w:p w14:paraId="3619A310">
            <w:pPr>
              <w:widowControl/>
              <w:spacing w:line="360" w:lineRule="auto"/>
              <w:jc w:val="center"/>
              <w:rPr>
                <w:rFonts w:ascii="Times New Roman" w:hAnsi="Times New Roman"/>
                <w:color w:val="000000"/>
                <w:sz w:val="24"/>
              </w:rPr>
            </w:pPr>
            <w:r>
              <w:rPr>
                <w:rFonts w:hint="eastAsia" w:ascii="Times New Roman" w:hAnsi="Times New Roman"/>
                <w:color w:val="000000"/>
                <w:sz w:val="24"/>
              </w:rPr>
              <w:t>10</w:t>
            </w:r>
          </w:p>
        </w:tc>
      </w:tr>
      <w:tr w14:paraId="262F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9256" w:type="dxa"/>
            <w:gridSpan w:val="4"/>
            <w:tcBorders>
              <w:tl2br w:val="nil"/>
              <w:tr2bl w:val="nil"/>
            </w:tcBorders>
            <w:vAlign w:val="center"/>
          </w:tcPr>
          <w:p w14:paraId="3A59E841">
            <w:pPr>
              <w:widowControl/>
              <w:spacing w:line="360" w:lineRule="auto"/>
              <w:rPr>
                <w:rFonts w:ascii="Times New Roman" w:hAnsi="Times New Roman"/>
                <w:color w:val="000000"/>
                <w:sz w:val="24"/>
              </w:rPr>
            </w:pPr>
            <w:r>
              <w:rPr>
                <w:rFonts w:ascii="Times New Roman" w:hAnsi="Times New Roman"/>
                <w:b/>
                <w:bCs/>
                <w:color w:val="000000"/>
                <w:sz w:val="24"/>
              </w:rPr>
              <w:t>（三）服务</w:t>
            </w:r>
            <w:r>
              <w:rPr>
                <w:rFonts w:hint="eastAsia" w:ascii="Times New Roman" w:hAnsi="Times New Roman"/>
                <w:b/>
                <w:bCs/>
                <w:color w:val="000000"/>
                <w:sz w:val="24"/>
              </w:rPr>
              <w:t>方案</w:t>
            </w:r>
          </w:p>
        </w:tc>
      </w:tr>
      <w:tr w14:paraId="5F57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51" w:type="dxa"/>
            <w:tcBorders>
              <w:tl2br w:val="nil"/>
              <w:tr2bl w:val="nil"/>
            </w:tcBorders>
            <w:vAlign w:val="center"/>
          </w:tcPr>
          <w:p w14:paraId="553241DE">
            <w:pPr>
              <w:widowControl/>
              <w:spacing w:line="360" w:lineRule="auto"/>
              <w:jc w:val="center"/>
              <w:rPr>
                <w:rFonts w:ascii="Times New Roman" w:hAnsi="Times New Roman"/>
                <w:color w:val="000000"/>
                <w:sz w:val="24"/>
              </w:rPr>
            </w:pPr>
            <w:r>
              <w:rPr>
                <w:rFonts w:ascii="Times New Roman" w:hAnsi="Times New Roman"/>
                <w:color w:val="000000"/>
                <w:sz w:val="24"/>
              </w:rPr>
              <w:t>3.</w:t>
            </w:r>
            <w:r>
              <w:rPr>
                <w:rFonts w:hint="eastAsia" w:ascii="Times New Roman" w:hAnsi="Times New Roman"/>
                <w:color w:val="000000"/>
                <w:sz w:val="24"/>
              </w:rPr>
              <w:t>1</w:t>
            </w:r>
          </w:p>
        </w:tc>
        <w:tc>
          <w:tcPr>
            <w:tcW w:w="1320" w:type="dxa"/>
            <w:tcBorders>
              <w:tl2br w:val="nil"/>
              <w:tr2bl w:val="nil"/>
            </w:tcBorders>
            <w:vAlign w:val="center"/>
          </w:tcPr>
          <w:p w14:paraId="0415D68A">
            <w:pPr>
              <w:widowControl/>
              <w:spacing w:line="360" w:lineRule="auto"/>
              <w:jc w:val="center"/>
              <w:rPr>
                <w:rFonts w:ascii="Times New Roman" w:hAnsi="Times New Roman"/>
                <w:color w:val="000000"/>
                <w:sz w:val="24"/>
              </w:rPr>
            </w:pPr>
            <w:r>
              <w:rPr>
                <w:rFonts w:ascii="Times New Roman" w:hAnsi="Times New Roman"/>
                <w:color w:val="000000"/>
                <w:sz w:val="24"/>
              </w:rPr>
              <w:t>培训方案</w:t>
            </w:r>
          </w:p>
        </w:tc>
        <w:tc>
          <w:tcPr>
            <w:tcW w:w="6377" w:type="dxa"/>
            <w:tcBorders>
              <w:tl2br w:val="nil"/>
              <w:tr2bl w:val="nil"/>
            </w:tcBorders>
            <w:vAlign w:val="center"/>
          </w:tcPr>
          <w:p w14:paraId="3BD414D9">
            <w:pPr>
              <w:widowControl/>
              <w:spacing w:line="360" w:lineRule="auto"/>
              <w:rPr>
                <w:rFonts w:ascii="Times New Roman" w:hAnsi="Times New Roman"/>
                <w:color w:val="000000"/>
                <w:sz w:val="24"/>
              </w:rPr>
            </w:pPr>
            <w:r>
              <w:rPr>
                <w:rFonts w:hint="eastAsia" w:ascii="Times New Roman" w:hAnsi="Times New Roman"/>
                <w:color w:val="000000"/>
                <w:sz w:val="24"/>
              </w:rPr>
              <w:t>培训方案全面合理有效，具有详细的培训计划、培训师资力量、培训内容，得10分；</w:t>
            </w:r>
          </w:p>
          <w:p w14:paraId="5230ADD6">
            <w:pPr>
              <w:widowControl/>
              <w:spacing w:line="360" w:lineRule="auto"/>
              <w:rPr>
                <w:rFonts w:ascii="Times New Roman" w:hAnsi="Times New Roman"/>
                <w:color w:val="000000"/>
                <w:sz w:val="24"/>
              </w:rPr>
            </w:pPr>
            <w:r>
              <w:rPr>
                <w:rFonts w:hint="eastAsia" w:ascii="Times New Roman" w:hAnsi="Times New Roman"/>
                <w:color w:val="000000"/>
                <w:sz w:val="24"/>
              </w:rPr>
              <w:t>培训方案基本合理有效，具有较为详细的培训计划、培训师资力量、培训内容，得7分；</w:t>
            </w:r>
          </w:p>
          <w:p w14:paraId="3089BEE3">
            <w:pPr>
              <w:widowControl/>
              <w:spacing w:line="360" w:lineRule="auto"/>
              <w:rPr>
                <w:rFonts w:ascii="Times New Roman" w:hAnsi="Times New Roman"/>
                <w:color w:val="000000"/>
                <w:sz w:val="24"/>
              </w:rPr>
            </w:pPr>
            <w:r>
              <w:rPr>
                <w:rFonts w:hint="eastAsia" w:ascii="Times New Roman" w:hAnsi="Times New Roman"/>
                <w:color w:val="000000"/>
                <w:sz w:val="24"/>
              </w:rPr>
              <w:t>培训方案不够全面，有效性欠缺，培训计划、培训师资力量、培训内容不够详细，得4分；</w:t>
            </w:r>
          </w:p>
          <w:p w14:paraId="6FB7A63D">
            <w:pPr>
              <w:widowControl/>
              <w:spacing w:line="360" w:lineRule="auto"/>
              <w:rPr>
                <w:rFonts w:ascii="Times New Roman" w:hAnsi="Times New Roman"/>
                <w:color w:val="000000"/>
                <w:sz w:val="24"/>
              </w:rPr>
            </w:pPr>
            <w:r>
              <w:rPr>
                <w:rFonts w:hint="eastAsia" w:ascii="Times New Roman" w:hAnsi="Times New Roman"/>
                <w:color w:val="000000"/>
                <w:sz w:val="24"/>
              </w:rPr>
              <w:t>培训方案片面，不具有执行有效性，培训计划、培训师资力量、培训内容不详细，得0分。</w:t>
            </w:r>
          </w:p>
        </w:tc>
        <w:tc>
          <w:tcPr>
            <w:tcW w:w="708" w:type="dxa"/>
            <w:tcBorders>
              <w:tl2br w:val="nil"/>
              <w:tr2bl w:val="nil"/>
            </w:tcBorders>
            <w:vAlign w:val="center"/>
          </w:tcPr>
          <w:p w14:paraId="73715F07">
            <w:pPr>
              <w:widowControl/>
              <w:spacing w:line="360" w:lineRule="auto"/>
              <w:jc w:val="center"/>
              <w:rPr>
                <w:rFonts w:ascii="Times New Roman" w:hAnsi="Times New Roman"/>
                <w:color w:val="000000"/>
                <w:sz w:val="24"/>
              </w:rPr>
            </w:pPr>
            <w:r>
              <w:rPr>
                <w:rFonts w:hint="eastAsia" w:ascii="Times New Roman" w:hAnsi="Times New Roman"/>
                <w:color w:val="000000"/>
                <w:sz w:val="24"/>
              </w:rPr>
              <w:t>10</w:t>
            </w:r>
          </w:p>
        </w:tc>
      </w:tr>
      <w:tr w14:paraId="69596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256" w:type="dxa"/>
            <w:gridSpan w:val="4"/>
            <w:tcBorders>
              <w:tl2br w:val="nil"/>
              <w:tr2bl w:val="nil"/>
            </w:tcBorders>
            <w:vAlign w:val="center"/>
          </w:tcPr>
          <w:p w14:paraId="4A98F770">
            <w:pPr>
              <w:widowControl/>
              <w:spacing w:line="360" w:lineRule="auto"/>
              <w:rPr>
                <w:rFonts w:ascii="Times New Roman" w:hAnsi="Times New Roman"/>
                <w:color w:val="000000"/>
                <w:sz w:val="24"/>
              </w:rPr>
            </w:pPr>
            <w:r>
              <w:rPr>
                <w:rFonts w:ascii="Times New Roman" w:hAnsi="Times New Roman"/>
                <w:b/>
                <w:bCs/>
                <w:color w:val="000000"/>
                <w:sz w:val="24"/>
              </w:rPr>
              <w:t>（四）业绩</w:t>
            </w:r>
          </w:p>
        </w:tc>
      </w:tr>
      <w:tr w14:paraId="1882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851" w:type="dxa"/>
            <w:tcBorders>
              <w:tl2br w:val="nil"/>
              <w:tr2bl w:val="nil"/>
            </w:tcBorders>
            <w:vAlign w:val="center"/>
          </w:tcPr>
          <w:p w14:paraId="24E72FE6">
            <w:pPr>
              <w:widowControl/>
              <w:spacing w:line="360" w:lineRule="auto"/>
              <w:jc w:val="center"/>
              <w:rPr>
                <w:rFonts w:ascii="Times New Roman" w:hAnsi="Times New Roman"/>
                <w:sz w:val="24"/>
              </w:rPr>
            </w:pPr>
            <w:r>
              <w:rPr>
                <w:rFonts w:ascii="Times New Roman" w:hAnsi="Times New Roman"/>
                <w:sz w:val="24"/>
              </w:rPr>
              <w:t>4.1</w:t>
            </w:r>
          </w:p>
        </w:tc>
        <w:tc>
          <w:tcPr>
            <w:tcW w:w="1320" w:type="dxa"/>
            <w:tcBorders>
              <w:tl2br w:val="nil"/>
              <w:tr2bl w:val="nil"/>
            </w:tcBorders>
            <w:vAlign w:val="center"/>
          </w:tcPr>
          <w:p w14:paraId="542543F3">
            <w:pPr>
              <w:widowControl/>
              <w:spacing w:line="360" w:lineRule="auto"/>
              <w:jc w:val="center"/>
              <w:rPr>
                <w:rFonts w:ascii="Times New Roman" w:hAnsi="Times New Roman"/>
                <w:sz w:val="24"/>
              </w:rPr>
            </w:pPr>
            <w:r>
              <w:rPr>
                <w:rFonts w:ascii="Times New Roman" w:hAnsi="Times New Roman"/>
                <w:sz w:val="24"/>
              </w:rPr>
              <w:t>业绩</w:t>
            </w:r>
          </w:p>
        </w:tc>
        <w:tc>
          <w:tcPr>
            <w:tcW w:w="6377" w:type="dxa"/>
            <w:tcBorders>
              <w:tl2br w:val="nil"/>
              <w:tr2bl w:val="nil"/>
            </w:tcBorders>
            <w:vAlign w:val="center"/>
          </w:tcPr>
          <w:p w14:paraId="34ACA05D">
            <w:pPr>
              <w:spacing w:line="360" w:lineRule="auto"/>
              <w:rPr>
                <w:rFonts w:ascii="Times New Roman" w:hAnsi="Times New Roman"/>
                <w:sz w:val="24"/>
              </w:rPr>
            </w:pPr>
            <w:r>
              <w:rPr>
                <w:rFonts w:ascii="Times New Roman" w:hAnsi="Times New Roman"/>
                <w:sz w:val="24"/>
              </w:rPr>
              <w:t>供应商提供自202</w:t>
            </w:r>
            <w:r>
              <w:rPr>
                <w:rFonts w:hint="eastAsia" w:ascii="Times New Roman" w:hAnsi="Times New Roman"/>
                <w:sz w:val="24"/>
              </w:rPr>
              <w:t>3</w:t>
            </w:r>
            <w:r>
              <w:rPr>
                <w:rFonts w:ascii="Times New Roman" w:hAnsi="Times New Roman"/>
                <w:sz w:val="24"/>
              </w:rPr>
              <w:t>年06月01日以来完成类似</w:t>
            </w:r>
            <w:r>
              <w:rPr>
                <w:rFonts w:hint="eastAsia" w:ascii="Times New Roman" w:hAnsi="Times New Roman"/>
                <w:sz w:val="24"/>
              </w:rPr>
              <w:t>信息系统维保服务</w:t>
            </w:r>
            <w:r>
              <w:rPr>
                <w:rFonts w:ascii="Times New Roman" w:hAnsi="Times New Roman"/>
                <w:sz w:val="24"/>
              </w:rPr>
              <w:t>项目的案例，每提供1个得</w:t>
            </w:r>
            <w:r>
              <w:rPr>
                <w:rFonts w:hint="eastAsia" w:ascii="Times New Roman" w:hAnsi="Times New Roman"/>
                <w:sz w:val="24"/>
              </w:rPr>
              <w:t>3</w:t>
            </w:r>
            <w:r>
              <w:rPr>
                <w:rFonts w:ascii="Times New Roman" w:hAnsi="Times New Roman"/>
                <w:sz w:val="24"/>
              </w:rPr>
              <w:t>分，最多得</w:t>
            </w:r>
            <w:r>
              <w:rPr>
                <w:rFonts w:hint="eastAsia" w:ascii="Times New Roman" w:hAnsi="Times New Roman"/>
                <w:sz w:val="24"/>
              </w:rPr>
              <w:t>9</w:t>
            </w:r>
            <w:r>
              <w:rPr>
                <w:rFonts w:ascii="Times New Roman" w:hAnsi="Times New Roman"/>
                <w:sz w:val="24"/>
              </w:rPr>
              <w:t>分。</w:t>
            </w:r>
            <w:r>
              <w:rPr>
                <w:rFonts w:ascii="Times New Roman" w:hAnsi="Times New Roman"/>
                <w:b/>
                <w:bCs/>
                <w:sz w:val="24"/>
              </w:rPr>
              <w:t>（提供合同复印件加盖公章，合同须能反映项目名称、主要标的物，签订时间和签章清晰可见）</w:t>
            </w:r>
          </w:p>
        </w:tc>
        <w:tc>
          <w:tcPr>
            <w:tcW w:w="708" w:type="dxa"/>
            <w:tcBorders>
              <w:tl2br w:val="nil"/>
              <w:tr2bl w:val="nil"/>
            </w:tcBorders>
            <w:vAlign w:val="center"/>
          </w:tcPr>
          <w:p w14:paraId="5D90D684">
            <w:pPr>
              <w:spacing w:line="360" w:lineRule="auto"/>
              <w:jc w:val="center"/>
              <w:rPr>
                <w:rFonts w:ascii="Times New Roman" w:hAnsi="Times New Roman"/>
                <w:color w:val="000000"/>
                <w:sz w:val="24"/>
              </w:rPr>
            </w:pPr>
            <w:r>
              <w:rPr>
                <w:rFonts w:hint="eastAsia" w:ascii="Times New Roman" w:hAnsi="Times New Roman"/>
                <w:color w:val="000000"/>
                <w:sz w:val="24"/>
              </w:rPr>
              <w:t>9</w:t>
            </w:r>
          </w:p>
        </w:tc>
      </w:tr>
      <w:tr w14:paraId="2662E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256" w:type="dxa"/>
            <w:gridSpan w:val="4"/>
            <w:tcBorders>
              <w:tl2br w:val="nil"/>
              <w:tr2bl w:val="nil"/>
            </w:tcBorders>
            <w:vAlign w:val="center"/>
          </w:tcPr>
          <w:p w14:paraId="5F53A161">
            <w:pPr>
              <w:widowControl/>
              <w:spacing w:line="360" w:lineRule="auto"/>
              <w:rPr>
                <w:rFonts w:ascii="Times New Roman" w:hAnsi="Times New Roman"/>
                <w:sz w:val="24"/>
              </w:rPr>
            </w:pPr>
            <w:r>
              <w:rPr>
                <w:rFonts w:ascii="Times New Roman" w:hAnsi="Times New Roman"/>
                <w:b/>
                <w:bCs/>
                <w:color w:val="000000"/>
                <w:sz w:val="24"/>
              </w:rPr>
              <w:t>（五）供应商履约能力</w:t>
            </w:r>
          </w:p>
        </w:tc>
      </w:tr>
      <w:tr w14:paraId="55B05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51" w:type="dxa"/>
            <w:tcBorders>
              <w:tl2br w:val="nil"/>
              <w:tr2bl w:val="nil"/>
            </w:tcBorders>
            <w:vAlign w:val="center"/>
          </w:tcPr>
          <w:p w14:paraId="3B6BE33B">
            <w:pPr>
              <w:widowControl/>
              <w:spacing w:line="360" w:lineRule="auto"/>
              <w:jc w:val="center"/>
              <w:rPr>
                <w:rFonts w:ascii="Times New Roman" w:hAnsi="Times New Roman"/>
                <w:sz w:val="24"/>
              </w:rPr>
            </w:pPr>
            <w:r>
              <w:rPr>
                <w:rFonts w:ascii="Times New Roman" w:hAnsi="Times New Roman"/>
                <w:sz w:val="24"/>
              </w:rPr>
              <w:t>5.1</w:t>
            </w:r>
          </w:p>
        </w:tc>
        <w:tc>
          <w:tcPr>
            <w:tcW w:w="1320" w:type="dxa"/>
            <w:tcBorders>
              <w:tl2br w:val="nil"/>
              <w:tr2bl w:val="nil"/>
            </w:tcBorders>
            <w:vAlign w:val="center"/>
          </w:tcPr>
          <w:p w14:paraId="34F918FD">
            <w:pPr>
              <w:widowControl/>
              <w:spacing w:line="360" w:lineRule="auto"/>
              <w:jc w:val="center"/>
              <w:rPr>
                <w:rFonts w:ascii="Times New Roman" w:hAnsi="Times New Roman"/>
                <w:sz w:val="24"/>
              </w:rPr>
            </w:pPr>
            <w:r>
              <w:rPr>
                <w:rFonts w:ascii="Times New Roman" w:hAnsi="Times New Roman"/>
                <w:sz w:val="24"/>
              </w:rPr>
              <w:t>履约能力</w:t>
            </w:r>
          </w:p>
        </w:tc>
        <w:tc>
          <w:tcPr>
            <w:tcW w:w="6377" w:type="dxa"/>
            <w:tcBorders>
              <w:tl2br w:val="nil"/>
              <w:tr2bl w:val="nil"/>
            </w:tcBorders>
            <w:vAlign w:val="center"/>
          </w:tcPr>
          <w:p w14:paraId="5F63CB9A">
            <w:pPr>
              <w:widowControl/>
              <w:spacing w:line="360" w:lineRule="auto"/>
              <w:rPr>
                <w:rFonts w:ascii="Times New Roman" w:hAnsi="Times New Roman"/>
                <w:sz w:val="24"/>
              </w:rPr>
            </w:pPr>
            <w:r>
              <w:rPr>
                <w:rFonts w:hint="eastAsia" w:ascii="Times New Roman" w:hAnsi="Times New Roman"/>
                <w:sz w:val="24"/>
              </w:rPr>
              <w:t>供应商</w:t>
            </w:r>
            <w:r>
              <w:rPr>
                <w:rFonts w:ascii="Times New Roman" w:hAnsi="Times New Roman"/>
                <w:sz w:val="24"/>
              </w:rPr>
              <w:t>能够提供PC端、移动端的全流程闭环追溯</w:t>
            </w:r>
            <w:r>
              <w:rPr>
                <w:rFonts w:hint="eastAsia" w:ascii="Times New Roman" w:hAnsi="Times New Roman"/>
                <w:sz w:val="24"/>
              </w:rPr>
              <w:t>维保</w:t>
            </w:r>
            <w:r>
              <w:rPr>
                <w:rFonts w:ascii="Times New Roman" w:hAnsi="Times New Roman"/>
                <w:sz w:val="24"/>
              </w:rPr>
              <w:t>服务，得5分</w:t>
            </w:r>
            <w:r>
              <w:rPr>
                <w:rFonts w:hint="eastAsia" w:ascii="Times New Roman" w:hAnsi="Times New Roman"/>
                <w:sz w:val="24"/>
              </w:rPr>
              <w:t>。</w:t>
            </w:r>
            <w:r>
              <w:rPr>
                <w:rFonts w:ascii="Times New Roman" w:hAnsi="Times New Roman"/>
                <w:b/>
                <w:bCs/>
                <w:sz w:val="24"/>
              </w:rPr>
              <w:t>（需提供PC端、移动端售后服务管理信息系统流程图及售后服务管理信息系统功能截图，售后服务管理信息系统功能承诺函并加盖公章，否则不得分）</w:t>
            </w:r>
          </w:p>
        </w:tc>
        <w:tc>
          <w:tcPr>
            <w:tcW w:w="708" w:type="dxa"/>
            <w:tcBorders>
              <w:tl2br w:val="nil"/>
              <w:tr2bl w:val="nil"/>
            </w:tcBorders>
            <w:vAlign w:val="center"/>
          </w:tcPr>
          <w:p w14:paraId="1286BA93">
            <w:pPr>
              <w:widowControl/>
              <w:spacing w:line="360" w:lineRule="auto"/>
              <w:jc w:val="center"/>
              <w:rPr>
                <w:rFonts w:ascii="Times New Roman" w:hAnsi="Times New Roman"/>
                <w:color w:val="000000"/>
                <w:sz w:val="24"/>
              </w:rPr>
            </w:pPr>
            <w:r>
              <w:rPr>
                <w:rFonts w:hint="eastAsia" w:ascii="Times New Roman" w:hAnsi="Times New Roman"/>
                <w:color w:val="000000"/>
                <w:sz w:val="24"/>
              </w:rPr>
              <w:t>5</w:t>
            </w:r>
          </w:p>
        </w:tc>
      </w:tr>
      <w:tr w14:paraId="291C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548" w:type="dxa"/>
            <w:gridSpan w:val="3"/>
            <w:tcBorders>
              <w:tl2br w:val="nil"/>
              <w:tr2bl w:val="nil"/>
            </w:tcBorders>
            <w:vAlign w:val="center"/>
          </w:tcPr>
          <w:p w14:paraId="7712AAD1">
            <w:pPr>
              <w:widowControl/>
              <w:spacing w:line="360" w:lineRule="auto"/>
              <w:jc w:val="center"/>
              <w:rPr>
                <w:rFonts w:ascii="Times New Roman" w:hAnsi="Times New Roman"/>
                <w:sz w:val="24"/>
              </w:rPr>
            </w:pPr>
            <w:r>
              <w:rPr>
                <w:rFonts w:ascii="Times New Roman" w:hAnsi="Times New Roman"/>
                <w:sz w:val="24"/>
              </w:rPr>
              <w:t>合计</w:t>
            </w:r>
          </w:p>
        </w:tc>
        <w:tc>
          <w:tcPr>
            <w:tcW w:w="708" w:type="dxa"/>
            <w:tcBorders>
              <w:tl2br w:val="nil"/>
              <w:tr2bl w:val="nil"/>
            </w:tcBorders>
            <w:vAlign w:val="center"/>
          </w:tcPr>
          <w:p w14:paraId="22301182">
            <w:pPr>
              <w:widowControl/>
              <w:spacing w:line="360" w:lineRule="auto"/>
              <w:jc w:val="center"/>
              <w:rPr>
                <w:rFonts w:ascii="Times New Roman" w:hAnsi="Times New Roman"/>
                <w:color w:val="000000"/>
                <w:sz w:val="24"/>
              </w:rPr>
            </w:pPr>
            <w:r>
              <w:rPr>
                <w:rFonts w:ascii="Times New Roman" w:hAnsi="Times New Roman"/>
                <w:color w:val="000000"/>
                <w:sz w:val="24"/>
              </w:rPr>
              <w:t>100</w:t>
            </w:r>
          </w:p>
        </w:tc>
      </w:tr>
    </w:tbl>
    <w:p w14:paraId="69B039E7">
      <w:pPr>
        <w:widowControl/>
        <w:spacing w:line="360" w:lineRule="auto"/>
        <w:jc w:val="left"/>
        <w:rPr>
          <w:rFonts w:hint="eastAsia" w:asciiTheme="minorEastAsia" w:hAnsiTheme="minorEastAsia" w:eastAsiaTheme="minorEastAsia"/>
          <w:sz w:val="24"/>
        </w:rPr>
      </w:pPr>
    </w:p>
    <w:p w14:paraId="426F3D9C">
      <w:pPr>
        <w:widowControl/>
        <w:spacing w:line="360" w:lineRule="auto"/>
        <w:jc w:val="left"/>
        <w:rPr>
          <w:rFonts w:hint="eastAsia" w:asciiTheme="minorEastAsia" w:hAnsiTheme="minorEastAsia" w:eastAsiaTheme="minorEastAsia"/>
          <w:b/>
          <w:bCs/>
          <w:sz w:val="24"/>
        </w:rPr>
      </w:pPr>
      <w:r>
        <w:rPr>
          <w:rFonts w:hint="eastAsia" w:asciiTheme="minorEastAsia" w:hAnsiTheme="minorEastAsia" w:eastAsiaTheme="minorEastAsia"/>
          <w:b/>
          <w:bCs/>
          <w:sz w:val="24"/>
        </w:rPr>
        <w:t>注：采购人与成交人在签订合同时,有权要求成交人提供其响应文件中的承诺响应的证明材料原件进行真实性核实，如成交人无法提供,或无法核实真实性的,则视为虚假响应,报财政部门按照政府采购相关规定处理。</w:t>
      </w:r>
    </w:p>
    <w:p w14:paraId="409B7126">
      <w:pPr>
        <w:widowControl/>
        <w:spacing w:line="360" w:lineRule="auto"/>
        <w:jc w:val="left"/>
        <w:rPr>
          <w:rFonts w:hint="eastAsia" w:asciiTheme="minorEastAsia" w:hAnsiTheme="minorEastAsia" w:eastAsiaTheme="minorEastAsia"/>
          <w:sz w:val="24"/>
        </w:rPr>
      </w:pPr>
    </w:p>
    <w:p w14:paraId="265092BA">
      <w:pPr>
        <w:widowControl/>
        <w:spacing w:line="360" w:lineRule="auto"/>
        <w:jc w:val="left"/>
        <w:outlineLvl w:val="1"/>
        <w:rPr>
          <w:rFonts w:hint="eastAsia" w:asciiTheme="minorEastAsia" w:hAnsiTheme="minorEastAsia" w:eastAsiaTheme="minorEastAsia"/>
          <w:b/>
          <w:bCs/>
          <w:sz w:val="24"/>
        </w:rPr>
      </w:pPr>
      <w:bookmarkStart w:id="63" w:name="_Toc171512447"/>
      <w:bookmarkStart w:id="64" w:name="_Toc171605467"/>
      <w:r>
        <w:rPr>
          <w:rFonts w:hint="eastAsia" w:asciiTheme="minorEastAsia" w:hAnsiTheme="minorEastAsia" w:eastAsiaTheme="minorEastAsia"/>
          <w:b/>
          <w:bCs/>
          <w:sz w:val="24"/>
        </w:rPr>
        <w:t>三、政府采购政策功能落实</w:t>
      </w:r>
      <w:bookmarkEnd w:id="63"/>
      <w:bookmarkEnd w:id="64"/>
    </w:p>
    <w:p w14:paraId="7C19ADD4">
      <w:pPr>
        <w:widowControl/>
        <w:spacing w:line="360" w:lineRule="auto"/>
        <w:jc w:val="left"/>
        <w:rPr>
          <w:rFonts w:hint="eastAsia" w:asciiTheme="minorEastAsia" w:hAnsiTheme="minorEastAsia" w:eastAsiaTheme="minorEastAsia"/>
          <w:b/>
          <w:bCs/>
          <w:sz w:val="24"/>
        </w:rPr>
      </w:pPr>
      <w:r>
        <w:rPr>
          <w:rFonts w:hint="eastAsia" w:asciiTheme="minorEastAsia" w:hAnsiTheme="minorEastAsia" w:eastAsiaTheme="minorEastAsia"/>
          <w:b/>
          <w:bCs/>
          <w:sz w:val="24"/>
        </w:rPr>
        <w:t>（一）小微型企业价格扣除</w:t>
      </w:r>
    </w:p>
    <w:p w14:paraId="002E8A11">
      <w:pPr>
        <w:widowControl/>
        <w:spacing w:line="360" w:lineRule="auto"/>
        <w:ind w:firstLine="480" w:firstLineChars="200"/>
        <w:jc w:val="left"/>
        <w:rPr>
          <w:rFonts w:ascii="Times New Roman" w:hAnsi="Times New Roman" w:eastAsiaTheme="minorEastAsia"/>
          <w:sz w:val="24"/>
        </w:rPr>
      </w:pPr>
      <w:r>
        <w:rPr>
          <w:rFonts w:ascii="Times New Roman" w:hAnsi="Times New Roman" w:eastAsiaTheme="minorEastAsia"/>
          <w:sz w:val="24"/>
        </w:rPr>
        <w:t>（1）对于经主管预算单位统筹后未预留份额专门面向中小企业采购的采购项目，以及预留份额项目中的非预留部分采购包，如供应商拟提供的货物全部由符合政策要求的小型和微型企业产品制造，提供的服务全部由符合政策要求的小型和微型企业承接的，则给予10%的扣除价格，用扣除后的价格参与评审。</w:t>
      </w:r>
    </w:p>
    <w:p w14:paraId="14735EF5">
      <w:pPr>
        <w:widowControl/>
        <w:spacing w:line="360" w:lineRule="auto"/>
        <w:ind w:firstLine="480" w:firstLineChars="200"/>
        <w:jc w:val="left"/>
        <w:rPr>
          <w:rFonts w:ascii="Times New Roman" w:hAnsi="Times New Roman" w:eastAsiaTheme="minorEastAsia"/>
          <w:sz w:val="24"/>
        </w:rPr>
      </w:pPr>
      <w:r>
        <w:rPr>
          <w:rFonts w:ascii="Times New Roman" w:hAnsi="Times New Roman" w:eastAsiaTheme="minorEastAsia"/>
          <w:sz w:val="24"/>
        </w:rPr>
        <w:t>（2）供应商需按照采购文件的要求提供相应的《中小企业声明函》。</w:t>
      </w:r>
    </w:p>
    <w:p w14:paraId="290E9A00">
      <w:pPr>
        <w:widowControl/>
        <w:spacing w:line="360" w:lineRule="auto"/>
        <w:ind w:firstLine="480" w:firstLineChars="200"/>
        <w:jc w:val="left"/>
        <w:rPr>
          <w:rFonts w:ascii="Times New Roman" w:hAnsi="Times New Roman" w:eastAsiaTheme="minorEastAsia"/>
          <w:sz w:val="24"/>
        </w:rPr>
      </w:pPr>
      <w:r>
        <w:rPr>
          <w:rFonts w:ascii="Times New Roman" w:hAnsi="Times New Roman" w:eastAsiaTheme="minorEastAsia"/>
          <w:sz w:val="24"/>
        </w:rPr>
        <w:t>（3）企业标准请参照《关于印发中小企业划型标准规定的通知》（工信部联企业〔2011〕300号）文件规定自行填写。</w:t>
      </w:r>
    </w:p>
    <w:p w14:paraId="3036AE4D">
      <w:pPr>
        <w:widowControl/>
        <w:spacing w:line="360" w:lineRule="auto"/>
        <w:jc w:val="left"/>
        <w:rPr>
          <w:rFonts w:hint="eastAsia" w:asciiTheme="minorEastAsia" w:hAnsiTheme="minorEastAsia" w:eastAsiaTheme="minorEastAsia"/>
          <w:b/>
          <w:bCs/>
          <w:sz w:val="24"/>
        </w:rPr>
      </w:pPr>
      <w:r>
        <w:rPr>
          <w:rFonts w:hint="eastAsia" w:asciiTheme="minorEastAsia" w:hAnsiTheme="minorEastAsia" w:eastAsiaTheme="minorEastAsia"/>
          <w:b/>
          <w:bCs/>
          <w:sz w:val="24"/>
        </w:rPr>
        <w:t>（二）监狱和戒毒企业的价格扣除</w:t>
      </w:r>
    </w:p>
    <w:p w14:paraId="3CC983C9">
      <w:pPr>
        <w:widowControl/>
        <w:spacing w:line="360" w:lineRule="auto"/>
        <w:ind w:firstLine="480" w:firstLineChars="200"/>
        <w:jc w:val="left"/>
        <w:rPr>
          <w:rFonts w:ascii="Times New Roman" w:hAnsi="Times New Roman" w:eastAsiaTheme="minorEastAsia"/>
          <w:sz w:val="24"/>
        </w:rPr>
      </w:pPr>
      <w:r>
        <w:rPr>
          <w:rFonts w:ascii="Times New Roman" w:hAnsi="Times New Roman" w:eastAsiaTheme="minorEastAsia"/>
          <w:sz w:val="24"/>
        </w:rPr>
        <w:t>（1）本项目对残疾人福利性单位视同小型、微型企业，给予10%的价格扣除，用扣除后的价格参与评审。</w:t>
      </w:r>
    </w:p>
    <w:p w14:paraId="19D17842">
      <w:pPr>
        <w:widowControl/>
        <w:spacing w:line="360" w:lineRule="auto"/>
        <w:ind w:firstLine="480" w:firstLineChars="200"/>
        <w:jc w:val="left"/>
        <w:rPr>
          <w:rFonts w:ascii="Times New Roman" w:hAnsi="Times New Roman" w:eastAsiaTheme="minorEastAsia"/>
          <w:sz w:val="24"/>
        </w:rPr>
      </w:pPr>
      <w:r>
        <w:rPr>
          <w:rFonts w:ascii="Times New Roman" w:hAnsi="Times New Roman" w:eastAsiaTheme="minorEastAsia"/>
          <w:sz w:val="24"/>
        </w:rPr>
        <w:t>（2）残疾人福利单位需按照采购文件的要求提供《残疾人福利性单位声明函》。</w:t>
      </w:r>
    </w:p>
    <w:p w14:paraId="13FF4556">
      <w:pPr>
        <w:widowControl/>
        <w:spacing w:line="360" w:lineRule="auto"/>
        <w:ind w:firstLine="480" w:firstLineChars="200"/>
        <w:jc w:val="left"/>
        <w:rPr>
          <w:rFonts w:ascii="Times New Roman" w:hAnsi="Times New Roman" w:eastAsiaTheme="minorEastAsia"/>
          <w:sz w:val="24"/>
        </w:rPr>
      </w:pPr>
      <w:r>
        <w:rPr>
          <w:rFonts w:ascii="Times New Roman" w:hAnsi="Times New Roman" w:eastAsiaTheme="minorEastAsia"/>
          <w:sz w:val="24"/>
        </w:rPr>
        <w:t>（3）残疾人福利单位标准请参照《关于促进残疾人就业政府采购政策的通知》（财库〔2017〕141号）。</w:t>
      </w:r>
    </w:p>
    <w:p w14:paraId="4313A10D">
      <w:pPr>
        <w:widowControl/>
        <w:spacing w:line="360" w:lineRule="auto"/>
        <w:jc w:val="left"/>
        <w:rPr>
          <w:rFonts w:hint="eastAsia" w:asciiTheme="minorEastAsia" w:hAnsiTheme="minorEastAsia" w:eastAsiaTheme="minorEastAsia"/>
          <w:b/>
          <w:bCs/>
          <w:sz w:val="24"/>
        </w:rPr>
      </w:pPr>
      <w:r>
        <w:rPr>
          <w:rFonts w:hint="eastAsia" w:asciiTheme="minorEastAsia" w:hAnsiTheme="minorEastAsia" w:eastAsiaTheme="minorEastAsia"/>
          <w:b/>
          <w:bCs/>
          <w:sz w:val="24"/>
        </w:rPr>
        <w:t>（三）监狱和戒毒企业价格扣除</w:t>
      </w:r>
    </w:p>
    <w:p w14:paraId="63163B06">
      <w:pPr>
        <w:widowControl/>
        <w:spacing w:line="360" w:lineRule="auto"/>
        <w:ind w:firstLine="480" w:firstLineChars="200"/>
        <w:jc w:val="left"/>
        <w:rPr>
          <w:rFonts w:ascii="Times New Roman" w:hAnsi="Times New Roman" w:eastAsiaTheme="minorEastAsia"/>
          <w:sz w:val="24"/>
        </w:rPr>
      </w:pPr>
      <w:r>
        <w:rPr>
          <w:rFonts w:ascii="Times New Roman" w:hAnsi="Times New Roman" w:eastAsiaTheme="minorEastAsia"/>
          <w:sz w:val="24"/>
        </w:rPr>
        <w:t>（1）本项目对监狱和戒毒企业（简称监狱企业）视同小型、微型企业，给予10%的价格扣除，用扣除后的价格参与评审。</w:t>
      </w:r>
    </w:p>
    <w:p w14:paraId="66E34412">
      <w:pPr>
        <w:widowControl/>
        <w:spacing w:line="360" w:lineRule="auto"/>
        <w:ind w:firstLine="480" w:firstLineChars="200"/>
        <w:jc w:val="left"/>
        <w:rPr>
          <w:rFonts w:ascii="Times New Roman" w:hAnsi="Times New Roman" w:eastAsiaTheme="minorEastAsia"/>
          <w:sz w:val="24"/>
        </w:rPr>
      </w:pPr>
      <w:r>
        <w:rPr>
          <w:rFonts w:ascii="Times New Roman" w:hAnsi="Times New Roman" w:eastAsiaTheme="minorEastAsia"/>
          <w:sz w:val="24"/>
        </w:rPr>
        <w:t>（2）监狱企业参加政府采购活动时，需提供由省级以上监狱管理局、戒毒管理局(含新疆生产建设兵团)出具的属于监狱企业的证明文件。供应商如不提供上述证明文件，价格将不做相应扣除。</w:t>
      </w:r>
    </w:p>
    <w:p w14:paraId="37B76026">
      <w:pPr>
        <w:widowControl/>
        <w:spacing w:line="360" w:lineRule="auto"/>
        <w:ind w:firstLine="480" w:firstLineChars="200"/>
        <w:jc w:val="left"/>
        <w:rPr>
          <w:rFonts w:ascii="Times New Roman" w:hAnsi="Times New Roman" w:eastAsiaTheme="minorEastAsia"/>
          <w:sz w:val="24"/>
        </w:rPr>
      </w:pPr>
      <w:r>
        <w:rPr>
          <w:rFonts w:ascii="Times New Roman" w:hAnsi="Times New Roman" w:eastAsiaTheme="minorEastAsia"/>
          <w:sz w:val="24"/>
        </w:rPr>
        <w:t>（3）监狱企业标准请参照《关于政府采购支持监狱企业发展有关问题的通知》（财库〔2014〕68号）。</w:t>
      </w:r>
    </w:p>
    <w:p w14:paraId="10F06414">
      <w:pPr>
        <w:widowControl/>
        <w:spacing w:line="360" w:lineRule="auto"/>
        <w:jc w:val="left"/>
        <w:rPr>
          <w:rFonts w:hint="eastAsia" w:asciiTheme="minorEastAsia" w:hAnsiTheme="minorEastAsia" w:eastAsiaTheme="minorEastAsia"/>
          <w:b/>
          <w:bCs/>
          <w:sz w:val="24"/>
        </w:rPr>
      </w:pPr>
      <w:r>
        <w:rPr>
          <w:rFonts w:hint="eastAsia" w:asciiTheme="minorEastAsia" w:hAnsiTheme="minorEastAsia" w:eastAsiaTheme="minorEastAsia"/>
          <w:b/>
          <w:bCs/>
          <w:sz w:val="24"/>
        </w:rPr>
        <w:t>（四）残疾人福利单位、监狱企业属于小型、微型企业的，不重复享受政策。上述价格扣除政策仅适用“不专门面向中小微企业采购项目”。</w:t>
      </w:r>
    </w:p>
    <w:p w14:paraId="713C17AC">
      <w:pPr>
        <w:widowControl/>
        <w:spacing w:line="360" w:lineRule="auto"/>
        <w:jc w:val="left"/>
        <w:rPr>
          <w:rFonts w:hint="eastAsia" w:asciiTheme="minorEastAsia" w:hAnsiTheme="minorEastAsia" w:eastAsiaTheme="minorEastAsia"/>
          <w:b/>
          <w:bCs/>
          <w:sz w:val="24"/>
        </w:rPr>
      </w:pPr>
      <w:r>
        <w:rPr>
          <w:rFonts w:hint="eastAsia" w:asciiTheme="minorEastAsia" w:hAnsiTheme="minorEastAsia" w:eastAsiaTheme="minorEastAsia"/>
          <w:b/>
          <w:bCs/>
          <w:sz w:val="24"/>
        </w:rPr>
        <w:t>（五）</w:t>
      </w:r>
      <w:r>
        <w:rPr>
          <w:rFonts w:ascii="Times New Roman" w:hAnsi="Times New Roman" w:eastAsiaTheme="minorEastAsia"/>
          <w:sz w:val="24"/>
        </w:rPr>
        <w:t>接受大中型企业与小微企业（残疾人福利单位、监狱企业）组成联合体或者允许大中型企业向一家或者多家小微企业分包的采购项目，对于联合协议或者分包意向协议约定小微企业（残疾人福利单位、监狱企业）的合同份额占到合同总金额30%以上的，对联合体或者大中型企业的报价给予2%的扣除，用扣除后的价格参加评审。</w:t>
      </w:r>
    </w:p>
    <w:bookmarkEnd w:id="2"/>
    <w:bookmarkEnd w:id="3"/>
    <w:bookmarkEnd w:id="4"/>
    <w:bookmarkEnd w:id="5"/>
    <w:bookmarkEnd w:id="6"/>
    <w:p w14:paraId="7D6C5839">
      <w:pPr>
        <w:widowControl/>
        <w:jc w:val="left"/>
      </w:pPr>
      <w:r>
        <w:br w:type="page"/>
      </w:r>
    </w:p>
    <w:p w14:paraId="1E500B45">
      <w:pPr>
        <w:spacing w:after="156" w:afterLines="50" w:line="360" w:lineRule="auto"/>
        <w:jc w:val="center"/>
        <w:outlineLvl w:val="0"/>
        <w:rPr>
          <w:rFonts w:hint="eastAsia" w:ascii="华文中宋" w:hAnsi="华文中宋" w:eastAsia="华文中宋"/>
          <w:b/>
          <w:bCs/>
          <w:sz w:val="32"/>
          <w:szCs w:val="32"/>
        </w:rPr>
      </w:pPr>
      <w:bookmarkStart w:id="65" w:name="_Toc171512448"/>
      <w:bookmarkStart w:id="66" w:name="_Toc171605468"/>
      <w:r>
        <w:rPr>
          <w:rFonts w:hint="eastAsia" w:ascii="华文中宋" w:hAnsi="华文中宋" w:eastAsia="华文中宋"/>
          <w:b/>
          <w:bCs/>
          <w:sz w:val="32"/>
          <w:szCs w:val="32"/>
        </w:rPr>
        <w:t>第六章  响应文件的组成和格式</w:t>
      </w:r>
      <w:bookmarkEnd w:id="65"/>
      <w:bookmarkEnd w:id="66"/>
    </w:p>
    <w:p w14:paraId="1CDAC46D">
      <w:pPr>
        <w:spacing w:line="360" w:lineRule="auto"/>
        <w:jc w:val="right"/>
        <w:rPr>
          <w:rFonts w:hint="eastAsia" w:ascii="华文中宋" w:hAnsi="华文中宋" w:eastAsia="华文中宋"/>
          <w:b/>
          <w:sz w:val="36"/>
          <w:szCs w:val="21"/>
        </w:rPr>
      </w:pPr>
      <w:bookmarkStart w:id="67" w:name="_Hlk171434333"/>
      <w:r>
        <w:rPr>
          <w:rFonts w:hint="eastAsia" w:ascii="华文中宋" w:hAnsi="华文中宋" w:eastAsia="华文中宋"/>
          <w:b/>
          <w:sz w:val="36"/>
          <w:szCs w:val="21"/>
          <w:bdr w:val="single" w:color="auto" w:sz="4" w:space="0"/>
        </w:rPr>
        <w:t>正/副本</w:t>
      </w:r>
    </w:p>
    <w:p w14:paraId="7FCD1A9F">
      <w:pPr>
        <w:jc w:val="center"/>
        <w:rPr>
          <w:rFonts w:hint="eastAsia" w:ascii="宋体" w:hAnsi="宋体"/>
          <w:b/>
          <w:sz w:val="72"/>
          <w:szCs w:val="21"/>
        </w:rPr>
      </w:pPr>
    </w:p>
    <w:p w14:paraId="765126EA">
      <w:pPr>
        <w:jc w:val="center"/>
        <w:rPr>
          <w:rFonts w:hint="eastAsia" w:ascii="宋体" w:hAnsi="宋体"/>
          <w:b/>
          <w:sz w:val="72"/>
          <w:szCs w:val="21"/>
        </w:rPr>
      </w:pPr>
    </w:p>
    <w:p w14:paraId="7A834DAE">
      <w:pPr>
        <w:pStyle w:val="62"/>
        <w:ind w:firstLine="0"/>
        <w:jc w:val="center"/>
        <w:rPr>
          <w:rFonts w:hint="eastAsia" w:ascii="华文中宋" w:hAnsi="华文中宋" w:eastAsia="华文中宋"/>
          <w:b/>
          <w:bCs/>
          <w:sz w:val="72"/>
          <w:szCs w:val="22"/>
        </w:rPr>
      </w:pPr>
      <w:bookmarkStart w:id="68" w:name="_Hlk8656865"/>
      <w:r>
        <w:rPr>
          <w:rFonts w:hint="eastAsia" w:ascii="华文中宋" w:hAnsi="华文中宋" w:eastAsia="华文中宋"/>
          <w:b/>
          <w:bCs/>
          <w:sz w:val="72"/>
          <w:szCs w:val="22"/>
        </w:rPr>
        <w:t>响 应 文 件</w:t>
      </w:r>
    </w:p>
    <w:p w14:paraId="1A47F93C">
      <w:pPr>
        <w:spacing w:line="360" w:lineRule="auto"/>
        <w:rPr>
          <w:rFonts w:hint="eastAsia" w:ascii="黑体" w:hAnsi="黑体" w:eastAsia="黑体"/>
          <w:b/>
          <w:sz w:val="36"/>
          <w:szCs w:val="21"/>
        </w:rPr>
      </w:pPr>
    </w:p>
    <w:p w14:paraId="5631315C">
      <w:pPr>
        <w:spacing w:line="360" w:lineRule="auto"/>
        <w:rPr>
          <w:rFonts w:hint="eastAsia" w:ascii="黑体" w:hAnsi="黑体" w:eastAsia="黑体"/>
          <w:b/>
          <w:sz w:val="36"/>
          <w:szCs w:val="21"/>
        </w:rPr>
      </w:pPr>
    </w:p>
    <w:p w14:paraId="789C7FA6">
      <w:pPr>
        <w:spacing w:line="360" w:lineRule="auto"/>
        <w:rPr>
          <w:rFonts w:hint="eastAsia" w:ascii="黑体" w:hAnsi="黑体" w:eastAsia="黑体"/>
          <w:b/>
          <w:sz w:val="36"/>
          <w:szCs w:val="21"/>
        </w:rPr>
      </w:pPr>
    </w:p>
    <w:p w14:paraId="65AA79F6">
      <w:pPr>
        <w:spacing w:line="360" w:lineRule="auto"/>
        <w:rPr>
          <w:rFonts w:hint="eastAsia" w:ascii="黑体" w:hAnsi="黑体" w:eastAsia="黑体"/>
          <w:b/>
          <w:sz w:val="36"/>
          <w:szCs w:val="21"/>
        </w:rPr>
      </w:pPr>
    </w:p>
    <w:p w14:paraId="5815BBF1">
      <w:pPr>
        <w:spacing w:line="360" w:lineRule="auto"/>
        <w:rPr>
          <w:rFonts w:hint="eastAsia" w:ascii="黑体" w:hAnsi="黑体" w:eastAsia="黑体"/>
          <w:b/>
          <w:sz w:val="36"/>
          <w:szCs w:val="21"/>
        </w:rPr>
      </w:pPr>
    </w:p>
    <w:p w14:paraId="54D7E3C4">
      <w:pPr>
        <w:spacing w:line="360" w:lineRule="auto"/>
        <w:rPr>
          <w:rFonts w:hint="eastAsia" w:ascii="黑体" w:hAnsi="黑体" w:eastAsia="黑体"/>
          <w:b/>
          <w:sz w:val="36"/>
          <w:szCs w:val="21"/>
        </w:rPr>
      </w:pPr>
    </w:p>
    <w:p w14:paraId="7949C086">
      <w:pPr>
        <w:pStyle w:val="62"/>
        <w:adjustRightInd/>
        <w:spacing w:before="0" w:after="0" w:line="600" w:lineRule="auto"/>
        <w:ind w:left="840" w:leftChars="400" w:firstLine="0"/>
        <w:rPr>
          <w:rFonts w:hint="eastAsia" w:ascii="华文中宋" w:hAnsi="华文中宋" w:eastAsia="华文中宋"/>
          <w:b/>
          <w:bCs/>
          <w:sz w:val="36"/>
        </w:rPr>
      </w:pPr>
      <w:r>
        <w:rPr>
          <w:rFonts w:hint="eastAsia" w:ascii="华文中宋" w:hAnsi="华文中宋" w:eastAsia="华文中宋"/>
          <w:b/>
          <w:bCs/>
          <w:spacing w:val="60"/>
          <w:kern w:val="0"/>
          <w:sz w:val="36"/>
          <w:fitText w:val="1800" w:id="-477368063"/>
        </w:rPr>
        <w:t>项目名</w:t>
      </w:r>
      <w:r>
        <w:rPr>
          <w:rFonts w:hint="eastAsia" w:ascii="华文中宋" w:hAnsi="华文中宋" w:eastAsia="华文中宋"/>
          <w:b/>
          <w:bCs/>
          <w:spacing w:val="0"/>
          <w:kern w:val="0"/>
          <w:sz w:val="36"/>
          <w:fitText w:val="1800" w:id="-477368063"/>
        </w:rPr>
        <w:t>称</w:t>
      </w:r>
      <w:r>
        <w:rPr>
          <w:rFonts w:hint="eastAsia" w:ascii="华文中宋" w:hAnsi="华文中宋" w:eastAsia="华文中宋"/>
          <w:b/>
          <w:bCs/>
          <w:sz w:val="36"/>
        </w:rPr>
        <w:t>：</w:t>
      </w:r>
      <w:bookmarkStart w:id="69" w:name="_Hlk47431118"/>
      <w:r>
        <w:rPr>
          <w:rFonts w:hint="eastAsia" w:ascii="华文中宋" w:hAnsi="华文中宋" w:eastAsia="华文中宋"/>
          <w:sz w:val="32"/>
          <w:szCs w:val="22"/>
        </w:rPr>
        <w:t>（如有分包，需注明分包号）</w:t>
      </w:r>
      <w:bookmarkEnd w:id="69"/>
    </w:p>
    <w:p w14:paraId="1D6BCB38">
      <w:pPr>
        <w:pStyle w:val="62"/>
        <w:adjustRightInd/>
        <w:spacing w:before="0" w:after="0" w:line="600" w:lineRule="auto"/>
        <w:ind w:left="840" w:leftChars="400" w:firstLine="0"/>
        <w:rPr>
          <w:rFonts w:hint="eastAsia" w:ascii="华文中宋" w:hAnsi="华文中宋" w:eastAsia="华文中宋"/>
          <w:b/>
          <w:bCs/>
          <w:sz w:val="36"/>
        </w:rPr>
      </w:pPr>
      <w:r>
        <w:rPr>
          <w:rFonts w:hint="eastAsia" w:ascii="华文中宋" w:hAnsi="华文中宋" w:eastAsia="华文中宋"/>
          <w:b/>
          <w:bCs/>
          <w:spacing w:val="60"/>
          <w:kern w:val="0"/>
          <w:sz w:val="36"/>
          <w:fitText w:val="1800" w:id="-477368064"/>
        </w:rPr>
        <w:t>项目编</w:t>
      </w:r>
      <w:r>
        <w:rPr>
          <w:rFonts w:hint="eastAsia" w:ascii="华文中宋" w:hAnsi="华文中宋" w:eastAsia="华文中宋"/>
          <w:b/>
          <w:bCs/>
          <w:spacing w:val="0"/>
          <w:kern w:val="0"/>
          <w:sz w:val="36"/>
          <w:fitText w:val="1800" w:id="-477368064"/>
        </w:rPr>
        <w:t>号</w:t>
      </w:r>
      <w:r>
        <w:rPr>
          <w:rFonts w:hint="eastAsia" w:ascii="华文中宋" w:hAnsi="华文中宋" w:eastAsia="华文中宋"/>
          <w:b/>
          <w:bCs/>
          <w:sz w:val="36"/>
        </w:rPr>
        <w:t>：</w:t>
      </w:r>
    </w:p>
    <w:p w14:paraId="4B5FE49B">
      <w:pPr>
        <w:pStyle w:val="62"/>
        <w:adjustRightInd/>
        <w:spacing w:before="0" w:after="0" w:line="600" w:lineRule="auto"/>
        <w:ind w:left="840" w:leftChars="400" w:firstLine="0"/>
        <w:rPr>
          <w:rFonts w:hint="eastAsia" w:ascii="华文中宋" w:hAnsi="华文中宋" w:eastAsia="华文中宋"/>
          <w:b/>
          <w:bCs/>
          <w:sz w:val="36"/>
        </w:rPr>
      </w:pPr>
      <w:r>
        <w:rPr>
          <w:rFonts w:hint="eastAsia" w:ascii="华文中宋" w:hAnsi="华文中宋" w:eastAsia="华文中宋"/>
          <w:b/>
          <w:bCs/>
          <w:sz w:val="36"/>
        </w:rPr>
        <w:t>供应商名称：</w:t>
      </w:r>
    </w:p>
    <w:p w14:paraId="0E26761C">
      <w:pPr>
        <w:pStyle w:val="62"/>
        <w:adjustRightInd/>
        <w:spacing w:before="0" w:after="0" w:line="600" w:lineRule="auto"/>
        <w:ind w:left="840" w:leftChars="400" w:firstLine="0"/>
        <w:rPr>
          <w:rFonts w:hint="eastAsia" w:ascii="华文中宋" w:hAnsi="华文中宋" w:eastAsia="华文中宋"/>
          <w:b/>
          <w:bCs/>
          <w:sz w:val="36"/>
        </w:rPr>
      </w:pPr>
      <w:r>
        <w:rPr>
          <w:rFonts w:hint="eastAsia" w:ascii="华文中宋" w:hAnsi="华文中宋" w:eastAsia="华文中宋"/>
          <w:b/>
          <w:bCs/>
          <w:spacing w:val="540"/>
          <w:kern w:val="0"/>
          <w:sz w:val="36"/>
          <w:fitText w:val="1800" w:id="-477368062"/>
        </w:rPr>
        <w:t>日</w:t>
      </w:r>
      <w:r>
        <w:rPr>
          <w:rFonts w:hint="eastAsia" w:ascii="华文中宋" w:hAnsi="华文中宋" w:eastAsia="华文中宋"/>
          <w:b/>
          <w:bCs/>
          <w:spacing w:val="0"/>
          <w:kern w:val="0"/>
          <w:sz w:val="36"/>
          <w:fitText w:val="1800" w:id="-477368062"/>
        </w:rPr>
        <w:t>期</w:t>
      </w:r>
      <w:r>
        <w:rPr>
          <w:rFonts w:hint="eastAsia" w:ascii="华文中宋" w:hAnsi="华文中宋" w:eastAsia="华文中宋"/>
          <w:b/>
          <w:bCs/>
          <w:sz w:val="36"/>
        </w:rPr>
        <w:t>：</w:t>
      </w:r>
      <w:bookmarkEnd w:id="67"/>
      <w:bookmarkEnd w:id="68"/>
    </w:p>
    <w:p w14:paraId="6AD914B8">
      <w:pPr>
        <w:widowControl/>
        <w:jc w:val="left"/>
        <w:rPr>
          <w:rFonts w:hint="eastAsia" w:ascii="华文中宋" w:hAnsi="华文中宋" w:eastAsia="华文中宋"/>
          <w:b/>
          <w:bCs/>
          <w:kern w:val="0"/>
          <w:sz w:val="36"/>
        </w:rPr>
      </w:pPr>
      <w:r>
        <w:rPr>
          <w:rFonts w:ascii="华文中宋" w:hAnsi="华文中宋" w:eastAsia="华文中宋"/>
          <w:b/>
          <w:bCs/>
          <w:sz w:val="36"/>
        </w:rPr>
        <w:br w:type="page"/>
      </w:r>
    </w:p>
    <w:p w14:paraId="1040ECAB">
      <w:pPr>
        <w:spacing w:after="156" w:afterLines="50" w:line="360" w:lineRule="auto"/>
        <w:jc w:val="center"/>
        <w:rPr>
          <w:b/>
          <w:bCs/>
          <w:sz w:val="28"/>
          <w:szCs w:val="36"/>
        </w:rPr>
      </w:pPr>
      <w:bookmarkStart w:id="70" w:name="_Hlk171434554"/>
      <w:r>
        <w:rPr>
          <w:b/>
          <w:bCs/>
          <w:sz w:val="28"/>
          <w:szCs w:val="36"/>
          <w:lang w:eastAsia="zh-Hans"/>
        </w:rPr>
        <w:t>响应文件主要目录</w:t>
      </w:r>
    </w:p>
    <w:p w14:paraId="25C40CC0">
      <w:pPr>
        <w:spacing w:line="600" w:lineRule="auto"/>
        <w:rPr>
          <w:b/>
          <w:bCs/>
          <w:sz w:val="28"/>
          <w:szCs w:val="36"/>
        </w:rPr>
      </w:pPr>
    </w:p>
    <w:p w14:paraId="6D29F72A">
      <w:pPr>
        <w:spacing w:line="600" w:lineRule="auto"/>
        <w:rPr>
          <w:b/>
          <w:bCs/>
          <w:sz w:val="28"/>
          <w:szCs w:val="36"/>
          <w:lang w:eastAsia="zh-Hans"/>
        </w:rPr>
      </w:pPr>
      <w:r>
        <w:rPr>
          <w:b/>
          <w:bCs/>
          <w:sz w:val="28"/>
          <w:szCs w:val="36"/>
          <w:lang w:eastAsia="zh-Hans"/>
        </w:rPr>
        <w:t>一、评分索引表……………………………………………………………………………</w:t>
      </w:r>
    </w:p>
    <w:p w14:paraId="7DFC0927">
      <w:pPr>
        <w:spacing w:line="600" w:lineRule="auto"/>
        <w:rPr>
          <w:b/>
          <w:bCs/>
          <w:sz w:val="28"/>
          <w:szCs w:val="36"/>
          <w:lang w:eastAsia="zh-Hans"/>
        </w:rPr>
      </w:pPr>
      <w:r>
        <w:rPr>
          <w:b/>
          <w:bCs/>
          <w:sz w:val="28"/>
          <w:szCs w:val="36"/>
          <w:lang w:eastAsia="zh-Hans"/>
        </w:rPr>
        <w:t>二、资格性审查响应对照表…………………………………………………………</w:t>
      </w:r>
    </w:p>
    <w:p w14:paraId="48F829F5">
      <w:pPr>
        <w:spacing w:line="600" w:lineRule="auto"/>
        <w:rPr>
          <w:b/>
          <w:bCs/>
          <w:sz w:val="28"/>
          <w:szCs w:val="36"/>
          <w:lang w:eastAsia="zh-Hans"/>
        </w:rPr>
      </w:pPr>
      <w:r>
        <w:rPr>
          <w:b/>
          <w:bCs/>
          <w:sz w:val="28"/>
          <w:szCs w:val="36"/>
          <w:lang w:eastAsia="zh-Hans"/>
        </w:rPr>
        <w:t>三、符合性检查响应对照表…………………………………………………………</w:t>
      </w:r>
    </w:p>
    <w:p w14:paraId="736E8187">
      <w:pPr>
        <w:spacing w:line="600" w:lineRule="auto"/>
        <w:rPr>
          <w:b/>
          <w:bCs/>
          <w:sz w:val="28"/>
          <w:szCs w:val="36"/>
        </w:rPr>
      </w:pPr>
      <w:r>
        <w:rPr>
          <w:b/>
          <w:bCs/>
          <w:sz w:val="28"/>
          <w:szCs w:val="36"/>
          <w:lang w:eastAsia="zh-Hans"/>
        </w:rPr>
        <w:t>四、磋商响应报价表……………………………………………………………………</w:t>
      </w:r>
    </w:p>
    <w:p w14:paraId="716C1CF7">
      <w:pPr>
        <w:spacing w:line="600" w:lineRule="auto"/>
        <w:rPr>
          <w:b/>
          <w:bCs/>
          <w:sz w:val="28"/>
          <w:szCs w:val="36"/>
          <w:lang w:eastAsia="zh-Hans"/>
        </w:rPr>
      </w:pPr>
      <w:r>
        <w:rPr>
          <w:b/>
          <w:bCs/>
          <w:sz w:val="28"/>
          <w:szCs w:val="36"/>
          <w:lang w:eastAsia="zh-Hans"/>
        </w:rPr>
        <w:t>五、项目技术及商务需求响应及偏离表………………………………………</w:t>
      </w:r>
    </w:p>
    <w:p w14:paraId="5BA0128F">
      <w:pPr>
        <w:spacing w:line="600" w:lineRule="auto"/>
        <w:rPr>
          <w:b/>
          <w:bCs/>
          <w:sz w:val="28"/>
          <w:szCs w:val="36"/>
          <w:lang w:eastAsia="zh-Hans"/>
        </w:rPr>
      </w:pPr>
      <w:r>
        <w:rPr>
          <w:b/>
          <w:bCs/>
          <w:sz w:val="28"/>
          <w:szCs w:val="36"/>
          <w:lang w:eastAsia="zh-Hans"/>
        </w:rPr>
        <w:t>六、附件……</w:t>
      </w:r>
      <w:bookmarkEnd w:id="70"/>
      <w:r>
        <w:rPr>
          <w:b/>
          <w:bCs/>
          <w:sz w:val="28"/>
          <w:szCs w:val="36"/>
          <w:lang w:eastAsia="zh-Hans"/>
        </w:rPr>
        <w:t>…………………………………………………………………………………</w:t>
      </w:r>
    </w:p>
    <w:p w14:paraId="122920AA">
      <w:pPr>
        <w:widowControl/>
        <w:jc w:val="left"/>
        <w:rPr>
          <w:rFonts w:hint="eastAsia" w:ascii="华文中宋" w:hAnsi="华文中宋" w:eastAsia="华文中宋"/>
          <w:b/>
          <w:bCs/>
          <w:kern w:val="0"/>
          <w:sz w:val="36"/>
        </w:rPr>
      </w:pPr>
      <w:r>
        <w:rPr>
          <w:rFonts w:ascii="华文中宋" w:hAnsi="华文中宋" w:eastAsia="华文中宋"/>
          <w:b/>
          <w:bCs/>
          <w:sz w:val="36"/>
        </w:rPr>
        <w:br w:type="page"/>
      </w:r>
    </w:p>
    <w:p w14:paraId="14748628">
      <w:pPr>
        <w:spacing w:after="156" w:afterLines="50" w:line="360" w:lineRule="auto"/>
        <w:jc w:val="center"/>
        <w:outlineLvl w:val="1"/>
        <w:rPr>
          <w:b/>
          <w:bCs/>
          <w:sz w:val="28"/>
          <w:szCs w:val="36"/>
          <w:lang w:eastAsia="zh-Hans"/>
        </w:rPr>
      </w:pPr>
      <w:bookmarkStart w:id="71" w:name="_Toc171605469"/>
      <w:r>
        <w:rPr>
          <w:b/>
          <w:bCs/>
          <w:sz w:val="28"/>
          <w:szCs w:val="36"/>
          <w:lang w:eastAsia="zh-Hans"/>
        </w:rPr>
        <w:t>一、评分索引表</w:t>
      </w:r>
      <w:bookmarkEnd w:id="71"/>
    </w:p>
    <w:tbl>
      <w:tblPr>
        <w:tblStyle w:val="35"/>
        <w:tblW w:w="9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5"/>
        <w:gridCol w:w="1642"/>
      </w:tblGrid>
      <w:tr w14:paraId="447E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785" w:type="dxa"/>
            <w:vAlign w:val="center"/>
          </w:tcPr>
          <w:p w14:paraId="554B6C4B">
            <w:pPr>
              <w:pStyle w:val="67"/>
              <w:shd w:val="clear" w:color="auto" w:fill="FFFFFF"/>
              <w:spacing w:line="360" w:lineRule="auto"/>
              <w:ind w:left="0" w:firstLine="562"/>
              <w:jc w:val="center"/>
              <w:rPr>
                <w:rFonts w:hint="eastAsia" w:ascii="宋体" w:hAnsi="宋体"/>
                <w:b/>
                <w:bCs/>
                <w:lang w:eastAsia="zh-CN"/>
              </w:rPr>
            </w:pPr>
            <w:r>
              <w:rPr>
                <w:rFonts w:hint="eastAsia" w:ascii="宋体" w:hAnsi="宋体"/>
                <w:b/>
              </w:rPr>
              <w:t>评分项目</w:t>
            </w:r>
          </w:p>
        </w:tc>
        <w:tc>
          <w:tcPr>
            <w:tcW w:w="1642" w:type="dxa"/>
            <w:vAlign w:val="center"/>
          </w:tcPr>
          <w:p w14:paraId="49866930">
            <w:pPr>
              <w:spacing w:line="360" w:lineRule="auto"/>
              <w:jc w:val="center"/>
              <w:rPr>
                <w:rFonts w:hint="eastAsia" w:ascii="宋体" w:hAnsi="宋体"/>
                <w:b/>
                <w:sz w:val="24"/>
              </w:rPr>
            </w:pPr>
            <w:r>
              <w:rPr>
                <w:rFonts w:hint="eastAsia" w:ascii="宋体" w:hAnsi="宋体"/>
                <w:b/>
                <w:kern w:val="0"/>
                <w:sz w:val="24"/>
                <w:lang w:bidi="en-US"/>
              </w:rPr>
              <w:t>响应文件中对应页码</w:t>
            </w:r>
          </w:p>
        </w:tc>
      </w:tr>
      <w:tr w14:paraId="5384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785" w:type="dxa"/>
            <w:vAlign w:val="center"/>
          </w:tcPr>
          <w:p w14:paraId="3A310CE5">
            <w:pPr>
              <w:spacing w:line="360" w:lineRule="auto"/>
              <w:rPr>
                <w:rFonts w:hint="eastAsia" w:ascii="宋体" w:hAnsi="宋体"/>
                <w:sz w:val="24"/>
              </w:rPr>
            </w:pPr>
            <w:r>
              <w:rPr>
                <w:rFonts w:ascii="宋体" w:hAnsi="宋体"/>
                <w:sz w:val="24"/>
              </w:rPr>
              <w:t>*****</w:t>
            </w:r>
            <w:r>
              <w:rPr>
                <w:rFonts w:hint="eastAsia" w:ascii="宋体" w:hAnsi="宋体"/>
                <w:sz w:val="24"/>
              </w:rPr>
              <w:t>（根据本磋商文件第五章《评审方法和评审标准》的“二、评审标准”中评分项依次填列）</w:t>
            </w:r>
          </w:p>
        </w:tc>
        <w:tc>
          <w:tcPr>
            <w:tcW w:w="1642" w:type="dxa"/>
            <w:vAlign w:val="center"/>
          </w:tcPr>
          <w:p w14:paraId="06C876DA">
            <w:pPr>
              <w:spacing w:line="360" w:lineRule="auto"/>
              <w:rPr>
                <w:rFonts w:hint="eastAsia" w:ascii="宋体" w:hAnsi="宋体"/>
                <w:b/>
                <w:kern w:val="0"/>
                <w:sz w:val="24"/>
                <w:lang w:bidi="en-US"/>
              </w:rPr>
            </w:pPr>
          </w:p>
        </w:tc>
      </w:tr>
      <w:tr w14:paraId="65A9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785" w:type="dxa"/>
            <w:vAlign w:val="center"/>
          </w:tcPr>
          <w:p w14:paraId="108621C6">
            <w:pPr>
              <w:spacing w:line="360" w:lineRule="auto"/>
              <w:rPr>
                <w:rFonts w:hint="eastAsia" w:ascii="宋体" w:hAnsi="宋体"/>
                <w:sz w:val="24"/>
              </w:rPr>
            </w:pPr>
          </w:p>
        </w:tc>
        <w:tc>
          <w:tcPr>
            <w:tcW w:w="1642" w:type="dxa"/>
            <w:vAlign w:val="center"/>
          </w:tcPr>
          <w:p w14:paraId="04CA72F6">
            <w:pPr>
              <w:spacing w:line="360" w:lineRule="auto"/>
              <w:rPr>
                <w:rFonts w:hint="eastAsia" w:ascii="宋体" w:hAnsi="宋体"/>
                <w:sz w:val="24"/>
              </w:rPr>
            </w:pPr>
          </w:p>
        </w:tc>
      </w:tr>
      <w:tr w14:paraId="40D4D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785" w:type="dxa"/>
            <w:vAlign w:val="center"/>
          </w:tcPr>
          <w:p w14:paraId="2152639F">
            <w:pPr>
              <w:spacing w:line="360" w:lineRule="auto"/>
              <w:rPr>
                <w:rFonts w:hint="eastAsia" w:ascii="宋体" w:hAnsi="宋体"/>
                <w:sz w:val="24"/>
              </w:rPr>
            </w:pPr>
          </w:p>
        </w:tc>
        <w:tc>
          <w:tcPr>
            <w:tcW w:w="1642" w:type="dxa"/>
            <w:vAlign w:val="center"/>
          </w:tcPr>
          <w:p w14:paraId="70C496A9">
            <w:pPr>
              <w:spacing w:line="360" w:lineRule="auto"/>
              <w:rPr>
                <w:rFonts w:hint="eastAsia" w:ascii="宋体" w:hAnsi="宋体"/>
                <w:sz w:val="24"/>
              </w:rPr>
            </w:pPr>
          </w:p>
        </w:tc>
      </w:tr>
      <w:tr w14:paraId="4E7C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785" w:type="dxa"/>
            <w:vAlign w:val="center"/>
          </w:tcPr>
          <w:p w14:paraId="3F7C8C20">
            <w:pPr>
              <w:spacing w:line="360" w:lineRule="auto"/>
              <w:rPr>
                <w:rFonts w:hint="eastAsia" w:ascii="宋体" w:hAnsi="宋体"/>
                <w:sz w:val="24"/>
              </w:rPr>
            </w:pPr>
          </w:p>
        </w:tc>
        <w:tc>
          <w:tcPr>
            <w:tcW w:w="1642" w:type="dxa"/>
            <w:vAlign w:val="center"/>
          </w:tcPr>
          <w:p w14:paraId="28187CE5">
            <w:pPr>
              <w:spacing w:line="360" w:lineRule="auto"/>
              <w:rPr>
                <w:rFonts w:hint="eastAsia" w:ascii="宋体" w:hAnsi="宋体"/>
                <w:sz w:val="24"/>
              </w:rPr>
            </w:pPr>
          </w:p>
        </w:tc>
      </w:tr>
      <w:tr w14:paraId="3679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785" w:type="dxa"/>
            <w:vAlign w:val="center"/>
          </w:tcPr>
          <w:p w14:paraId="0CA8D2FB">
            <w:pPr>
              <w:spacing w:line="360" w:lineRule="auto"/>
              <w:rPr>
                <w:rFonts w:hint="eastAsia" w:ascii="宋体" w:hAnsi="宋体"/>
                <w:sz w:val="24"/>
              </w:rPr>
            </w:pPr>
          </w:p>
        </w:tc>
        <w:tc>
          <w:tcPr>
            <w:tcW w:w="1642" w:type="dxa"/>
            <w:vAlign w:val="center"/>
          </w:tcPr>
          <w:p w14:paraId="43B29E8E">
            <w:pPr>
              <w:spacing w:line="360" w:lineRule="auto"/>
              <w:rPr>
                <w:rFonts w:hint="eastAsia" w:ascii="宋体" w:hAnsi="宋体"/>
                <w:sz w:val="24"/>
              </w:rPr>
            </w:pPr>
          </w:p>
        </w:tc>
      </w:tr>
      <w:tr w14:paraId="1BAA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785" w:type="dxa"/>
            <w:vAlign w:val="center"/>
          </w:tcPr>
          <w:p w14:paraId="70A342E1">
            <w:pPr>
              <w:spacing w:line="360" w:lineRule="auto"/>
              <w:rPr>
                <w:rFonts w:hint="eastAsia" w:ascii="宋体" w:hAnsi="宋体"/>
                <w:sz w:val="24"/>
              </w:rPr>
            </w:pPr>
          </w:p>
        </w:tc>
        <w:tc>
          <w:tcPr>
            <w:tcW w:w="1642" w:type="dxa"/>
            <w:vAlign w:val="center"/>
          </w:tcPr>
          <w:p w14:paraId="42499372">
            <w:pPr>
              <w:spacing w:line="360" w:lineRule="auto"/>
              <w:rPr>
                <w:rFonts w:hint="eastAsia" w:ascii="宋体" w:hAnsi="宋体"/>
                <w:sz w:val="24"/>
              </w:rPr>
            </w:pPr>
          </w:p>
        </w:tc>
      </w:tr>
      <w:tr w14:paraId="2A00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7785" w:type="dxa"/>
            <w:vAlign w:val="center"/>
          </w:tcPr>
          <w:p w14:paraId="6FECD698">
            <w:pPr>
              <w:spacing w:line="360" w:lineRule="auto"/>
              <w:rPr>
                <w:rFonts w:hint="eastAsia" w:ascii="宋体" w:hAnsi="宋体"/>
                <w:sz w:val="24"/>
              </w:rPr>
            </w:pPr>
          </w:p>
        </w:tc>
        <w:tc>
          <w:tcPr>
            <w:tcW w:w="1642" w:type="dxa"/>
            <w:vAlign w:val="center"/>
          </w:tcPr>
          <w:p w14:paraId="6BF17AC7">
            <w:pPr>
              <w:spacing w:line="360" w:lineRule="auto"/>
              <w:rPr>
                <w:rFonts w:hint="eastAsia" w:ascii="宋体" w:hAnsi="宋体"/>
                <w:sz w:val="24"/>
              </w:rPr>
            </w:pPr>
          </w:p>
        </w:tc>
      </w:tr>
      <w:tr w14:paraId="350B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7785" w:type="dxa"/>
            <w:vAlign w:val="center"/>
          </w:tcPr>
          <w:p w14:paraId="627F2E24">
            <w:pPr>
              <w:spacing w:line="360" w:lineRule="auto"/>
              <w:rPr>
                <w:rFonts w:hint="eastAsia" w:ascii="宋体" w:hAnsi="宋体"/>
                <w:sz w:val="24"/>
              </w:rPr>
            </w:pPr>
          </w:p>
        </w:tc>
        <w:tc>
          <w:tcPr>
            <w:tcW w:w="1642" w:type="dxa"/>
            <w:vAlign w:val="center"/>
          </w:tcPr>
          <w:p w14:paraId="441A03AE">
            <w:pPr>
              <w:spacing w:line="360" w:lineRule="auto"/>
              <w:rPr>
                <w:rFonts w:hint="eastAsia" w:ascii="宋体" w:hAnsi="宋体"/>
                <w:sz w:val="24"/>
              </w:rPr>
            </w:pPr>
          </w:p>
        </w:tc>
      </w:tr>
      <w:tr w14:paraId="5FB5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785" w:type="dxa"/>
            <w:vAlign w:val="center"/>
          </w:tcPr>
          <w:p w14:paraId="268BD4D9">
            <w:pPr>
              <w:spacing w:line="360" w:lineRule="auto"/>
              <w:rPr>
                <w:rFonts w:hint="eastAsia" w:ascii="宋体" w:hAnsi="宋体"/>
                <w:sz w:val="24"/>
              </w:rPr>
            </w:pPr>
          </w:p>
        </w:tc>
        <w:tc>
          <w:tcPr>
            <w:tcW w:w="1642" w:type="dxa"/>
            <w:vAlign w:val="center"/>
          </w:tcPr>
          <w:p w14:paraId="5D715422">
            <w:pPr>
              <w:spacing w:line="360" w:lineRule="auto"/>
              <w:rPr>
                <w:rFonts w:hint="eastAsia" w:ascii="宋体" w:hAnsi="宋体"/>
                <w:sz w:val="24"/>
              </w:rPr>
            </w:pPr>
          </w:p>
        </w:tc>
      </w:tr>
      <w:tr w14:paraId="4E35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7785" w:type="dxa"/>
            <w:vAlign w:val="center"/>
          </w:tcPr>
          <w:p w14:paraId="52ABC322">
            <w:pPr>
              <w:spacing w:line="360" w:lineRule="auto"/>
              <w:rPr>
                <w:rFonts w:hint="eastAsia" w:ascii="宋体" w:hAnsi="宋体"/>
                <w:sz w:val="24"/>
              </w:rPr>
            </w:pPr>
          </w:p>
        </w:tc>
        <w:tc>
          <w:tcPr>
            <w:tcW w:w="1642" w:type="dxa"/>
            <w:vAlign w:val="center"/>
          </w:tcPr>
          <w:p w14:paraId="2269C1A0">
            <w:pPr>
              <w:spacing w:line="360" w:lineRule="auto"/>
              <w:rPr>
                <w:rFonts w:hint="eastAsia" w:ascii="宋体" w:hAnsi="宋体"/>
                <w:sz w:val="24"/>
              </w:rPr>
            </w:pPr>
          </w:p>
        </w:tc>
      </w:tr>
      <w:tr w14:paraId="01CF4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785" w:type="dxa"/>
            <w:vAlign w:val="center"/>
          </w:tcPr>
          <w:p w14:paraId="0333EA65">
            <w:pPr>
              <w:spacing w:line="360" w:lineRule="auto"/>
              <w:rPr>
                <w:rFonts w:hint="eastAsia" w:ascii="宋体" w:hAnsi="宋体"/>
                <w:sz w:val="24"/>
              </w:rPr>
            </w:pPr>
          </w:p>
        </w:tc>
        <w:tc>
          <w:tcPr>
            <w:tcW w:w="1642" w:type="dxa"/>
            <w:vAlign w:val="center"/>
          </w:tcPr>
          <w:p w14:paraId="79B3CD13">
            <w:pPr>
              <w:spacing w:line="360" w:lineRule="auto"/>
              <w:rPr>
                <w:rFonts w:hint="eastAsia" w:ascii="宋体" w:hAnsi="宋体"/>
                <w:sz w:val="24"/>
              </w:rPr>
            </w:pPr>
          </w:p>
        </w:tc>
      </w:tr>
    </w:tbl>
    <w:p w14:paraId="0606FF27">
      <w:pPr>
        <w:pStyle w:val="62"/>
        <w:snapToGrid w:val="0"/>
        <w:spacing w:before="0" w:after="0"/>
        <w:ind w:firstLine="0"/>
        <w:rPr>
          <w:rFonts w:hint="eastAsia" w:ascii="宋体" w:hAnsi="宋体"/>
          <w:b/>
          <w:bCs/>
        </w:rPr>
      </w:pPr>
    </w:p>
    <w:p w14:paraId="45A95BE0">
      <w:pPr>
        <w:widowControl/>
        <w:jc w:val="left"/>
        <w:rPr>
          <w:rFonts w:hint="eastAsia" w:ascii="宋体" w:hAnsi="宋体"/>
          <w:b/>
          <w:bCs/>
          <w:kern w:val="0"/>
          <w:sz w:val="24"/>
        </w:rPr>
      </w:pPr>
      <w:r>
        <w:rPr>
          <w:rFonts w:ascii="宋体" w:hAnsi="宋体"/>
          <w:b/>
          <w:bCs/>
        </w:rPr>
        <w:br w:type="page"/>
      </w:r>
    </w:p>
    <w:p w14:paraId="6CBA2521">
      <w:pPr>
        <w:spacing w:after="156" w:afterLines="50" w:line="360" w:lineRule="auto"/>
        <w:jc w:val="center"/>
        <w:outlineLvl w:val="1"/>
        <w:rPr>
          <w:b/>
          <w:bCs/>
          <w:sz w:val="28"/>
          <w:szCs w:val="36"/>
          <w:lang w:eastAsia="zh-Hans"/>
        </w:rPr>
      </w:pPr>
      <w:bookmarkStart w:id="72" w:name="_Toc171605470"/>
      <w:r>
        <w:rPr>
          <w:b/>
          <w:bCs/>
          <w:sz w:val="28"/>
          <w:szCs w:val="36"/>
          <w:lang w:eastAsia="zh-Hans"/>
        </w:rPr>
        <w:t>二、资格审查响应对照表</w:t>
      </w:r>
      <w:bookmarkEnd w:id="72"/>
    </w:p>
    <w:tbl>
      <w:tblPr>
        <w:tblStyle w:val="3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6573"/>
        <w:gridCol w:w="850"/>
        <w:gridCol w:w="1418"/>
      </w:tblGrid>
      <w:tr w14:paraId="712D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765" w:type="dxa"/>
            <w:vAlign w:val="center"/>
          </w:tcPr>
          <w:p w14:paraId="3C2F6344">
            <w:pPr>
              <w:spacing w:line="276" w:lineRule="auto"/>
              <w:jc w:val="center"/>
              <w:rPr>
                <w:rFonts w:ascii="Times New Roman" w:hAnsi="Times New Roman"/>
                <w:b/>
                <w:sz w:val="22"/>
                <w:szCs w:val="22"/>
              </w:rPr>
            </w:pPr>
            <w:bookmarkStart w:id="73" w:name="_Hlk169685707"/>
            <w:r>
              <w:rPr>
                <w:rFonts w:ascii="Times New Roman" w:hAnsi="Times New Roman"/>
                <w:b/>
                <w:sz w:val="22"/>
                <w:szCs w:val="22"/>
              </w:rPr>
              <w:t>序号</w:t>
            </w:r>
          </w:p>
        </w:tc>
        <w:tc>
          <w:tcPr>
            <w:tcW w:w="6573" w:type="dxa"/>
            <w:vAlign w:val="center"/>
          </w:tcPr>
          <w:p w14:paraId="01000059">
            <w:pPr>
              <w:spacing w:line="276" w:lineRule="auto"/>
              <w:jc w:val="center"/>
              <w:rPr>
                <w:rFonts w:ascii="Times New Roman" w:hAnsi="Times New Roman"/>
                <w:b/>
                <w:sz w:val="22"/>
                <w:szCs w:val="22"/>
              </w:rPr>
            </w:pPr>
            <w:r>
              <w:rPr>
                <w:rFonts w:ascii="Times New Roman" w:hAnsi="Times New Roman"/>
                <w:b/>
                <w:sz w:val="22"/>
                <w:szCs w:val="22"/>
              </w:rPr>
              <w:t>资格审查响应内容</w:t>
            </w:r>
          </w:p>
        </w:tc>
        <w:tc>
          <w:tcPr>
            <w:tcW w:w="850" w:type="dxa"/>
            <w:vAlign w:val="center"/>
          </w:tcPr>
          <w:p w14:paraId="781A053C">
            <w:pPr>
              <w:spacing w:line="276" w:lineRule="auto"/>
              <w:jc w:val="center"/>
              <w:rPr>
                <w:rFonts w:ascii="Times New Roman" w:hAnsi="Times New Roman"/>
                <w:b/>
                <w:sz w:val="22"/>
                <w:szCs w:val="22"/>
              </w:rPr>
            </w:pPr>
            <w:r>
              <w:rPr>
                <w:rFonts w:ascii="Times New Roman" w:hAnsi="Times New Roman"/>
                <w:b/>
                <w:sz w:val="22"/>
                <w:szCs w:val="22"/>
              </w:rPr>
              <w:t>是否响应</w:t>
            </w:r>
          </w:p>
        </w:tc>
        <w:tc>
          <w:tcPr>
            <w:tcW w:w="1418" w:type="dxa"/>
            <w:vAlign w:val="center"/>
          </w:tcPr>
          <w:p w14:paraId="1947C3C4">
            <w:pPr>
              <w:spacing w:line="276" w:lineRule="auto"/>
              <w:jc w:val="center"/>
              <w:rPr>
                <w:rFonts w:ascii="Times New Roman" w:hAnsi="Times New Roman"/>
                <w:b/>
                <w:sz w:val="22"/>
                <w:szCs w:val="22"/>
              </w:rPr>
            </w:pPr>
            <w:r>
              <w:rPr>
                <w:rFonts w:ascii="Times New Roman" w:hAnsi="Times New Roman"/>
                <w:b/>
                <w:sz w:val="22"/>
                <w:szCs w:val="22"/>
              </w:rPr>
              <w:t>响应文件中的页码位置</w:t>
            </w:r>
          </w:p>
        </w:tc>
      </w:tr>
      <w:tr w14:paraId="4560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65" w:type="dxa"/>
            <w:vAlign w:val="center"/>
          </w:tcPr>
          <w:p w14:paraId="0884943C">
            <w:pPr>
              <w:spacing w:line="276" w:lineRule="auto"/>
              <w:jc w:val="center"/>
              <w:rPr>
                <w:rFonts w:ascii="Times New Roman" w:hAnsi="Times New Roman"/>
                <w:kern w:val="0"/>
                <w:sz w:val="24"/>
              </w:rPr>
            </w:pPr>
            <w:r>
              <w:rPr>
                <w:rFonts w:ascii="Times New Roman" w:hAnsi="Times New Roman"/>
                <w:kern w:val="0"/>
                <w:sz w:val="24"/>
              </w:rPr>
              <w:t>1</w:t>
            </w:r>
          </w:p>
        </w:tc>
        <w:tc>
          <w:tcPr>
            <w:tcW w:w="6573" w:type="dxa"/>
            <w:vAlign w:val="center"/>
          </w:tcPr>
          <w:p w14:paraId="61376563">
            <w:pPr>
              <w:spacing w:line="276" w:lineRule="auto"/>
              <w:rPr>
                <w:rFonts w:ascii="Times New Roman" w:hAnsi="Times New Roman"/>
                <w:b/>
                <w:bCs/>
                <w:i/>
                <w:iCs/>
                <w:kern w:val="0"/>
                <w:sz w:val="24"/>
                <w:u w:val="single"/>
              </w:rPr>
            </w:pPr>
            <w:r>
              <w:rPr>
                <w:rFonts w:ascii="Times New Roman" w:hAnsi="Times New Roman"/>
                <w:b/>
                <w:bCs/>
                <w:i/>
                <w:iCs/>
                <w:kern w:val="0"/>
                <w:sz w:val="24"/>
                <w:u w:val="single"/>
              </w:rPr>
              <w:t>具有独立承担民事责任的能力（提供法人或其他组织的营业执照等证明文件，自然人的身份证明）；</w:t>
            </w:r>
          </w:p>
        </w:tc>
        <w:tc>
          <w:tcPr>
            <w:tcW w:w="850" w:type="dxa"/>
            <w:vAlign w:val="center"/>
          </w:tcPr>
          <w:p w14:paraId="25396B85">
            <w:pPr>
              <w:spacing w:line="276" w:lineRule="auto"/>
              <w:jc w:val="center"/>
              <w:rPr>
                <w:rFonts w:ascii="Times New Roman" w:hAnsi="Times New Roman"/>
                <w:b/>
                <w:sz w:val="24"/>
              </w:rPr>
            </w:pPr>
          </w:p>
        </w:tc>
        <w:tc>
          <w:tcPr>
            <w:tcW w:w="1418" w:type="dxa"/>
            <w:vAlign w:val="center"/>
          </w:tcPr>
          <w:p w14:paraId="26DE9E04">
            <w:pPr>
              <w:spacing w:line="276" w:lineRule="auto"/>
              <w:jc w:val="center"/>
              <w:rPr>
                <w:rFonts w:ascii="Times New Roman" w:hAnsi="Times New Roman"/>
                <w:b/>
                <w:sz w:val="24"/>
              </w:rPr>
            </w:pPr>
          </w:p>
        </w:tc>
      </w:tr>
      <w:tr w14:paraId="6F46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trPr>
        <w:tc>
          <w:tcPr>
            <w:tcW w:w="765" w:type="dxa"/>
            <w:vAlign w:val="center"/>
          </w:tcPr>
          <w:p w14:paraId="2D57DC9F">
            <w:pPr>
              <w:spacing w:line="276" w:lineRule="auto"/>
              <w:jc w:val="center"/>
              <w:rPr>
                <w:rFonts w:ascii="Times New Roman" w:hAnsi="Times New Roman"/>
                <w:kern w:val="0"/>
                <w:sz w:val="24"/>
              </w:rPr>
            </w:pPr>
            <w:r>
              <w:rPr>
                <w:rFonts w:ascii="Times New Roman" w:hAnsi="Times New Roman"/>
                <w:kern w:val="0"/>
                <w:sz w:val="24"/>
              </w:rPr>
              <w:t>2</w:t>
            </w:r>
          </w:p>
        </w:tc>
        <w:tc>
          <w:tcPr>
            <w:tcW w:w="6573" w:type="dxa"/>
            <w:vAlign w:val="center"/>
          </w:tcPr>
          <w:p w14:paraId="5E8A329D">
            <w:pPr>
              <w:spacing w:line="276" w:lineRule="auto"/>
              <w:rPr>
                <w:rFonts w:ascii="Times New Roman" w:hAnsi="Times New Roman"/>
                <w:b/>
                <w:bCs/>
                <w:i/>
                <w:iCs/>
                <w:kern w:val="0"/>
                <w:sz w:val="24"/>
                <w:u w:val="single"/>
              </w:rPr>
            </w:pPr>
            <w:r>
              <w:rPr>
                <w:rFonts w:hint="eastAsia" w:ascii="Times New Roman" w:hAnsi="Times New Roman"/>
                <w:b/>
                <w:bCs/>
                <w:i/>
                <w:iCs/>
                <w:kern w:val="0"/>
                <w:sz w:val="24"/>
                <w:u w:val="single"/>
              </w:rPr>
              <w:t>《南京市政府采购供应商信用记录表暨信用承诺书》</w:t>
            </w:r>
          </w:p>
          <w:p w14:paraId="5855CA8A">
            <w:pPr>
              <w:spacing w:line="276" w:lineRule="auto"/>
              <w:rPr>
                <w:rFonts w:ascii="Times New Roman" w:hAnsi="Times New Roman"/>
                <w:b/>
                <w:bCs/>
                <w:i/>
                <w:iCs/>
                <w:kern w:val="0"/>
                <w:sz w:val="24"/>
                <w:u w:val="single"/>
              </w:rPr>
            </w:pPr>
            <w:r>
              <w:rPr>
                <w:rFonts w:hint="eastAsia" w:ascii="Times New Roman" w:hAnsi="Times New Roman"/>
                <w:b/>
                <w:bCs/>
                <w:i/>
                <w:iCs/>
                <w:kern w:val="0"/>
                <w:sz w:val="24"/>
                <w:u w:val="single"/>
              </w:rPr>
              <w:t>注：</w:t>
            </w:r>
          </w:p>
          <w:p w14:paraId="76C49E21">
            <w:pPr>
              <w:spacing w:line="276" w:lineRule="auto"/>
              <w:rPr>
                <w:rFonts w:ascii="Times New Roman" w:hAnsi="Times New Roman"/>
                <w:b/>
                <w:bCs/>
                <w:i/>
                <w:iCs/>
                <w:kern w:val="0"/>
                <w:sz w:val="24"/>
                <w:u w:val="single"/>
              </w:rPr>
            </w:pPr>
            <w:r>
              <w:rPr>
                <w:rFonts w:hint="eastAsia" w:ascii="Times New Roman" w:hAnsi="Times New Roman"/>
                <w:b/>
                <w:bCs/>
                <w:i/>
                <w:iCs/>
                <w:kern w:val="0"/>
                <w:sz w:val="24"/>
                <w:u w:val="single"/>
              </w:rPr>
              <w:t>（1）是否经法人签字并盖单位公章；</w:t>
            </w:r>
          </w:p>
          <w:p w14:paraId="1EB786A5">
            <w:pPr>
              <w:spacing w:line="276" w:lineRule="auto"/>
              <w:rPr>
                <w:rFonts w:ascii="Times New Roman" w:hAnsi="Times New Roman"/>
                <w:b/>
                <w:bCs/>
                <w:i/>
                <w:iCs/>
                <w:kern w:val="0"/>
                <w:sz w:val="24"/>
                <w:u w:val="single"/>
              </w:rPr>
            </w:pPr>
            <w:r>
              <w:rPr>
                <w:rFonts w:hint="eastAsia" w:ascii="Times New Roman" w:hAnsi="Times New Roman"/>
                <w:b/>
                <w:bCs/>
                <w:i/>
                <w:iCs/>
                <w:kern w:val="0"/>
                <w:sz w:val="24"/>
                <w:u w:val="single"/>
              </w:rPr>
              <w:t>（2）时间是否</w:t>
            </w:r>
            <w:r>
              <w:rPr>
                <w:rFonts w:hint="eastAsia" w:ascii="Times New Roman" w:hAnsi="Times New Roman"/>
                <w:b/>
                <w:bCs/>
                <w:i/>
                <w:iCs/>
                <w:kern w:val="0"/>
                <w:sz w:val="24"/>
                <w:u w:val="single"/>
                <w:lang w:eastAsia="zh-CN"/>
              </w:rPr>
              <w:t>在</w:t>
            </w:r>
            <w:r>
              <w:rPr>
                <w:rFonts w:hint="eastAsia" w:ascii="Times New Roman" w:hAnsi="Times New Roman"/>
                <w:b/>
                <w:bCs/>
                <w:i/>
                <w:iCs/>
                <w:kern w:val="0"/>
                <w:sz w:val="24"/>
                <w:u w:val="single"/>
              </w:rPr>
              <w:t>采购文件发布之日起至递交响应文件截止日前。</w:t>
            </w:r>
          </w:p>
        </w:tc>
        <w:tc>
          <w:tcPr>
            <w:tcW w:w="850" w:type="dxa"/>
            <w:vAlign w:val="center"/>
          </w:tcPr>
          <w:p w14:paraId="01B53B57">
            <w:pPr>
              <w:spacing w:line="276" w:lineRule="auto"/>
              <w:jc w:val="center"/>
              <w:rPr>
                <w:rFonts w:ascii="Times New Roman" w:hAnsi="Times New Roman"/>
                <w:b/>
                <w:sz w:val="24"/>
              </w:rPr>
            </w:pPr>
          </w:p>
        </w:tc>
        <w:tc>
          <w:tcPr>
            <w:tcW w:w="1418" w:type="dxa"/>
            <w:vAlign w:val="center"/>
          </w:tcPr>
          <w:p w14:paraId="20B23274">
            <w:pPr>
              <w:spacing w:line="276" w:lineRule="auto"/>
              <w:jc w:val="center"/>
              <w:rPr>
                <w:rFonts w:ascii="Times New Roman" w:hAnsi="Times New Roman"/>
                <w:b/>
                <w:sz w:val="24"/>
              </w:rPr>
            </w:pPr>
          </w:p>
        </w:tc>
      </w:tr>
      <w:tr w14:paraId="576D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606" w:type="dxa"/>
            <w:gridSpan w:val="4"/>
            <w:shd w:val="clear" w:color="auto" w:fill="D9D9D9"/>
            <w:vAlign w:val="center"/>
          </w:tcPr>
          <w:p w14:paraId="19515A13">
            <w:pPr>
              <w:spacing w:line="276" w:lineRule="auto"/>
              <w:rPr>
                <w:rFonts w:ascii="Times New Roman" w:hAnsi="Times New Roman"/>
                <w:b/>
                <w:sz w:val="24"/>
              </w:rPr>
            </w:pPr>
            <w:r>
              <w:rPr>
                <w:rFonts w:ascii="Times New Roman" w:hAnsi="Times New Roman"/>
                <w:b/>
                <w:sz w:val="24"/>
              </w:rPr>
              <w:t>特定资格要求</w:t>
            </w:r>
          </w:p>
          <w:p w14:paraId="60F94F89">
            <w:pPr>
              <w:spacing w:line="276" w:lineRule="auto"/>
              <w:rPr>
                <w:rFonts w:ascii="Times New Roman" w:hAnsi="Times New Roman"/>
                <w:sz w:val="24"/>
              </w:rPr>
            </w:pPr>
            <w:r>
              <w:rPr>
                <w:rFonts w:ascii="Times New Roman" w:hAnsi="Times New Roman"/>
                <w:bCs/>
                <w:sz w:val="24"/>
              </w:rPr>
              <w:t>（按照本</w:t>
            </w:r>
            <w:r>
              <w:rPr>
                <w:rFonts w:hint="eastAsia" w:ascii="Times New Roman" w:hAnsi="Times New Roman"/>
                <w:bCs/>
                <w:sz w:val="24"/>
              </w:rPr>
              <w:t>磋商</w:t>
            </w:r>
            <w:r>
              <w:rPr>
                <w:rFonts w:ascii="Times New Roman" w:hAnsi="Times New Roman"/>
                <w:bCs/>
                <w:sz w:val="24"/>
              </w:rPr>
              <w:t>文件</w:t>
            </w:r>
            <w:r>
              <w:rPr>
                <w:rFonts w:ascii="宋体" w:hAnsi="宋体"/>
                <w:bCs/>
                <w:sz w:val="24"/>
              </w:rPr>
              <w:t>“第一章 采购邀请”</w:t>
            </w:r>
            <w:r>
              <w:rPr>
                <w:rFonts w:ascii="Times New Roman" w:hAnsi="Times New Roman"/>
                <w:bCs/>
                <w:sz w:val="24"/>
              </w:rPr>
              <w:t>中的</w:t>
            </w:r>
            <w:r>
              <w:rPr>
                <w:rFonts w:ascii="宋体" w:hAnsi="宋体"/>
                <w:bCs/>
                <w:sz w:val="24"/>
              </w:rPr>
              <w:t>“</w:t>
            </w:r>
            <w:r>
              <w:rPr>
                <w:rFonts w:ascii="Times New Roman" w:hAnsi="Times New Roman"/>
                <w:bCs/>
                <w:sz w:val="24"/>
              </w:rPr>
              <w:t>2.4本项目的特定资格要求</w:t>
            </w:r>
            <w:r>
              <w:rPr>
                <w:rFonts w:ascii="宋体" w:hAnsi="宋体"/>
                <w:bCs/>
                <w:sz w:val="24"/>
              </w:rPr>
              <w:t>”</w:t>
            </w:r>
            <w:r>
              <w:rPr>
                <w:rFonts w:ascii="Times New Roman" w:hAnsi="Times New Roman"/>
                <w:bCs/>
                <w:sz w:val="24"/>
              </w:rPr>
              <w:t>逐条提供）</w:t>
            </w:r>
          </w:p>
        </w:tc>
      </w:tr>
      <w:tr w14:paraId="74CD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765" w:type="dxa"/>
            <w:vAlign w:val="center"/>
          </w:tcPr>
          <w:p w14:paraId="10EFDD00">
            <w:pPr>
              <w:spacing w:line="276" w:lineRule="auto"/>
              <w:jc w:val="center"/>
              <w:rPr>
                <w:rFonts w:ascii="Times New Roman" w:hAnsi="Times New Roman"/>
                <w:kern w:val="0"/>
                <w:sz w:val="24"/>
              </w:rPr>
            </w:pPr>
            <w:r>
              <w:rPr>
                <w:rFonts w:ascii="Times New Roman" w:hAnsi="Times New Roman"/>
                <w:kern w:val="0"/>
                <w:sz w:val="24"/>
              </w:rPr>
              <w:t>1</w:t>
            </w:r>
          </w:p>
        </w:tc>
        <w:tc>
          <w:tcPr>
            <w:tcW w:w="6573" w:type="dxa"/>
            <w:vAlign w:val="center"/>
          </w:tcPr>
          <w:p w14:paraId="5CFDF9ED">
            <w:pPr>
              <w:spacing w:line="276" w:lineRule="auto"/>
              <w:rPr>
                <w:rFonts w:ascii="Times New Roman" w:hAnsi="Times New Roman"/>
                <w:b/>
                <w:bCs/>
                <w:i/>
                <w:iCs/>
                <w:kern w:val="0"/>
                <w:sz w:val="24"/>
                <w:u w:val="single"/>
              </w:rPr>
            </w:pPr>
            <w:r>
              <w:rPr>
                <w:rFonts w:ascii="Times New Roman" w:hAnsi="Times New Roman"/>
                <w:b/>
                <w:bCs/>
                <w:i/>
                <w:iCs/>
                <w:kern w:val="0"/>
                <w:sz w:val="24"/>
                <w:u w:val="single"/>
              </w:rPr>
              <w:t>******</w:t>
            </w:r>
          </w:p>
        </w:tc>
        <w:tc>
          <w:tcPr>
            <w:tcW w:w="850" w:type="dxa"/>
            <w:vAlign w:val="center"/>
          </w:tcPr>
          <w:p w14:paraId="1669EA64">
            <w:pPr>
              <w:spacing w:line="276" w:lineRule="auto"/>
              <w:jc w:val="center"/>
              <w:rPr>
                <w:rFonts w:ascii="Times New Roman" w:hAnsi="Times New Roman"/>
                <w:sz w:val="24"/>
              </w:rPr>
            </w:pPr>
          </w:p>
        </w:tc>
        <w:tc>
          <w:tcPr>
            <w:tcW w:w="1418" w:type="dxa"/>
            <w:vAlign w:val="center"/>
          </w:tcPr>
          <w:p w14:paraId="7851CA61">
            <w:pPr>
              <w:spacing w:line="276" w:lineRule="auto"/>
              <w:jc w:val="center"/>
              <w:rPr>
                <w:rFonts w:ascii="Times New Roman" w:hAnsi="Times New Roman"/>
                <w:sz w:val="24"/>
              </w:rPr>
            </w:pPr>
          </w:p>
        </w:tc>
      </w:tr>
      <w:tr w14:paraId="7145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606" w:type="dxa"/>
            <w:gridSpan w:val="4"/>
            <w:shd w:val="clear" w:color="auto" w:fill="D9D9D9"/>
            <w:vAlign w:val="center"/>
          </w:tcPr>
          <w:p w14:paraId="1727E9E8">
            <w:pPr>
              <w:spacing w:line="276" w:lineRule="auto"/>
              <w:rPr>
                <w:rFonts w:ascii="Times New Roman" w:hAnsi="Times New Roman"/>
                <w:sz w:val="24"/>
              </w:rPr>
            </w:pPr>
            <w:r>
              <w:rPr>
                <w:rFonts w:ascii="Times New Roman" w:hAnsi="Times New Roman"/>
                <w:b/>
                <w:sz w:val="24"/>
              </w:rPr>
              <w:t>其他资格要求</w:t>
            </w:r>
          </w:p>
        </w:tc>
      </w:tr>
      <w:tr w14:paraId="463E3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765" w:type="dxa"/>
            <w:vAlign w:val="center"/>
          </w:tcPr>
          <w:p w14:paraId="04F3FE90">
            <w:pPr>
              <w:spacing w:line="276" w:lineRule="auto"/>
              <w:jc w:val="center"/>
              <w:rPr>
                <w:rFonts w:ascii="Times New Roman" w:hAnsi="Times New Roman"/>
                <w:kern w:val="0"/>
                <w:sz w:val="24"/>
              </w:rPr>
            </w:pPr>
            <w:r>
              <w:rPr>
                <w:rFonts w:ascii="Times New Roman" w:hAnsi="Times New Roman"/>
                <w:kern w:val="0"/>
                <w:sz w:val="24"/>
              </w:rPr>
              <w:t>1</w:t>
            </w:r>
          </w:p>
        </w:tc>
        <w:tc>
          <w:tcPr>
            <w:tcW w:w="6573" w:type="dxa"/>
            <w:vAlign w:val="center"/>
          </w:tcPr>
          <w:p w14:paraId="1F799C7A">
            <w:pPr>
              <w:spacing w:line="276" w:lineRule="auto"/>
              <w:rPr>
                <w:rFonts w:ascii="Times New Roman" w:hAnsi="Times New Roman"/>
                <w:b/>
                <w:bCs/>
                <w:i/>
                <w:iCs/>
                <w:kern w:val="0"/>
                <w:sz w:val="24"/>
                <w:u w:val="single"/>
              </w:rPr>
            </w:pPr>
            <w:r>
              <w:rPr>
                <w:rFonts w:ascii="Times New Roman" w:hAnsi="Times New Roman"/>
                <w:b/>
                <w:bCs/>
                <w:i/>
                <w:iCs/>
                <w:kern w:val="0"/>
                <w:sz w:val="24"/>
                <w:u w:val="single"/>
              </w:rPr>
              <w:t>法人授权书（盖章原件，格式见后）</w:t>
            </w:r>
          </w:p>
        </w:tc>
        <w:tc>
          <w:tcPr>
            <w:tcW w:w="850" w:type="dxa"/>
            <w:vAlign w:val="center"/>
          </w:tcPr>
          <w:p w14:paraId="1774B6B6">
            <w:pPr>
              <w:spacing w:line="276" w:lineRule="auto"/>
              <w:jc w:val="center"/>
              <w:rPr>
                <w:rFonts w:ascii="Times New Roman" w:hAnsi="Times New Roman"/>
                <w:sz w:val="24"/>
              </w:rPr>
            </w:pPr>
          </w:p>
        </w:tc>
        <w:tc>
          <w:tcPr>
            <w:tcW w:w="1418" w:type="dxa"/>
            <w:vAlign w:val="center"/>
          </w:tcPr>
          <w:p w14:paraId="7392150B">
            <w:pPr>
              <w:spacing w:line="276" w:lineRule="auto"/>
              <w:jc w:val="center"/>
              <w:rPr>
                <w:rFonts w:ascii="Times New Roman" w:hAnsi="Times New Roman"/>
                <w:sz w:val="24"/>
              </w:rPr>
            </w:pPr>
          </w:p>
        </w:tc>
      </w:tr>
      <w:tr w14:paraId="3179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5" w:hRule="atLeast"/>
        </w:trPr>
        <w:tc>
          <w:tcPr>
            <w:tcW w:w="765" w:type="dxa"/>
            <w:vAlign w:val="center"/>
          </w:tcPr>
          <w:p w14:paraId="5C023AEF">
            <w:pPr>
              <w:spacing w:line="276" w:lineRule="auto"/>
              <w:jc w:val="center"/>
              <w:rPr>
                <w:rFonts w:ascii="Times New Roman" w:hAnsi="Times New Roman"/>
                <w:kern w:val="0"/>
                <w:sz w:val="24"/>
              </w:rPr>
            </w:pPr>
            <w:r>
              <w:rPr>
                <w:rFonts w:ascii="Times New Roman" w:hAnsi="Times New Roman"/>
                <w:kern w:val="0"/>
                <w:sz w:val="24"/>
              </w:rPr>
              <w:t>2</w:t>
            </w:r>
          </w:p>
        </w:tc>
        <w:tc>
          <w:tcPr>
            <w:tcW w:w="6573" w:type="dxa"/>
            <w:vAlign w:val="center"/>
          </w:tcPr>
          <w:p w14:paraId="5C9BCAAC">
            <w:pPr>
              <w:spacing w:line="276" w:lineRule="auto"/>
              <w:rPr>
                <w:rFonts w:ascii="Times New Roman" w:hAnsi="Times New Roman"/>
                <w:b/>
                <w:bCs/>
                <w:i/>
                <w:iCs/>
                <w:kern w:val="0"/>
                <w:sz w:val="24"/>
                <w:u w:val="single"/>
              </w:rPr>
            </w:pPr>
            <w:r>
              <w:rPr>
                <w:rFonts w:ascii="Times New Roman" w:hAnsi="Times New Roman"/>
                <w:b/>
                <w:bCs/>
                <w:i/>
                <w:iCs/>
                <w:kern w:val="0"/>
                <w:sz w:val="24"/>
                <w:u w:val="single"/>
              </w:rPr>
              <w:t>磋商响应函（盖章原件，格式见后）</w:t>
            </w:r>
          </w:p>
        </w:tc>
        <w:tc>
          <w:tcPr>
            <w:tcW w:w="850" w:type="dxa"/>
            <w:vAlign w:val="center"/>
          </w:tcPr>
          <w:p w14:paraId="5FBB1F3E">
            <w:pPr>
              <w:spacing w:line="276" w:lineRule="auto"/>
              <w:jc w:val="center"/>
              <w:rPr>
                <w:rFonts w:ascii="Times New Roman" w:hAnsi="Times New Roman"/>
                <w:sz w:val="24"/>
              </w:rPr>
            </w:pPr>
          </w:p>
        </w:tc>
        <w:tc>
          <w:tcPr>
            <w:tcW w:w="1418" w:type="dxa"/>
            <w:vAlign w:val="center"/>
          </w:tcPr>
          <w:p w14:paraId="28AA89E8">
            <w:pPr>
              <w:spacing w:line="276" w:lineRule="auto"/>
              <w:jc w:val="center"/>
              <w:rPr>
                <w:rFonts w:ascii="Times New Roman" w:hAnsi="Times New Roman"/>
                <w:sz w:val="24"/>
              </w:rPr>
            </w:pPr>
          </w:p>
        </w:tc>
      </w:tr>
      <w:tr w14:paraId="0C21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65" w:type="dxa"/>
            <w:vAlign w:val="center"/>
          </w:tcPr>
          <w:p w14:paraId="161F0D7E">
            <w:pPr>
              <w:spacing w:line="276" w:lineRule="auto"/>
              <w:jc w:val="center"/>
              <w:rPr>
                <w:rFonts w:ascii="Times New Roman" w:hAnsi="Times New Roman"/>
                <w:kern w:val="0"/>
                <w:sz w:val="24"/>
              </w:rPr>
            </w:pPr>
            <w:r>
              <w:rPr>
                <w:rFonts w:ascii="Times New Roman" w:hAnsi="Times New Roman"/>
                <w:kern w:val="0"/>
                <w:sz w:val="24"/>
              </w:rPr>
              <w:t>3</w:t>
            </w:r>
          </w:p>
        </w:tc>
        <w:tc>
          <w:tcPr>
            <w:tcW w:w="6573" w:type="dxa"/>
            <w:vAlign w:val="center"/>
          </w:tcPr>
          <w:p w14:paraId="405555E4">
            <w:pPr>
              <w:spacing w:line="276" w:lineRule="auto"/>
              <w:rPr>
                <w:rFonts w:ascii="Times New Roman" w:hAnsi="Times New Roman"/>
                <w:b/>
                <w:bCs/>
                <w:i/>
                <w:iCs/>
                <w:kern w:val="0"/>
                <w:sz w:val="24"/>
                <w:u w:val="single"/>
              </w:rPr>
            </w:pPr>
            <w:r>
              <w:rPr>
                <w:rFonts w:ascii="Times New Roman" w:hAnsi="Times New Roman"/>
                <w:kern w:val="0"/>
                <w:sz w:val="24"/>
              </w:rPr>
              <w:t>中小企业声明函</w:t>
            </w:r>
            <w:r>
              <w:rPr>
                <w:rFonts w:ascii="Times New Roman" w:hAnsi="Times New Roman"/>
                <w:b/>
                <w:bCs/>
                <w:i/>
                <w:iCs/>
                <w:kern w:val="0"/>
                <w:sz w:val="24"/>
                <w:u w:val="single"/>
              </w:rPr>
              <w:t>（如本项目磋商文件</w:t>
            </w:r>
            <w:r>
              <w:rPr>
                <w:rFonts w:ascii="宋体" w:hAnsi="宋体"/>
                <w:b/>
                <w:bCs/>
                <w:i/>
                <w:iCs/>
                <w:kern w:val="0"/>
                <w:sz w:val="24"/>
                <w:u w:val="single"/>
              </w:rPr>
              <w:t>“</w:t>
            </w:r>
            <w:r>
              <w:rPr>
                <w:rFonts w:ascii="Times New Roman" w:hAnsi="Times New Roman"/>
                <w:b/>
                <w:bCs/>
                <w:i/>
                <w:iCs/>
                <w:kern w:val="0"/>
                <w:sz w:val="24"/>
                <w:u w:val="single"/>
              </w:rPr>
              <w:t xml:space="preserve">第一章 </w:t>
            </w:r>
            <w:r>
              <w:rPr>
                <w:rFonts w:hint="eastAsia" w:ascii="Times New Roman" w:hAnsi="Times New Roman"/>
                <w:b/>
                <w:bCs/>
                <w:i/>
                <w:iCs/>
                <w:kern w:val="0"/>
                <w:sz w:val="24"/>
                <w:u w:val="single"/>
              </w:rPr>
              <w:t>采购</w:t>
            </w:r>
            <w:r>
              <w:rPr>
                <w:rFonts w:ascii="Times New Roman" w:hAnsi="Times New Roman"/>
                <w:b/>
                <w:bCs/>
                <w:i/>
                <w:iCs/>
                <w:kern w:val="0"/>
                <w:sz w:val="24"/>
                <w:u w:val="single"/>
              </w:rPr>
              <w:t>邀请</w:t>
            </w:r>
            <w:r>
              <w:rPr>
                <w:rFonts w:ascii="宋体" w:hAnsi="宋体"/>
                <w:b/>
                <w:bCs/>
                <w:i/>
                <w:iCs/>
                <w:kern w:val="0"/>
                <w:sz w:val="24"/>
                <w:u w:val="single"/>
              </w:rPr>
              <w:t>”</w:t>
            </w:r>
            <w:r>
              <w:rPr>
                <w:rFonts w:ascii="Times New Roman" w:hAnsi="Times New Roman"/>
                <w:b/>
                <w:bCs/>
                <w:i/>
                <w:iCs/>
                <w:kern w:val="0"/>
                <w:sz w:val="24"/>
                <w:u w:val="single"/>
              </w:rPr>
              <w:t>中的</w:t>
            </w:r>
            <w:r>
              <w:rPr>
                <w:rFonts w:ascii="宋体" w:hAnsi="宋体"/>
                <w:b/>
                <w:bCs/>
                <w:i/>
                <w:iCs/>
                <w:kern w:val="0"/>
                <w:sz w:val="24"/>
                <w:u w:val="single"/>
              </w:rPr>
              <w:t>“</w:t>
            </w:r>
            <w:r>
              <w:rPr>
                <w:rFonts w:ascii="Times New Roman" w:hAnsi="Times New Roman"/>
                <w:b/>
                <w:bCs/>
                <w:i/>
                <w:iCs/>
                <w:kern w:val="0"/>
                <w:sz w:val="24"/>
                <w:u w:val="single"/>
              </w:rPr>
              <w:t>2.2</w:t>
            </w:r>
            <w:r>
              <w:rPr>
                <w:rFonts w:hint="eastAsia" w:ascii="Times New Roman" w:hAnsi="Times New Roman"/>
                <w:b/>
                <w:bCs/>
                <w:i/>
                <w:iCs/>
                <w:kern w:val="0"/>
                <w:sz w:val="24"/>
                <w:u w:val="single"/>
              </w:rPr>
              <w:t>落实政府采购政策需满足的资格要求</w:t>
            </w:r>
            <w:r>
              <w:rPr>
                <w:rFonts w:ascii="宋体" w:hAnsi="宋体"/>
                <w:b/>
                <w:bCs/>
                <w:i/>
                <w:iCs/>
                <w:kern w:val="0"/>
                <w:sz w:val="24"/>
                <w:u w:val="single"/>
              </w:rPr>
              <w:t>”</w:t>
            </w:r>
            <w:r>
              <w:rPr>
                <w:rFonts w:ascii="Times New Roman" w:hAnsi="Times New Roman"/>
                <w:b/>
                <w:bCs/>
                <w:i/>
                <w:iCs/>
                <w:kern w:val="0"/>
                <w:sz w:val="24"/>
                <w:u w:val="single"/>
              </w:rPr>
              <w:t>按第（1）至（3）种方式落实的，则必须提供中小企业声明函的盖章原件，格式见后）；</w:t>
            </w:r>
          </w:p>
        </w:tc>
        <w:tc>
          <w:tcPr>
            <w:tcW w:w="850" w:type="dxa"/>
            <w:vAlign w:val="center"/>
          </w:tcPr>
          <w:p w14:paraId="24CCF1BC">
            <w:pPr>
              <w:spacing w:line="276" w:lineRule="auto"/>
              <w:jc w:val="center"/>
              <w:rPr>
                <w:rFonts w:ascii="Times New Roman" w:hAnsi="Times New Roman"/>
                <w:sz w:val="24"/>
              </w:rPr>
            </w:pPr>
          </w:p>
        </w:tc>
        <w:tc>
          <w:tcPr>
            <w:tcW w:w="1418" w:type="dxa"/>
            <w:vAlign w:val="center"/>
          </w:tcPr>
          <w:p w14:paraId="65626DF8">
            <w:pPr>
              <w:spacing w:line="276" w:lineRule="auto"/>
              <w:jc w:val="center"/>
              <w:rPr>
                <w:rFonts w:ascii="Times New Roman" w:hAnsi="Times New Roman"/>
                <w:sz w:val="24"/>
              </w:rPr>
            </w:pPr>
          </w:p>
        </w:tc>
      </w:tr>
      <w:tr w14:paraId="06FA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65" w:type="dxa"/>
            <w:vAlign w:val="center"/>
          </w:tcPr>
          <w:p w14:paraId="048AC097">
            <w:pPr>
              <w:spacing w:line="276" w:lineRule="auto"/>
              <w:jc w:val="center"/>
              <w:rPr>
                <w:rFonts w:ascii="Times New Roman" w:hAnsi="Times New Roman"/>
                <w:kern w:val="0"/>
                <w:sz w:val="24"/>
              </w:rPr>
            </w:pPr>
            <w:r>
              <w:rPr>
                <w:rFonts w:ascii="Times New Roman" w:hAnsi="Times New Roman"/>
                <w:kern w:val="0"/>
                <w:sz w:val="24"/>
              </w:rPr>
              <w:t>4</w:t>
            </w:r>
          </w:p>
        </w:tc>
        <w:tc>
          <w:tcPr>
            <w:tcW w:w="6573" w:type="dxa"/>
            <w:vAlign w:val="center"/>
          </w:tcPr>
          <w:p w14:paraId="5A0B0EB6">
            <w:pPr>
              <w:spacing w:line="276" w:lineRule="auto"/>
              <w:rPr>
                <w:rFonts w:ascii="Times New Roman" w:hAnsi="Times New Roman"/>
                <w:b/>
                <w:bCs/>
                <w:i/>
                <w:iCs/>
                <w:kern w:val="0"/>
                <w:sz w:val="24"/>
                <w:u w:val="single"/>
              </w:rPr>
            </w:pPr>
            <w:r>
              <w:rPr>
                <w:rFonts w:ascii="Times New Roman" w:hAnsi="Times New Roman"/>
                <w:kern w:val="0"/>
                <w:sz w:val="24"/>
              </w:rPr>
              <w:t>联合体协议</w:t>
            </w:r>
            <w:r>
              <w:rPr>
                <w:rFonts w:ascii="Times New Roman" w:hAnsi="Times New Roman"/>
                <w:b/>
                <w:bCs/>
                <w:i/>
                <w:iCs/>
                <w:kern w:val="0"/>
                <w:sz w:val="24"/>
                <w:u w:val="single"/>
              </w:rPr>
              <w:t>（如本项目接受联合体参与采购，且供应商以联合体形式参加的，必须提供联合体协议盖章原件，格式见后）</w:t>
            </w:r>
          </w:p>
        </w:tc>
        <w:tc>
          <w:tcPr>
            <w:tcW w:w="850" w:type="dxa"/>
            <w:vAlign w:val="center"/>
          </w:tcPr>
          <w:p w14:paraId="75403C3F">
            <w:pPr>
              <w:spacing w:line="276" w:lineRule="auto"/>
              <w:jc w:val="center"/>
              <w:rPr>
                <w:rFonts w:ascii="Times New Roman" w:hAnsi="Times New Roman"/>
                <w:sz w:val="24"/>
              </w:rPr>
            </w:pPr>
          </w:p>
        </w:tc>
        <w:tc>
          <w:tcPr>
            <w:tcW w:w="1418" w:type="dxa"/>
            <w:vAlign w:val="center"/>
          </w:tcPr>
          <w:p w14:paraId="3C543ED0">
            <w:pPr>
              <w:spacing w:line="276" w:lineRule="auto"/>
              <w:jc w:val="center"/>
              <w:rPr>
                <w:rFonts w:ascii="Times New Roman" w:hAnsi="Times New Roman"/>
                <w:sz w:val="24"/>
              </w:rPr>
            </w:pPr>
          </w:p>
        </w:tc>
      </w:tr>
      <w:tr w14:paraId="324C7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65" w:type="dxa"/>
            <w:vAlign w:val="center"/>
          </w:tcPr>
          <w:p w14:paraId="5494C228">
            <w:pPr>
              <w:spacing w:line="276" w:lineRule="auto"/>
              <w:jc w:val="center"/>
              <w:rPr>
                <w:rFonts w:ascii="Times New Roman" w:hAnsi="Times New Roman"/>
                <w:kern w:val="0"/>
                <w:sz w:val="24"/>
              </w:rPr>
            </w:pPr>
            <w:r>
              <w:rPr>
                <w:rFonts w:ascii="Times New Roman" w:hAnsi="Times New Roman"/>
                <w:kern w:val="0"/>
                <w:sz w:val="24"/>
              </w:rPr>
              <w:t>5</w:t>
            </w:r>
          </w:p>
        </w:tc>
        <w:tc>
          <w:tcPr>
            <w:tcW w:w="6573" w:type="dxa"/>
            <w:vAlign w:val="center"/>
          </w:tcPr>
          <w:p w14:paraId="69E96D7E">
            <w:pPr>
              <w:spacing w:line="276" w:lineRule="auto"/>
              <w:rPr>
                <w:rFonts w:ascii="Times New Roman" w:hAnsi="Times New Roman"/>
                <w:b/>
                <w:bCs/>
                <w:i/>
                <w:iCs/>
                <w:kern w:val="0"/>
                <w:sz w:val="24"/>
                <w:u w:val="single"/>
              </w:rPr>
            </w:pPr>
            <w:r>
              <w:rPr>
                <w:rFonts w:ascii="Times New Roman" w:hAnsi="Times New Roman"/>
                <w:kern w:val="0"/>
                <w:sz w:val="24"/>
              </w:rPr>
              <w:t>节能产品认证证书</w:t>
            </w:r>
            <w:r>
              <w:rPr>
                <w:rFonts w:ascii="Times New Roman" w:hAnsi="Times New Roman"/>
                <w:b/>
                <w:bCs/>
                <w:i/>
                <w:iCs/>
                <w:kern w:val="0"/>
                <w:sz w:val="24"/>
                <w:u w:val="single"/>
              </w:rPr>
              <w:t>（如果提供产品属于政府强制采购节能产品品目清单范围内，则磋商响应文件中必须提供国家确定的认证机构出具的、处于有效期之内的该节能产品认证证书图片）</w:t>
            </w:r>
          </w:p>
        </w:tc>
        <w:tc>
          <w:tcPr>
            <w:tcW w:w="850" w:type="dxa"/>
            <w:vAlign w:val="center"/>
          </w:tcPr>
          <w:p w14:paraId="3B1A695E">
            <w:pPr>
              <w:spacing w:line="276" w:lineRule="auto"/>
              <w:jc w:val="center"/>
              <w:rPr>
                <w:rFonts w:ascii="Times New Roman" w:hAnsi="Times New Roman"/>
                <w:sz w:val="24"/>
              </w:rPr>
            </w:pPr>
          </w:p>
        </w:tc>
        <w:tc>
          <w:tcPr>
            <w:tcW w:w="1418" w:type="dxa"/>
            <w:vAlign w:val="center"/>
          </w:tcPr>
          <w:p w14:paraId="7F4918E1">
            <w:pPr>
              <w:spacing w:line="276" w:lineRule="auto"/>
              <w:jc w:val="center"/>
              <w:rPr>
                <w:rFonts w:ascii="Times New Roman" w:hAnsi="Times New Roman"/>
                <w:sz w:val="24"/>
              </w:rPr>
            </w:pPr>
          </w:p>
        </w:tc>
      </w:tr>
      <w:tr w14:paraId="0BED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 w:hRule="atLeast"/>
        </w:trPr>
        <w:tc>
          <w:tcPr>
            <w:tcW w:w="765" w:type="dxa"/>
            <w:vAlign w:val="center"/>
          </w:tcPr>
          <w:p w14:paraId="3AC552FC">
            <w:pPr>
              <w:spacing w:line="276" w:lineRule="auto"/>
              <w:jc w:val="center"/>
              <w:rPr>
                <w:rFonts w:ascii="Times New Roman" w:hAnsi="Times New Roman"/>
                <w:kern w:val="0"/>
                <w:sz w:val="24"/>
              </w:rPr>
            </w:pPr>
            <w:r>
              <w:rPr>
                <w:rFonts w:ascii="Times New Roman" w:hAnsi="Times New Roman"/>
                <w:kern w:val="0"/>
                <w:sz w:val="24"/>
              </w:rPr>
              <w:t>6</w:t>
            </w:r>
          </w:p>
        </w:tc>
        <w:tc>
          <w:tcPr>
            <w:tcW w:w="6573" w:type="dxa"/>
            <w:vAlign w:val="center"/>
          </w:tcPr>
          <w:p w14:paraId="3F0D56D4">
            <w:pPr>
              <w:spacing w:line="276" w:lineRule="auto"/>
              <w:jc w:val="left"/>
              <w:rPr>
                <w:rFonts w:ascii="Times New Roman" w:hAnsi="Times New Roman"/>
                <w:b/>
                <w:bCs/>
                <w:i/>
                <w:iCs/>
                <w:kern w:val="0"/>
                <w:sz w:val="24"/>
                <w:u w:val="single"/>
              </w:rPr>
            </w:pPr>
            <w:r>
              <w:rPr>
                <w:rFonts w:ascii="Times New Roman" w:hAnsi="Times New Roman"/>
                <w:b/>
                <w:bCs/>
                <w:i/>
                <w:iCs/>
                <w:kern w:val="0"/>
                <w:sz w:val="24"/>
                <w:u w:val="single"/>
              </w:rPr>
              <w:t>******</w:t>
            </w:r>
          </w:p>
        </w:tc>
        <w:tc>
          <w:tcPr>
            <w:tcW w:w="850" w:type="dxa"/>
            <w:vAlign w:val="center"/>
          </w:tcPr>
          <w:p w14:paraId="7DC8CF37">
            <w:pPr>
              <w:spacing w:line="276" w:lineRule="auto"/>
              <w:jc w:val="center"/>
              <w:rPr>
                <w:rFonts w:ascii="Times New Roman" w:hAnsi="Times New Roman"/>
                <w:sz w:val="24"/>
              </w:rPr>
            </w:pPr>
          </w:p>
        </w:tc>
        <w:tc>
          <w:tcPr>
            <w:tcW w:w="1418" w:type="dxa"/>
            <w:vAlign w:val="center"/>
          </w:tcPr>
          <w:p w14:paraId="1BC266C5">
            <w:pPr>
              <w:spacing w:line="276" w:lineRule="auto"/>
              <w:jc w:val="center"/>
              <w:rPr>
                <w:rFonts w:ascii="Times New Roman" w:hAnsi="Times New Roman"/>
                <w:sz w:val="24"/>
              </w:rPr>
            </w:pPr>
          </w:p>
        </w:tc>
      </w:tr>
    </w:tbl>
    <w:p w14:paraId="0BC8EB95">
      <w:pPr>
        <w:spacing w:line="360" w:lineRule="auto"/>
        <w:rPr>
          <w:b/>
          <w:bCs/>
          <w:sz w:val="24"/>
          <w:szCs w:val="32"/>
        </w:rPr>
      </w:pPr>
    </w:p>
    <w:p w14:paraId="153B3914">
      <w:pPr>
        <w:spacing w:line="360" w:lineRule="auto"/>
        <w:rPr>
          <w:b/>
          <w:bCs/>
          <w:sz w:val="24"/>
          <w:szCs w:val="32"/>
        </w:rPr>
      </w:pPr>
    </w:p>
    <w:p w14:paraId="7CB39D55">
      <w:pPr>
        <w:spacing w:line="360" w:lineRule="auto"/>
        <w:rPr>
          <w:b/>
          <w:bCs/>
          <w:sz w:val="24"/>
          <w:szCs w:val="32"/>
          <w:lang w:eastAsia="zh-Hans"/>
        </w:rPr>
      </w:pPr>
      <w:r>
        <w:rPr>
          <w:rFonts w:hint="eastAsia"/>
          <w:b/>
          <w:bCs/>
          <w:sz w:val="24"/>
          <w:szCs w:val="32"/>
          <w:lang w:eastAsia="zh-Hans"/>
        </w:rPr>
        <w:t>备注</w:t>
      </w:r>
      <w:r>
        <w:rPr>
          <w:b/>
          <w:bCs/>
          <w:sz w:val="24"/>
          <w:szCs w:val="32"/>
          <w:lang w:eastAsia="zh-Hans"/>
        </w:rPr>
        <w:t>：</w:t>
      </w:r>
    </w:p>
    <w:p w14:paraId="11A7AEC8">
      <w:pPr>
        <w:spacing w:line="360" w:lineRule="auto"/>
        <w:ind w:firstLine="480" w:firstLineChars="200"/>
        <w:rPr>
          <w:rFonts w:ascii="Times New Roman" w:hAnsi="Times New Roman"/>
          <w:sz w:val="24"/>
        </w:rPr>
      </w:pPr>
      <w:r>
        <w:rPr>
          <w:rFonts w:hint="eastAsia" w:ascii="Times New Roman" w:hAnsi="Times New Roman"/>
          <w:sz w:val="24"/>
        </w:rPr>
        <w:t>1、</w:t>
      </w:r>
      <w:r>
        <w:rPr>
          <w:rFonts w:ascii="Times New Roman" w:hAnsi="Times New Roman"/>
          <w:sz w:val="24"/>
        </w:rPr>
        <w:t>在</w:t>
      </w:r>
      <w:bookmarkStart w:id="98" w:name="_GoBack"/>
      <w:r>
        <w:rPr>
          <w:rFonts w:ascii="Times New Roman" w:hAnsi="Times New Roman"/>
          <w:sz w:val="24"/>
        </w:rPr>
        <w:t>政府采购</w:t>
      </w:r>
      <w:bookmarkEnd w:id="98"/>
      <w:r>
        <w:rPr>
          <w:rFonts w:ascii="Times New Roman" w:hAnsi="Times New Roman"/>
          <w:sz w:val="24"/>
        </w:rPr>
        <w:t>资格审查环节，供应商只需提供书面《南京市政府采购供应商信用记录表暨信用承诺书》，即可替代以下证明材料：</w:t>
      </w:r>
    </w:p>
    <w:p w14:paraId="68E8ED85">
      <w:pPr>
        <w:spacing w:line="360" w:lineRule="auto"/>
        <w:ind w:firstLine="480" w:firstLineChars="200"/>
        <w:rPr>
          <w:rFonts w:ascii="Times New Roman" w:hAnsi="Times New Roman"/>
          <w:sz w:val="24"/>
        </w:rPr>
      </w:pPr>
      <w:r>
        <w:rPr>
          <w:rFonts w:ascii="Times New Roman" w:hAnsi="Times New Roman"/>
          <w:sz w:val="24"/>
        </w:rPr>
        <w:t>（1）符合国家相关规定的财务状况报告；</w:t>
      </w:r>
    </w:p>
    <w:p w14:paraId="4AECF05E">
      <w:pPr>
        <w:spacing w:line="360" w:lineRule="auto"/>
        <w:ind w:firstLine="480" w:firstLineChars="200"/>
        <w:rPr>
          <w:rFonts w:ascii="Times New Roman" w:hAnsi="Times New Roman"/>
          <w:sz w:val="24"/>
        </w:rPr>
      </w:pPr>
      <w:r>
        <w:rPr>
          <w:rFonts w:ascii="Times New Roman" w:hAnsi="Times New Roman"/>
          <w:sz w:val="24"/>
        </w:rPr>
        <w:t>（2）依法缴纳税收的证明材料；</w:t>
      </w:r>
    </w:p>
    <w:p w14:paraId="7ECE12F2">
      <w:pPr>
        <w:spacing w:line="360" w:lineRule="auto"/>
        <w:ind w:firstLine="480" w:firstLineChars="200"/>
        <w:rPr>
          <w:rFonts w:ascii="Times New Roman" w:hAnsi="Times New Roman"/>
          <w:sz w:val="24"/>
        </w:rPr>
      </w:pPr>
      <w:r>
        <w:rPr>
          <w:rFonts w:ascii="Times New Roman" w:hAnsi="Times New Roman"/>
          <w:sz w:val="24"/>
        </w:rPr>
        <w:t>（3）依法缴纳社会保障资金的证明材料；</w:t>
      </w:r>
    </w:p>
    <w:p w14:paraId="42B9D516">
      <w:pPr>
        <w:spacing w:line="360" w:lineRule="auto"/>
        <w:ind w:firstLine="480" w:firstLineChars="200"/>
        <w:rPr>
          <w:rFonts w:ascii="Times New Roman" w:hAnsi="Times New Roman"/>
          <w:sz w:val="24"/>
        </w:rPr>
      </w:pPr>
      <w:r>
        <w:rPr>
          <w:rFonts w:ascii="Times New Roman" w:hAnsi="Times New Roman"/>
          <w:sz w:val="24"/>
        </w:rPr>
        <w:t>（4）具备履行政府采购合同所必需的设备和专业技术能力的证明材料；</w:t>
      </w:r>
    </w:p>
    <w:p w14:paraId="6E307A8A">
      <w:pPr>
        <w:spacing w:line="360" w:lineRule="auto"/>
        <w:ind w:firstLine="480" w:firstLineChars="200"/>
        <w:rPr>
          <w:rFonts w:ascii="Times New Roman" w:hAnsi="Times New Roman"/>
          <w:sz w:val="24"/>
        </w:rPr>
      </w:pPr>
      <w:r>
        <w:rPr>
          <w:rFonts w:ascii="Times New Roman" w:hAnsi="Times New Roman"/>
          <w:sz w:val="24"/>
        </w:rPr>
        <w:t>（5）参加政府采购活动前三年内在经营活动中没有重大违法记录的证明材料；</w:t>
      </w:r>
    </w:p>
    <w:p w14:paraId="54DA0042">
      <w:pPr>
        <w:spacing w:line="360" w:lineRule="auto"/>
        <w:ind w:firstLine="480" w:firstLineChars="200"/>
        <w:rPr>
          <w:rFonts w:ascii="Times New Roman" w:hAnsi="Times New Roman"/>
          <w:sz w:val="24"/>
        </w:rPr>
      </w:pPr>
      <w:r>
        <w:rPr>
          <w:rFonts w:ascii="Times New Roman" w:hAnsi="Times New Roman"/>
          <w:sz w:val="24"/>
        </w:rPr>
        <w:t>（6）未被列入失信被执行人、重大税收违法失信主体、政府采购严重违法失信行为记录名单的证明材料。</w:t>
      </w:r>
    </w:p>
    <w:p w14:paraId="4A48D531">
      <w:pPr>
        <w:spacing w:line="360" w:lineRule="auto"/>
        <w:ind w:firstLine="480" w:firstLineChars="200"/>
        <w:rPr>
          <w:rFonts w:ascii="Times New Roman" w:hAnsi="Times New Roman"/>
          <w:sz w:val="24"/>
        </w:rPr>
      </w:pPr>
      <w:r>
        <w:rPr>
          <w:rFonts w:hint="eastAsia" w:ascii="Times New Roman" w:hAnsi="Times New Roman"/>
          <w:sz w:val="24"/>
        </w:rPr>
        <w:t>2、</w:t>
      </w:r>
      <w:r>
        <w:rPr>
          <w:rFonts w:ascii="Times New Roman" w:hAnsi="Times New Roman"/>
          <w:sz w:val="24"/>
        </w:rPr>
        <w:t>供应商在中标（成交）后，应按采购文件要求，将上述由信用承诺书替代的证明材料提交采购人或采购代理机构核验。经核验无误后，由采购人或采购代理机构发出中标（成交）通知书。供应商涉及以下情形的，不适用信用承诺：</w:t>
      </w:r>
    </w:p>
    <w:p w14:paraId="6727A43F">
      <w:pPr>
        <w:spacing w:line="360" w:lineRule="auto"/>
        <w:ind w:firstLine="480" w:firstLineChars="200"/>
        <w:rPr>
          <w:rFonts w:ascii="Times New Roman" w:hAnsi="Times New Roman"/>
          <w:sz w:val="24"/>
        </w:rPr>
      </w:pPr>
      <w:r>
        <w:rPr>
          <w:rFonts w:ascii="Times New Roman" w:hAnsi="Times New Roman"/>
          <w:sz w:val="24"/>
        </w:rPr>
        <w:t>（1）供应商被列入严重失信主体名单；</w:t>
      </w:r>
    </w:p>
    <w:p w14:paraId="76D4F0DB">
      <w:pPr>
        <w:spacing w:line="360" w:lineRule="auto"/>
        <w:ind w:firstLine="480" w:firstLineChars="200"/>
        <w:rPr>
          <w:rFonts w:ascii="Times New Roman" w:hAnsi="Times New Roman"/>
          <w:sz w:val="24"/>
        </w:rPr>
      </w:pPr>
      <w:r>
        <w:rPr>
          <w:rFonts w:ascii="Times New Roman" w:hAnsi="Times New Roman"/>
          <w:sz w:val="24"/>
        </w:rPr>
        <w:t>（2）被相关监管部门作出行政处罚且尚在处罚有效期内；</w:t>
      </w:r>
    </w:p>
    <w:p w14:paraId="6228F7F2">
      <w:pPr>
        <w:spacing w:line="360" w:lineRule="auto"/>
        <w:ind w:firstLine="480" w:firstLineChars="200"/>
        <w:rPr>
          <w:rFonts w:ascii="Times New Roman" w:hAnsi="Times New Roman"/>
          <w:sz w:val="24"/>
        </w:rPr>
      </w:pPr>
      <w:r>
        <w:rPr>
          <w:rFonts w:ascii="Times New Roman" w:hAnsi="Times New Roman"/>
          <w:sz w:val="24"/>
        </w:rPr>
        <w:t>（3）其他法律、行政法规规定的不适用信用承诺的情形。供应商对信用承诺内容的真实性、合法性、有效性负责。如作出虚假信用承诺，视同为</w:t>
      </w:r>
      <w:r>
        <w:rPr>
          <w:rFonts w:ascii="宋体" w:hAnsi="宋体"/>
          <w:sz w:val="24"/>
        </w:rPr>
        <w:t>“提供虚假材料谋取中标、成交”</w:t>
      </w:r>
      <w:r>
        <w:rPr>
          <w:rFonts w:ascii="Times New Roman" w:hAnsi="Times New Roman"/>
          <w:sz w:val="24"/>
        </w:rPr>
        <w:t>的违法行为。</w:t>
      </w:r>
    </w:p>
    <w:p w14:paraId="45AD6446">
      <w:pPr>
        <w:pStyle w:val="14"/>
        <w:ind w:firstLine="480" w:firstLineChars="200"/>
        <w:rPr>
          <w:rFonts w:ascii="Times New Roman" w:hAnsi="Times New Roman" w:eastAsia="宋体"/>
          <w:szCs w:val="24"/>
        </w:rPr>
      </w:pPr>
      <w:r>
        <w:rPr>
          <w:rFonts w:hint="eastAsia" w:ascii="Times New Roman" w:hAnsi="Times New Roman" w:eastAsia="宋体"/>
          <w:szCs w:val="24"/>
        </w:rPr>
        <w:t>3、供应商属于上述“不适用信用承诺”之情形，则供应商必须按照下列所列证明材料提供：</w:t>
      </w:r>
    </w:p>
    <w:p w14:paraId="3DE38C88">
      <w:pPr>
        <w:pStyle w:val="14"/>
        <w:ind w:firstLine="480" w:firstLineChars="200"/>
        <w:rPr>
          <w:rFonts w:ascii="Times New Roman" w:hAnsi="Times New Roman"/>
          <w:lang w:eastAsia="zh-Hans"/>
        </w:rPr>
      </w:pPr>
      <w:r>
        <w:rPr>
          <w:rFonts w:ascii="Times New Roman" w:hAnsi="Times New Roman" w:eastAsia="宋体"/>
          <w:szCs w:val="24"/>
        </w:rPr>
        <w:t>（</w:t>
      </w:r>
      <w:r>
        <w:rPr>
          <w:rFonts w:ascii="Times New Roman" w:hAnsi="Times New Roman"/>
          <w:lang w:eastAsia="zh-Hans"/>
        </w:rPr>
        <w:t>1）</w:t>
      </w:r>
      <w:r>
        <w:rPr>
          <w:rFonts w:hint="eastAsia" w:ascii="Times New Roman" w:hAnsi="Times New Roman"/>
          <w:lang w:eastAsia="zh-Hans"/>
        </w:rPr>
        <w:t>提供2024或2025年度审计报告，或提交响应文件截止时间前6个月内任意一个月的财务报表，或提交响应文件截止时间前6个月内银行出具的资信证明，或财政部门认可的专业担保机构出具的投标担保函；</w:t>
      </w:r>
    </w:p>
    <w:p w14:paraId="5D9321BC">
      <w:pPr>
        <w:pStyle w:val="14"/>
        <w:ind w:firstLine="480" w:firstLineChars="200"/>
        <w:rPr>
          <w:rFonts w:ascii="Times New Roman" w:hAnsi="Times New Roman"/>
          <w:lang w:eastAsia="zh-Hans"/>
        </w:rPr>
      </w:pPr>
      <w:r>
        <w:rPr>
          <w:rFonts w:ascii="Times New Roman" w:hAnsi="Times New Roman"/>
          <w:lang w:eastAsia="zh-Hans"/>
        </w:rPr>
        <w:t>（2）</w:t>
      </w:r>
      <w:r>
        <w:rPr>
          <w:rFonts w:hint="eastAsia" w:ascii="Times New Roman" w:hAnsi="Times New Roman"/>
          <w:lang w:eastAsia="zh-Hans"/>
        </w:rPr>
        <w:t>提供提交响应文件截止时间前一年内至少一个月依法缴纳税收及缴纳社会保障资金的证明材料。供应商依法享受缓缴、免缴税收、社会保障资金的提供证明材料</w:t>
      </w:r>
      <w:r>
        <w:rPr>
          <w:rFonts w:ascii="Times New Roman" w:hAnsi="Times New Roman"/>
          <w:lang w:eastAsia="zh-Hans"/>
        </w:rPr>
        <w:t>；</w:t>
      </w:r>
    </w:p>
    <w:p w14:paraId="70820B73">
      <w:pPr>
        <w:pStyle w:val="14"/>
        <w:ind w:firstLine="480" w:firstLineChars="200"/>
        <w:rPr>
          <w:rFonts w:ascii="Times New Roman" w:hAnsi="Times New Roman"/>
          <w:lang w:eastAsia="zh-Hans"/>
        </w:rPr>
      </w:pPr>
      <w:r>
        <w:rPr>
          <w:rFonts w:ascii="Times New Roman" w:hAnsi="Times New Roman"/>
          <w:lang w:eastAsia="zh-Hans"/>
        </w:rPr>
        <w:t>（3）具备履行合同所必需的设备和专业技术能力的书面声明（盖章原件，格式见后）；</w:t>
      </w:r>
    </w:p>
    <w:p w14:paraId="47FE3908">
      <w:pPr>
        <w:pStyle w:val="14"/>
        <w:ind w:firstLine="480" w:firstLineChars="200"/>
        <w:rPr>
          <w:rFonts w:ascii="Times New Roman" w:hAnsi="Times New Roman"/>
          <w:lang w:eastAsia="zh-Hans"/>
        </w:rPr>
      </w:pPr>
      <w:r>
        <w:rPr>
          <w:rFonts w:ascii="Times New Roman" w:hAnsi="Times New Roman"/>
          <w:lang w:eastAsia="zh-Hans"/>
        </w:rPr>
        <w:t>（4）参加政府采购活动前3年内在经营活动中没有重大违法记录的书面声明（盖章原件，格式见后）；</w:t>
      </w:r>
    </w:p>
    <w:p w14:paraId="0C9089CC">
      <w:pPr>
        <w:spacing w:line="360" w:lineRule="auto"/>
        <w:ind w:firstLine="480" w:firstLineChars="200"/>
        <w:rPr>
          <w:rFonts w:ascii="Times New Roman" w:hAnsi="Times New Roman"/>
          <w:b/>
          <w:bCs/>
          <w:i/>
          <w:iCs/>
          <w:sz w:val="24"/>
          <w:u w:val="single"/>
        </w:rPr>
      </w:pPr>
      <w:r>
        <w:rPr>
          <w:rFonts w:hint="eastAsia" w:ascii="Times New Roman" w:hAnsi="Times New Roman"/>
          <w:b/>
          <w:bCs/>
          <w:i/>
          <w:iCs/>
          <w:sz w:val="24"/>
          <w:u w:val="single"/>
        </w:rPr>
        <w:t>4、以上资格证明文件中要求加盖公章的，必须加盖公章；如供应商组成联合体参加磋商，则联合体各方均须加盖公章，否则按无效响应处理。</w:t>
      </w:r>
    </w:p>
    <w:bookmarkEnd w:id="73"/>
    <w:p w14:paraId="184CB962">
      <w:pPr>
        <w:widowControl/>
        <w:jc w:val="left"/>
        <w:rPr>
          <w:rFonts w:ascii="Times New Roman" w:hAnsi="Times New Roman"/>
          <w:sz w:val="24"/>
        </w:rPr>
      </w:pPr>
      <w:r>
        <w:rPr>
          <w:rFonts w:ascii="Times New Roman" w:hAnsi="Times New Roman"/>
          <w:sz w:val="24"/>
        </w:rPr>
        <w:br w:type="page"/>
      </w:r>
    </w:p>
    <w:p w14:paraId="2EEDC518">
      <w:pPr>
        <w:spacing w:after="156" w:afterLines="50" w:line="360" w:lineRule="auto"/>
        <w:jc w:val="center"/>
        <w:outlineLvl w:val="1"/>
        <w:rPr>
          <w:b/>
          <w:bCs/>
          <w:sz w:val="28"/>
          <w:szCs w:val="36"/>
          <w:lang w:eastAsia="zh-Hans"/>
        </w:rPr>
      </w:pPr>
      <w:bookmarkStart w:id="74" w:name="_Toc171605471"/>
      <w:r>
        <w:rPr>
          <w:rFonts w:hint="eastAsia"/>
          <w:b/>
          <w:bCs/>
          <w:sz w:val="28"/>
          <w:szCs w:val="36"/>
          <w:lang w:eastAsia="zh-Hans"/>
        </w:rPr>
        <w:t>三、符合性审查响应对照表</w:t>
      </w:r>
      <w:bookmarkEnd w:id="74"/>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5963"/>
        <w:gridCol w:w="1560"/>
        <w:gridCol w:w="1071"/>
      </w:tblGrid>
      <w:tr w14:paraId="1A8C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3" w:hRule="atLeast"/>
          <w:jc w:val="center"/>
        </w:trPr>
        <w:tc>
          <w:tcPr>
            <w:tcW w:w="846" w:type="dxa"/>
            <w:vAlign w:val="center"/>
          </w:tcPr>
          <w:p w14:paraId="72AEED60">
            <w:pPr>
              <w:spacing w:line="360" w:lineRule="auto"/>
              <w:jc w:val="center"/>
              <w:rPr>
                <w:rFonts w:hint="eastAsia" w:ascii="宋体" w:hAnsi="宋体"/>
                <w:b/>
                <w:bCs/>
                <w:sz w:val="24"/>
              </w:rPr>
            </w:pPr>
            <w:r>
              <w:rPr>
                <w:rFonts w:hint="eastAsia" w:ascii="宋体" w:hAnsi="宋体"/>
                <w:b/>
                <w:bCs/>
                <w:sz w:val="24"/>
              </w:rPr>
              <w:t>序号</w:t>
            </w:r>
          </w:p>
        </w:tc>
        <w:tc>
          <w:tcPr>
            <w:tcW w:w="5963" w:type="dxa"/>
            <w:vAlign w:val="center"/>
          </w:tcPr>
          <w:p w14:paraId="3BD57CE7">
            <w:pPr>
              <w:spacing w:line="360" w:lineRule="auto"/>
              <w:jc w:val="center"/>
              <w:rPr>
                <w:rFonts w:hint="eastAsia" w:ascii="宋体" w:hAnsi="宋体"/>
                <w:b/>
                <w:bCs/>
                <w:sz w:val="24"/>
              </w:rPr>
            </w:pPr>
            <w:r>
              <w:rPr>
                <w:rFonts w:hint="eastAsia" w:ascii="宋体" w:hAnsi="宋体"/>
                <w:b/>
                <w:bCs/>
                <w:sz w:val="24"/>
              </w:rPr>
              <w:t>符合性审查响应内容</w:t>
            </w:r>
          </w:p>
        </w:tc>
        <w:tc>
          <w:tcPr>
            <w:tcW w:w="1560" w:type="dxa"/>
            <w:vAlign w:val="center"/>
          </w:tcPr>
          <w:p w14:paraId="08257BAB">
            <w:pPr>
              <w:spacing w:line="360" w:lineRule="auto"/>
              <w:jc w:val="center"/>
              <w:rPr>
                <w:rFonts w:hint="eastAsia" w:ascii="宋体" w:hAnsi="宋体"/>
                <w:b/>
                <w:bCs/>
                <w:szCs w:val="21"/>
              </w:rPr>
            </w:pPr>
            <w:r>
              <w:rPr>
                <w:rFonts w:hint="eastAsia" w:ascii="宋体" w:hAnsi="宋体"/>
                <w:b/>
                <w:bCs/>
                <w:szCs w:val="21"/>
              </w:rPr>
              <w:t>是否响应</w:t>
            </w:r>
          </w:p>
          <w:p w14:paraId="2106091E">
            <w:pPr>
              <w:spacing w:line="360" w:lineRule="auto"/>
              <w:jc w:val="center"/>
              <w:rPr>
                <w:rFonts w:hint="eastAsia" w:ascii="宋体" w:hAnsi="宋体"/>
                <w:b/>
                <w:bCs/>
                <w:sz w:val="24"/>
              </w:rPr>
            </w:pPr>
            <w:r>
              <w:rPr>
                <w:rFonts w:hint="eastAsia" w:ascii="宋体" w:hAnsi="宋体"/>
                <w:b/>
                <w:bCs/>
                <w:szCs w:val="21"/>
              </w:rPr>
              <w:t>（填是或否）</w:t>
            </w:r>
          </w:p>
        </w:tc>
        <w:tc>
          <w:tcPr>
            <w:tcW w:w="1071" w:type="dxa"/>
            <w:vAlign w:val="center"/>
          </w:tcPr>
          <w:p w14:paraId="7F988E00">
            <w:pPr>
              <w:spacing w:line="360" w:lineRule="auto"/>
              <w:jc w:val="center"/>
              <w:rPr>
                <w:rFonts w:hint="eastAsia" w:ascii="宋体" w:hAnsi="宋体"/>
                <w:b/>
                <w:bCs/>
                <w:sz w:val="24"/>
              </w:rPr>
            </w:pPr>
            <w:r>
              <w:rPr>
                <w:rFonts w:hint="eastAsia" w:ascii="宋体" w:hAnsi="宋体"/>
                <w:b/>
                <w:bCs/>
                <w:sz w:val="24"/>
              </w:rPr>
              <w:t>备注</w:t>
            </w:r>
          </w:p>
        </w:tc>
      </w:tr>
      <w:tr w14:paraId="7AC6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6" w:type="dxa"/>
            <w:vAlign w:val="center"/>
          </w:tcPr>
          <w:p w14:paraId="1C5D123B">
            <w:pPr>
              <w:spacing w:line="360" w:lineRule="auto"/>
              <w:jc w:val="center"/>
              <w:rPr>
                <w:rFonts w:ascii="Times New Roman" w:hAnsi="Times New Roman"/>
                <w:sz w:val="24"/>
              </w:rPr>
            </w:pPr>
            <w:r>
              <w:rPr>
                <w:rFonts w:ascii="Times New Roman" w:hAnsi="Times New Roman"/>
                <w:sz w:val="24"/>
              </w:rPr>
              <w:t>1</w:t>
            </w:r>
          </w:p>
        </w:tc>
        <w:tc>
          <w:tcPr>
            <w:tcW w:w="5963" w:type="dxa"/>
            <w:vAlign w:val="center"/>
          </w:tcPr>
          <w:p w14:paraId="39912DB6">
            <w:pPr>
              <w:spacing w:line="360" w:lineRule="auto"/>
              <w:rPr>
                <w:rFonts w:hint="eastAsia" w:ascii="宋体" w:hAnsi="宋体"/>
                <w:sz w:val="24"/>
              </w:rPr>
            </w:pPr>
            <w:r>
              <w:rPr>
                <w:rFonts w:ascii="宋体" w:hAnsi="宋体"/>
                <w:sz w:val="24"/>
              </w:rPr>
              <w:t>******</w:t>
            </w:r>
          </w:p>
          <w:p w14:paraId="11937583">
            <w:pPr>
              <w:spacing w:line="360" w:lineRule="auto"/>
              <w:rPr>
                <w:rFonts w:hint="eastAsia" w:ascii="宋体" w:hAnsi="宋体"/>
                <w:sz w:val="24"/>
              </w:rPr>
            </w:pPr>
            <w:r>
              <w:rPr>
                <w:rFonts w:hint="eastAsia" w:ascii="宋体" w:hAnsi="宋体"/>
                <w:sz w:val="24"/>
              </w:rPr>
              <w:t>（须逐条列出本磋商文件“第四章  项目需求”中必须满足的实质性要求：即“</w:t>
            </w:r>
            <w:r>
              <w:rPr>
                <w:rFonts w:hint="eastAsia" w:ascii="宋体" w:hAnsi="宋体"/>
                <w:b/>
                <w:bCs/>
                <w:i/>
                <w:iCs/>
                <w:sz w:val="24"/>
                <w:u w:val="single"/>
              </w:rPr>
              <w:t>斜体加粗且有下划线</w:t>
            </w:r>
            <w:r>
              <w:rPr>
                <w:rFonts w:hint="eastAsia" w:ascii="宋体" w:hAnsi="宋体"/>
                <w:sz w:val="24"/>
              </w:rPr>
              <w:t>，或加“★</w:t>
            </w:r>
            <w:r>
              <w:rPr>
                <w:rFonts w:ascii="宋体" w:hAnsi="宋体"/>
                <w:sz w:val="24"/>
              </w:rPr>
              <w:t>”</w:t>
            </w:r>
            <w:r>
              <w:rPr>
                <w:rFonts w:hint="eastAsia" w:ascii="宋体" w:hAnsi="宋体"/>
                <w:sz w:val="24"/>
              </w:rPr>
              <w:t>部分”的内容；若“项目需求”中无实质性要求，则无需填列本表）</w:t>
            </w:r>
          </w:p>
        </w:tc>
        <w:tc>
          <w:tcPr>
            <w:tcW w:w="1560" w:type="dxa"/>
            <w:vAlign w:val="center"/>
          </w:tcPr>
          <w:p w14:paraId="610FE69F">
            <w:pPr>
              <w:spacing w:line="360" w:lineRule="auto"/>
              <w:jc w:val="center"/>
              <w:rPr>
                <w:rFonts w:hint="eastAsia" w:ascii="宋体" w:hAnsi="宋体"/>
                <w:sz w:val="24"/>
              </w:rPr>
            </w:pPr>
          </w:p>
        </w:tc>
        <w:tc>
          <w:tcPr>
            <w:tcW w:w="1071" w:type="dxa"/>
            <w:vAlign w:val="center"/>
          </w:tcPr>
          <w:p w14:paraId="3A0F5F44">
            <w:pPr>
              <w:spacing w:line="360" w:lineRule="auto"/>
              <w:jc w:val="center"/>
              <w:rPr>
                <w:rFonts w:hint="eastAsia" w:ascii="宋体" w:hAnsi="宋体"/>
                <w:sz w:val="24"/>
              </w:rPr>
            </w:pPr>
          </w:p>
        </w:tc>
      </w:tr>
      <w:tr w14:paraId="44A09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F9DEEBF">
            <w:pPr>
              <w:spacing w:line="360" w:lineRule="auto"/>
              <w:jc w:val="center"/>
              <w:rPr>
                <w:rFonts w:ascii="Times New Roman" w:hAnsi="Times New Roman"/>
                <w:sz w:val="24"/>
              </w:rPr>
            </w:pPr>
            <w:r>
              <w:rPr>
                <w:rFonts w:ascii="Times New Roman" w:hAnsi="Times New Roman"/>
                <w:sz w:val="24"/>
              </w:rPr>
              <w:t>2</w:t>
            </w:r>
          </w:p>
        </w:tc>
        <w:tc>
          <w:tcPr>
            <w:tcW w:w="5963" w:type="dxa"/>
            <w:vAlign w:val="center"/>
          </w:tcPr>
          <w:p w14:paraId="58DCD633">
            <w:pPr>
              <w:spacing w:line="360" w:lineRule="auto"/>
              <w:jc w:val="center"/>
              <w:rPr>
                <w:rFonts w:hint="eastAsia" w:ascii="宋体" w:hAnsi="宋体"/>
                <w:sz w:val="24"/>
              </w:rPr>
            </w:pPr>
          </w:p>
        </w:tc>
        <w:tc>
          <w:tcPr>
            <w:tcW w:w="1560" w:type="dxa"/>
            <w:vAlign w:val="center"/>
          </w:tcPr>
          <w:p w14:paraId="2B1240F0">
            <w:pPr>
              <w:spacing w:line="360" w:lineRule="auto"/>
              <w:jc w:val="center"/>
              <w:rPr>
                <w:rFonts w:hint="eastAsia" w:ascii="宋体" w:hAnsi="宋体"/>
                <w:sz w:val="24"/>
              </w:rPr>
            </w:pPr>
          </w:p>
        </w:tc>
        <w:tc>
          <w:tcPr>
            <w:tcW w:w="1071" w:type="dxa"/>
            <w:vAlign w:val="center"/>
          </w:tcPr>
          <w:p w14:paraId="76520BEE">
            <w:pPr>
              <w:spacing w:line="360" w:lineRule="auto"/>
              <w:jc w:val="center"/>
              <w:rPr>
                <w:rFonts w:hint="eastAsia" w:ascii="宋体" w:hAnsi="宋体"/>
                <w:sz w:val="24"/>
              </w:rPr>
            </w:pPr>
          </w:p>
        </w:tc>
      </w:tr>
      <w:tr w14:paraId="300E0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F5AF5F4">
            <w:pPr>
              <w:spacing w:line="360" w:lineRule="auto"/>
              <w:jc w:val="center"/>
              <w:rPr>
                <w:rFonts w:ascii="Times New Roman" w:hAnsi="Times New Roman"/>
                <w:sz w:val="24"/>
              </w:rPr>
            </w:pPr>
            <w:r>
              <w:rPr>
                <w:rFonts w:ascii="Times New Roman" w:hAnsi="Times New Roman"/>
                <w:sz w:val="24"/>
              </w:rPr>
              <w:t>3</w:t>
            </w:r>
          </w:p>
        </w:tc>
        <w:tc>
          <w:tcPr>
            <w:tcW w:w="5963" w:type="dxa"/>
            <w:vAlign w:val="center"/>
          </w:tcPr>
          <w:p w14:paraId="3F9A7AB1">
            <w:pPr>
              <w:spacing w:line="360" w:lineRule="auto"/>
              <w:jc w:val="center"/>
              <w:rPr>
                <w:rFonts w:hint="eastAsia" w:ascii="宋体" w:hAnsi="宋体"/>
                <w:sz w:val="24"/>
              </w:rPr>
            </w:pPr>
          </w:p>
        </w:tc>
        <w:tc>
          <w:tcPr>
            <w:tcW w:w="1560" w:type="dxa"/>
            <w:vAlign w:val="center"/>
          </w:tcPr>
          <w:p w14:paraId="2461A51B">
            <w:pPr>
              <w:spacing w:line="360" w:lineRule="auto"/>
              <w:jc w:val="center"/>
              <w:rPr>
                <w:rFonts w:hint="eastAsia" w:ascii="宋体" w:hAnsi="宋体"/>
                <w:sz w:val="24"/>
              </w:rPr>
            </w:pPr>
          </w:p>
        </w:tc>
        <w:tc>
          <w:tcPr>
            <w:tcW w:w="1071" w:type="dxa"/>
            <w:vAlign w:val="center"/>
          </w:tcPr>
          <w:p w14:paraId="5107B740">
            <w:pPr>
              <w:spacing w:line="360" w:lineRule="auto"/>
              <w:jc w:val="center"/>
              <w:rPr>
                <w:rFonts w:hint="eastAsia" w:ascii="宋体" w:hAnsi="宋体"/>
                <w:sz w:val="24"/>
              </w:rPr>
            </w:pPr>
          </w:p>
        </w:tc>
      </w:tr>
      <w:tr w14:paraId="4D45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50F5306">
            <w:pPr>
              <w:spacing w:line="360" w:lineRule="auto"/>
              <w:jc w:val="center"/>
              <w:rPr>
                <w:rFonts w:ascii="Times New Roman" w:hAnsi="Times New Roman"/>
                <w:sz w:val="24"/>
              </w:rPr>
            </w:pPr>
            <w:r>
              <w:rPr>
                <w:rFonts w:hint="eastAsia" w:ascii="Times New Roman" w:hAnsi="Times New Roman"/>
                <w:sz w:val="24"/>
              </w:rPr>
              <w:t>4</w:t>
            </w:r>
          </w:p>
        </w:tc>
        <w:tc>
          <w:tcPr>
            <w:tcW w:w="5963" w:type="dxa"/>
            <w:vAlign w:val="center"/>
          </w:tcPr>
          <w:p w14:paraId="57F0D7E2">
            <w:pPr>
              <w:spacing w:line="360" w:lineRule="auto"/>
              <w:jc w:val="center"/>
              <w:rPr>
                <w:rFonts w:hint="eastAsia" w:ascii="宋体" w:hAnsi="宋体"/>
                <w:sz w:val="24"/>
              </w:rPr>
            </w:pPr>
          </w:p>
        </w:tc>
        <w:tc>
          <w:tcPr>
            <w:tcW w:w="1560" w:type="dxa"/>
            <w:vAlign w:val="center"/>
          </w:tcPr>
          <w:p w14:paraId="4D96D69D">
            <w:pPr>
              <w:spacing w:line="360" w:lineRule="auto"/>
              <w:jc w:val="center"/>
              <w:rPr>
                <w:rFonts w:hint="eastAsia" w:ascii="宋体" w:hAnsi="宋体"/>
                <w:sz w:val="24"/>
              </w:rPr>
            </w:pPr>
          </w:p>
        </w:tc>
        <w:tc>
          <w:tcPr>
            <w:tcW w:w="1071" w:type="dxa"/>
            <w:vAlign w:val="center"/>
          </w:tcPr>
          <w:p w14:paraId="2EB412E3">
            <w:pPr>
              <w:spacing w:line="360" w:lineRule="auto"/>
              <w:jc w:val="center"/>
              <w:rPr>
                <w:rFonts w:hint="eastAsia" w:ascii="宋体" w:hAnsi="宋体"/>
                <w:sz w:val="24"/>
              </w:rPr>
            </w:pPr>
          </w:p>
        </w:tc>
      </w:tr>
      <w:tr w14:paraId="31E7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929FC3D">
            <w:pPr>
              <w:spacing w:line="360" w:lineRule="auto"/>
              <w:jc w:val="center"/>
              <w:rPr>
                <w:rFonts w:ascii="Times New Roman" w:hAnsi="Times New Roman"/>
                <w:sz w:val="24"/>
              </w:rPr>
            </w:pPr>
            <w:r>
              <w:rPr>
                <w:rFonts w:hint="eastAsia" w:ascii="Times New Roman" w:hAnsi="Times New Roman"/>
                <w:sz w:val="24"/>
              </w:rPr>
              <w:t>5</w:t>
            </w:r>
          </w:p>
        </w:tc>
        <w:tc>
          <w:tcPr>
            <w:tcW w:w="5963" w:type="dxa"/>
            <w:vAlign w:val="center"/>
          </w:tcPr>
          <w:p w14:paraId="5ABEB588">
            <w:pPr>
              <w:spacing w:line="360" w:lineRule="auto"/>
              <w:rPr>
                <w:rFonts w:hint="eastAsia" w:ascii="宋体" w:hAnsi="宋体"/>
                <w:sz w:val="24"/>
              </w:rPr>
            </w:pPr>
            <w:r>
              <w:rPr>
                <w:rFonts w:hint="eastAsia" w:ascii="宋体" w:hAnsi="宋体" w:cs="宋体"/>
                <w:kern w:val="0"/>
                <w:sz w:val="24"/>
              </w:rPr>
              <w:t>*****</w:t>
            </w:r>
          </w:p>
        </w:tc>
        <w:tc>
          <w:tcPr>
            <w:tcW w:w="1560" w:type="dxa"/>
            <w:vAlign w:val="center"/>
          </w:tcPr>
          <w:p w14:paraId="61470888">
            <w:pPr>
              <w:spacing w:line="360" w:lineRule="auto"/>
              <w:jc w:val="center"/>
              <w:rPr>
                <w:rFonts w:hint="eastAsia" w:ascii="宋体" w:hAnsi="宋体"/>
                <w:sz w:val="24"/>
              </w:rPr>
            </w:pPr>
          </w:p>
        </w:tc>
        <w:tc>
          <w:tcPr>
            <w:tcW w:w="1071" w:type="dxa"/>
            <w:vAlign w:val="center"/>
          </w:tcPr>
          <w:p w14:paraId="7D1F3959">
            <w:pPr>
              <w:spacing w:line="360" w:lineRule="auto"/>
              <w:jc w:val="center"/>
              <w:rPr>
                <w:rFonts w:hint="eastAsia" w:ascii="宋体" w:hAnsi="宋体"/>
                <w:sz w:val="24"/>
              </w:rPr>
            </w:pPr>
          </w:p>
        </w:tc>
      </w:tr>
    </w:tbl>
    <w:p w14:paraId="2A71C229">
      <w:pPr>
        <w:spacing w:line="360" w:lineRule="auto"/>
        <w:contextualSpacing/>
        <w:rPr>
          <w:rFonts w:hint="eastAsia" w:ascii="宋体" w:hAnsi="宋体"/>
          <w:b/>
          <w:bCs/>
          <w:sz w:val="28"/>
          <w:szCs w:val="36"/>
        </w:rPr>
      </w:pPr>
    </w:p>
    <w:p w14:paraId="69326F84">
      <w:pPr>
        <w:spacing w:line="360" w:lineRule="auto"/>
        <w:contextualSpacing/>
        <w:rPr>
          <w:rFonts w:hint="eastAsia" w:ascii="宋体" w:hAnsi="宋体"/>
          <w:sz w:val="24"/>
          <w:szCs w:val="32"/>
        </w:rPr>
      </w:pPr>
      <w:r>
        <w:rPr>
          <w:rFonts w:hint="eastAsia" w:ascii="宋体" w:hAnsi="宋体"/>
          <w:sz w:val="24"/>
          <w:szCs w:val="32"/>
        </w:rPr>
        <w:t>备注：如实质性要求提供相应证明材料的，应在“备注”栏注明证明材料在磋商响应文件中的页码位置；</w:t>
      </w:r>
    </w:p>
    <w:p w14:paraId="7F2551AA">
      <w:pPr>
        <w:widowControl/>
        <w:jc w:val="left"/>
        <w:rPr>
          <w:rFonts w:ascii="Times New Roman" w:hAnsi="Times New Roman"/>
          <w:sz w:val="24"/>
        </w:rPr>
      </w:pPr>
      <w:r>
        <w:rPr>
          <w:rFonts w:ascii="Times New Roman" w:hAnsi="Times New Roman"/>
          <w:sz w:val="24"/>
        </w:rPr>
        <w:br w:type="page"/>
      </w:r>
    </w:p>
    <w:p w14:paraId="04F925E7">
      <w:pPr>
        <w:pStyle w:val="14"/>
        <w:rPr>
          <w:rFonts w:hint="eastAsia"/>
        </w:rPr>
      </w:pPr>
    </w:p>
    <w:p w14:paraId="652FD0DA">
      <w:pPr>
        <w:spacing w:line="360" w:lineRule="auto"/>
        <w:jc w:val="center"/>
        <w:rPr>
          <w:b/>
          <w:bCs/>
          <w:sz w:val="28"/>
          <w:szCs w:val="36"/>
          <w:lang w:eastAsia="zh-Hans"/>
        </w:rPr>
      </w:pPr>
      <w:r>
        <w:rPr>
          <w:b/>
          <w:bCs/>
          <w:sz w:val="28"/>
          <w:szCs w:val="36"/>
          <w:lang w:eastAsia="zh-Hans"/>
        </w:rPr>
        <w:t>具备履行合同所必需的设备和专业技术能力的书面声明</w:t>
      </w:r>
    </w:p>
    <w:p w14:paraId="766C3566">
      <w:pPr>
        <w:spacing w:line="360" w:lineRule="auto"/>
        <w:rPr>
          <w:rFonts w:hint="eastAsia" w:ascii="宋体" w:hAnsi="宋体" w:cs="宋体"/>
          <w:sz w:val="24"/>
          <w:lang w:eastAsia="zh-Hans"/>
        </w:rPr>
      </w:pPr>
    </w:p>
    <w:p w14:paraId="30499413">
      <w:pPr>
        <w:pStyle w:val="14"/>
        <w:rPr>
          <w:rFonts w:hint="eastAsia"/>
        </w:rPr>
      </w:pPr>
    </w:p>
    <w:p w14:paraId="11C266DC">
      <w:pPr>
        <w:spacing w:line="360" w:lineRule="auto"/>
        <w:ind w:firstLine="480" w:firstLineChars="200"/>
        <w:rPr>
          <w:rFonts w:hint="eastAsia" w:ascii="宋体" w:hAnsi="宋体" w:cs="宋体"/>
          <w:sz w:val="24"/>
          <w:lang w:eastAsia="zh-Hans"/>
        </w:rPr>
      </w:pPr>
      <w:r>
        <w:rPr>
          <w:rFonts w:hint="eastAsia" w:ascii="宋体" w:hAnsi="宋体" w:cs="宋体"/>
          <w:sz w:val="24"/>
          <w:lang w:eastAsia="zh-Hans"/>
        </w:rPr>
        <w:t>我公司郑重声明：我公司具备履行本项采购合同所必需的设备和专业技术能力，为履行本项采购合同我公司具备如下主要设备和主要专业技术能力：</w:t>
      </w:r>
    </w:p>
    <w:p w14:paraId="69F0C41C">
      <w:pPr>
        <w:spacing w:line="360" w:lineRule="auto"/>
        <w:ind w:firstLine="480" w:firstLineChars="200"/>
        <w:rPr>
          <w:rFonts w:hint="eastAsia" w:ascii="宋体" w:hAnsi="宋体" w:cs="宋体"/>
          <w:sz w:val="24"/>
          <w:lang w:eastAsia="zh-Hans"/>
        </w:rPr>
      </w:pPr>
      <w:r>
        <w:rPr>
          <w:rFonts w:hint="eastAsia" w:ascii="宋体" w:hAnsi="宋体" w:cs="宋体"/>
          <w:sz w:val="24"/>
          <w:lang w:eastAsia="zh-Hans"/>
        </w:rPr>
        <w:t>主要设备有：******</w:t>
      </w:r>
    </w:p>
    <w:p w14:paraId="54A05D3B">
      <w:pPr>
        <w:spacing w:line="360" w:lineRule="auto"/>
        <w:ind w:firstLine="480" w:firstLineChars="200"/>
        <w:rPr>
          <w:rFonts w:hint="eastAsia" w:ascii="宋体" w:hAnsi="宋体" w:cs="宋体"/>
          <w:sz w:val="24"/>
          <w:lang w:eastAsia="zh-Hans"/>
        </w:rPr>
      </w:pPr>
      <w:r>
        <w:rPr>
          <w:rFonts w:hint="eastAsia" w:ascii="宋体" w:hAnsi="宋体" w:cs="宋体"/>
          <w:sz w:val="24"/>
          <w:lang w:eastAsia="zh-Hans"/>
        </w:rPr>
        <w:t>主要专业技术能力有：******</w:t>
      </w:r>
    </w:p>
    <w:p w14:paraId="27259254">
      <w:pPr>
        <w:spacing w:line="360" w:lineRule="auto"/>
        <w:rPr>
          <w:rFonts w:hint="eastAsia" w:ascii="宋体" w:hAnsi="宋体" w:cs="宋体"/>
          <w:sz w:val="24"/>
          <w:lang w:eastAsia="zh-Hans"/>
        </w:rPr>
      </w:pPr>
    </w:p>
    <w:p w14:paraId="676B5796">
      <w:pPr>
        <w:spacing w:line="360" w:lineRule="auto"/>
        <w:rPr>
          <w:rFonts w:hint="eastAsia" w:ascii="宋体" w:hAnsi="宋体" w:cs="宋体"/>
          <w:sz w:val="24"/>
          <w:lang w:eastAsia="zh-Hans"/>
        </w:rPr>
      </w:pPr>
    </w:p>
    <w:p w14:paraId="1C0C02BD">
      <w:pPr>
        <w:adjustRightInd w:val="0"/>
        <w:spacing w:line="360" w:lineRule="auto"/>
        <w:ind w:firstLine="480" w:firstLineChars="200"/>
        <w:jc w:val="left"/>
        <w:rPr>
          <w:rFonts w:hint="eastAsia" w:ascii="宋体" w:hAnsi="宋体"/>
          <w:sz w:val="24"/>
        </w:rPr>
      </w:pPr>
      <w:bookmarkStart w:id="75" w:name="_Hlk14868066"/>
      <w:r>
        <w:rPr>
          <w:rFonts w:hint="eastAsia" w:ascii="宋体" w:hAnsi="宋体"/>
          <w:sz w:val="24"/>
        </w:rPr>
        <w:t>供应商名称</w:t>
      </w:r>
      <w:bookmarkEnd w:id="75"/>
      <w:r>
        <w:rPr>
          <w:rFonts w:hint="eastAsia" w:ascii="宋体" w:hAnsi="宋体"/>
          <w:sz w:val="24"/>
        </w:rPr>
        <w:t>（盖章）：</w:t>
      </w:r>
    </w:p>
    <w:p w14:paraId="13D1E00F">
      <w:pPr>
        <w:adjustRightInd w:val="0"/>
        <w:spacing w:line="360" w:lineRule="auto"/>
        <w:ind w:firstLine="480" w:firstLineChars="200"/>
        <w:jc w:val="left"/>
        <w:rPr>
          <w:rFonts w:hint="eastAsia" w:ascii="宋体" w:hAnsi="宋体"/>
          <w:sz w:val="24"/>
        </w:rPr>
      </w:pPr>
      <w:r>
        <w:rPr>
          <w:rFonts w:hint="eastAsia" w:ascii="宋体" w:hAnsi="宋体"/>
          <w:sz w:val="24"/>
        </w:rPr>
        <w:t xml:space="preserve">日 </w:t>
      </w:r>
      <w:r>
        <w:rPr>
          <w:rFonts w:ascii="宋体" w:hAnsi="宋体"/>
          <w:sz w:val="24"/>
        </w:rPr>
        <w:t xml:space="preserve">   </w:t>
      </w:r>
      <w:r>
        <w:rPr>
          <w:rFonts w:hint="eastAsia" w:ascii="宋体" w:hAnsi="宋体"/>
          <w:sz w:val="24"/>
        </w:rPr>
        <w:t>期：</w:t>
      </w:r>
    </w:p>
    <w:p w14:paraId="0FF7E3DC">
      <w:pPr>
        <w:widowControl/>
        <w:jc w:val="left"/>
        <w:rPr>
          <w:rFonts w:ascii="Times New Roman" w:hAnsi="Times New Roman"/>
          <w:sz w:val="24"/>
        </w:rPr>
      </w:pPr>
      <w:r>
        <w:rPr>
          <w:rFonts w:ascii="Times New Roman" w:hAnsi="Times New Roman"/>
          <w:sz w:val="24"/>
        </w:rPr>
        <w:br w:type="page"/>
      </w:r>
    </w:p>
    <w:p w14:paraId="185CDB46">
      <w:pPr>
        <w:pStyle w:val="14"/>
        <w:rPr>
          <w:rFonts w:hint="eastAsia"/>
        </w:rPr>
      </w:pPr>
    </w:p>
    <w:p w14:paraId="3D54D82F">
      <w:pPr>
        <w:spacing w:line="360" w:lineRule="auto"/>
        <w:jc w:val="center"/>
        <w:rPr>
          <w:rFonts w:ascii="Times New Roman" w:hAnsi="Times New Roman"/>
          <w:b/>
          <w:bCs/>
          <w:sz w:val="28"/>
          <w:szCs w:val="36"/>
          <w:lang w:eastAsia="zh-Hans"/>
        </w:rPr>
      </w:pPr>
      <w:r>
        <w:rPr>
          <w:rFonts w:ascii="Times New Roman" w:hAnsi="Times New Roman"/>
          <w:b/>
          <w:bCs/>
          <w:sz w:val="28"/>
          <w:szCs w:val="36"/>
          <w:lang w:eastAsia="zh-Hans"/>
        </w:rPr>
        <w:t>参加政府采购活动前3年内在经营活动中没有重大违法记录的书面声明</w:t>
      </w:r>
    </w:p>
    <w:p w14:paraId="7AF64F0C">
      <w:pPr>
        <w:spacing w:line="360" w:lineRule="auto"/>
        <w:rPr>
          <w:rFonts w:hint="eastAsia" w:ascii="宋体" w:hAnsi="宋体"/>
          <w:b/>
          <w:bCs/>
          <w:sz w:val="28"/>
          <w:szCs w:val="36"/>
        </w:rPr>
      </w:pPr>
    </w:p>
    <w:p w14:paraId="5643869B">
      <w:pPr>
        <w:spacing w:line="360" w:lineRule="auto"/>
        <w:rPr>
          <w:rFonts w:hint="eastAsia" w:ascii="宋体" w:hAnsi="宋体"/>
          <w:b/>
          <w:bCs/>
          <w:sz w:val="28"/>
          <w:szCs w:val="36"/>
        </w:rPr>
      </w:pPr>
    </w:p>
    <w:p w14:paraId="778FBCE6">
      <w:pPr>
        <w:spacing w:line="480" w:lineRule="auto"/>
        <w:ind w:firstLine="480" w:firstLineChars="200"/>
        <w:rPr>
          <w:rFonts w:ascii="Times New Roman" w:hAnsi="Times New Roman"/>
          <w:bCs/>
          <w:sz w:val="24"/>
          <w:szCs w:val="21"/>
        </w:rPr>
      </w:pPr>
      <w:r>
        <w:rPr>
          <w:rFonts w:ascii="Times New Roman" w:hAnsi="Times New Roman"/>
          <w:bCs/>
          <w:sz w:val="24"/>
          <w:szCs w:val="21"/>
        </w:rPr>
        <w:t>我单位郑重声明：参加本次政府采购活动前3年内，我单位在经营活动中没有因违法经营受到刑事处罚或者责令停产停业、吊销许可证或者执照、较大数额罚款等行政处罚。</w:t>
      </w:r>
    </w:p>
    <w:p w14:paraId="604EC687">
      <w:pPr>
        <w:spacing w:line="560" w:lineRule="exact"/>
        <w:rPr>
          <w:rFonts w:hint="eastAsia" w:ascii="宋体" w:hAnsi="宋体"/>
          <w:bCs/>
          <w:sz w:val="24"/>
        </w:rPr>
      </w:pPr>
    </w:p>
    <w:p w14:paraId="4923165D">
      <w:pPr>
        <w:spacing w:line="460" w:lineRule="exact"/>
        <w:rPr>
          <w:rFonts w:hint="eastAsia" w:ascii="宋体" w:hAnsi="宋体"/>
          <w:bCs/>
          <w:sz w:val="24"/>
        </w:rPr>
      </w:pPr>
    </w:p>
    <w:p w14:paraId="621DC826">
      <w:pPr>
        <w:spacing w:line="460" w:lineRule="exact"/>
        <w:rPr>
          <w:rFonts w:hint="eastAsia" w:ascii="宋体" w:hAnsi="宋体"/>
          <w:bCs/>
          <w:sz w:val="24"/>
        </w:rPr>
      </w:pPr>
    </w:p>
    <w:p w14:paraId="2B9435E5">
      <w:pPr>
        <w:adjustRightInd w:val="0"/>
        <w:spacing w:line="360" w:lineRule="auto"/>
        <w:ind w:firstLine="480" w:firstLineChars="200"/>
        <w:jc w:val="left"/>
        <w:rPr>
          <w:rFonts w:hint="eastAsia" w:ascii="宋体" w:hAnsi="宋体"/>
          <w:sz w:val="24"/>
        </w:rPr>
      </w:pPr>
      <w:r>
        <w:rPr>
          <w:rFonts w:hint="eastAsia" w:ascii="宋体" w:hAnsi="宋体"/>
          <w:sz w:val="24"/>
        </w:rPr>
        <w:t>供应商名称（盖章）：</w:t>
      </w:r>
    </w:p>
    <w:p w14:paraId="6FE44EBB">
      <w:pPr>
        <w:adjustRightInd w:val="0"/>
        <w:spacing w:line="360" w:lineRule="auto"/>
        <w:ind w:firstLine="480" w:firstLineChars="200"/>
        <w:jc w:val="left"/>
        <w:rPr>
          <w:rFonts w:hint="eastAsia" w:ascii="宋体" w:hAnsi="宋体"/>
          <w:sz w:val="24"/>
        </w:rPr>
      </w:pPr>
      <w:r>
        <w:rPr>
          <w:rFonts w:hint="eastAsia" w:ascii="宋体" w:hAnsi="宋体"/>
          <w:sz w:val="24"/>
        </w:rPr>
        <w:t xml:space="preserve">日 </w:t>
      </w:r>
      <w:r>
        <w:rPr>
          <w:rFonts w:ascii="宋体" w:hAnsi="宋体"/>
          <w:sz w:val="24"/>
        </w:rPr>
        <w:t xml:space="preserve">   </w:t>
      </w:r>
      <w:r>
        <w:rPr>
          <w:rFonts w:hint="eastAsia" w:ascii="宋体" w:hAnsi="宋体"/>
          <w:sz w:val="24"/>
        </w:rPr>
        <w:t>期：</w:t>
      </w:r>
    </w:p>
    <w:p w14:paraId="40F9B1F7">
      <w:pPr>
        <w:widowControl/>
        <w:jc w:val="left"/>
        <w:rPr>
          <w:rFonts w:ascii="Times New Roman" w:hAnsi="Times New Roman"/>
          <w:sz w:val="24"/>
        </w:rPr>
      </w:pPr>
      <w:r>
        <w:rPr>
          <w:rFonts w:ascii="Times New Roman" w:hAnsi="Times New Roman"/>
          <w:sz w:val="24"/>
        </w:rPr>
        <w:br w:type="page"/>
      </w:r>
    </w:p>
    <w:p w14:paraId="4BD61BD2">
      <w:pPr>
        <w:pStyle w:val="14"/>
        <w:rPr>
          <w:rFonts w:hint="eastAsia"/>
        </w:rPr>
      </w:pPr>
    </w:p>
    <w:p w14:paraId="6FF6368E">
      <w:pPr>
        <w:spacing w:line="360" w:lineRule="auto"/>
        <w:jc w:val="center"/>
        <w:rPr>
          <w:rFonts w:ascii="Times New Roman" w:hAnsi="Times New Roman"/>
          <w:b/>
          <w:bCs/>
          <w:sz w:val="28"/>
          <w:szCs w:val="36"/>
          <w:lang w:eastAsia="zh-Hans"/>
        </w:rPr>
      </w:pPr>
      <w:r>
        <w:rPr>
          <w:rFonts w:hint="eastAsia" w:ascii="Times New Roman" w:hAnsi="Times New Roman"/>
          <w:b/>
          <w:bCs/>
          <w:sz w:val="28"/>
          <w:szCs w:val="36"/>
          <w:lang w:eastAsia="zh-Hans"/>
        </w:rPr>
        <w:t>法人授权书</w:t>
      </w:r>
    </w:p>
    <w:p w14:paraId="5397DBAC">
      <w:pPr>
        <w:pStyle w:val="55"/>
        <w:spacing w:line="360" w:lineRule="auto"/>
        <w:rPr>
          <w:rFonts w:hint="eastAsia" w:ascii="宋体" w:hAnsi="宋体"/>
        </w:rPr>
      </w:pPr>
    </w:p>
    <w:p w14:paraId="03D33985">
      <w:pPr>
        <w:pStyle w:val="55"/>
        <w:spacing w:line="360" w:lineRule="auto"/>
        <w:ind w:firstLine="480" w:firstLineChars="200"/>
        <w:rPr>
          <w:rFonts w:hint="eastAsia" w:ascii="宋体" w:hAnsi="宋体"/>
        </w:rPr>
      </w:pPr>
      <w:r>
        <w:rPr>
          <w:rFonts w:hint="eastAsia" w:ascii="宋体" w:hAnsi="宋体"/>
        </w:rPr>
        <w:t>本授权书声明：</w:t>
      </w:r>
      <w:r>
        <w:rPr>
          <w:rFonts w:ascii="宋体" w:hAnsi="宋体"/>
          <w:u w:val="single"/>
        </w:rPr>
        <w:t xml:space="preserve">  [</w:t>
      </w:r>
      <w:r>
        <w:rPr>
          <w:rFonts w:hint="eastAsia" w:ascii="宋体" w:hAnsi="宋体"/>
          <w:u w:val="single"/>
        </w:rPr>
        <w:t>供应商全称]</w:t>
      </w:r>
      <w:r>
        <w:rPr>
          <w:rFonts w:ascii="宋体" w:hAnsi="宋体"/>
          <w:u w:val="single"/>
        </w:rPr>
        <w:t xml:space="preserve">  </w:t>
      </w:r>
      <w:r>
        <w:rPr>
          <w:rFonts w:hint="eastAsia" w:ascii="宋体" w:hAnsi="宋体"/>
        </w:rPr>
        <w:t>授权</w:t>
      </w:r>
      <w:bookmarkStart w:id="76" w:name="_Hlk109904574"/>
      <w:r>
        <w:rPr>
          <w:rFonts w:ascii="宋体" w:hAnsi="宋体"/>
          <w:u w:val="single"/>
        </w:rPr>
        <w:t xml:space="preserve">  [</w:t>
      </w:r>
      <w:r>
        <w:rPr>
          <w:rFonts w:hint="eastAsia" w:ascii="宋体" w:hAnsi="宋体"/>
          <w:u w:val="single"/>
        </w:rPr>
        <w:t>被授权人的姓名]</w:t>
      </w:r>
      <w:r>
        <w:rPr>
          <w:rFonts w:ascii="宋体" w:hAnsi="宋体"/>
          <w:u w:val="single"/>
        </w:rPr>
        <w:t xml:space="preserve">  </w:t>
      </w:r>
      <w:r>
        <w:rPr>
          <w:rFonts w:hint="eastAsia" w:ascii="宋体" w:hAnsi="宋体"/>
          <w:u w:val="single"/>
        </w:rPr>
        <w:t>[被授权人身份证号码]</w:t>
      </w:r>
      <w:r>
        <w:rPr>
          <w:rFonts w:ascii="宋体" w:hAnsi="宋体"/>
          <w:u w:val="single"/>
        </w:rPr>
        <w:t xml:space="preserve"> </w:t>
      </w:r>
      <w:bookmarkEnd w:id="76"/>
      <w:r>
        <w:rPr>
          <w:rFonts w:ascii="宋体" w:hAnsi="宋体"/>
          <w:u w:val="single"/>
        </w:rPr>
        <w:t xml:space="preserve"> </w:t>
      </w:r>
      <w:r>
        <w:rPr>
          <w:rFonts w:hint="eastAsia" w:ascii="宋体" w:hAnsi="宋体"/>
        </w:rPr>
        <w:t>为我方就</w:t>
      </w:r>
      <w:r>
        <w:rPr>
          <w:rFonts w:ascii="宋体" w:hAnsi="宋体"/>
          <w:u w:val="single"/>
        </w:rPr>
        <w:t xml:space="preserve"> [</w:t>
      </w:r>
      <w:r>
        <w:rPr>
          <w:rFonts w:hint="eastAsia" w:ascii="宋体" w:hAnsi="宋体"/>
          <w:u w:val="single"/>
        </w:rPr>
        <w:t>项目编号]</w:t>
      </w:r>
      <w:r>
        <w:rPr>
          <w:rFonts w:ascii="宋体" w:hAnsi="宋体"/>
          <w:u w:val="single"/>
        </w:rPr>
        <w:t xml:space="preserve"> </w:t>
      </w:r>
      <w:r>
        <w:rPr>
          <w:rFonts w:hint="eastAsia" w:ascii="宋体" w:hAnsi="宋体"/>
        </w:rPr>
        <w:t>号采购项目活动的合法代理人，以本公司名义全权处理一切与该项目采购有关的事务。</w:t>
      </w:r>
    </w:p>
    <w:p w14:paraId="5952433C">
      <w:pPr>
        <w:pStyle w:val="55"/>
        <w:spacing w:line="360" w:lineRule="auto"/>
        <w:ind w:firstLine="480" w:firstLineChars="200"/>
        <w:rPr>
          <w:rFonts w:hint="eastAsia" w:ascii="宋体" w:hAnsi="宋体"/>
        </w:rPr>
      </w:pPr>
      <w:r>
        <w:rPr>
          <w:rFonts w:hint="eastAsia" w:ascii="宋体" w:hAnsi="宋体"/>
        </w:rPr>
        <w:t>本授权书于</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日起生效，特此声明。</w:t>
      </w:r>
    </w:p>
    <w:p w14:paraId="43EA3D2C">
      <w:pPr>
        <w:pStyle w:val="87"/>
        <w:spacing w:line="360" w:lineRule="auto"/>
        <w:ind w:firstLine="480" w:firstLineChars="200"/>
        <w:rPr>
          <w:rFonts w:hint="eastAsia" w:ascii="宋体" w:hAnsi="宋体"/>
        </w:rPr>
      </w:pPr>
      <w:bookmarkStart w:id="77" w:name="_Hlk14105585"/>
      <w:bookmarkStart w:id="78" w:name="_Hlk91233128"/>
      <w:r>
        <w:rPr>
          <w:rFonts w:hint="eastAsia" w:ascii="宋体" w:hAnsi="宋体"/>
        </w:rPr>
        <w:t>(如有演示或陈述)我单位委托进行现场演示或陈述的人员为</w:t>
      </w:r>
      <w:r>
        <w:rPr>
          <w:rFonts w:hint="eastAsia" w:ascii="宋体" w:hAnsi="宋体"/>
          <w:u w:val="single"/>
        </w:rPr>
        <w:t xml:space="preserve"> </w:t>
      </w:r>
      <w:r>
        <w:rPr>
          <w:rFonts w:ascii="宋体" w:hAnsi="宋体"/>
          <w:u w:val="single"/>
        </w:rPr>
        <w:t>[</w:t>
      </w:r>
      <w:r>
        <w:rPr>
          <w:rFonts w:hint="eastAsia" w:ascii="宋体" w:hAnsi="宋体"/>
          <w:u w:val="single"/>
        </w:rPr>
        <w:t>姓名</w:t>
      </w:r>
      <w:r>
        <w:rPr>
          <w:rFonts w:ascii="宋体" w:hAnsi="宋体"/>
          <w:u w:val="single"/>
        </w:rPr>
        <w:t xml:space="preserve">] </w:t>
      </w:r>
      <w:r>
        <w:rPr>
          <w:rFonts w:hint="eastAsia" w:ascii="宋体" w:hAnsi="宋体"/>
          <w:u w:val="single"/>
        </w:rPr>
        <w:t>（身份证号：    ）</w:t>
      </w:r>
      <w:r>
        <w:rPr>
          <w:rFonts w:hint="eastAsia" w:ascii="宋体" w:hAnsi="宋体"/>
        </w:rPr>
        <w:t>；</w:t>
      </w:r>
    </w:p>
    <w:bookmarkEnd w:id="77"/>
    <w:bookmarkEnd w:id="78"/>
    <w:p w14:paraId="0C399BCD">
      <w:pPr>
        <w:pStyle w:val="87"/>
        <w:spacing w:line="360" w:lineRule="auto"/>
        <w:ind w:firstLine="480" w:firstLineChars="200"/>
        <w:rPr>
          <w:rFonts w:hint="eastAsia" w:ascii="黑体" w:hAnsi="黑体" w:eastAsia="黑体"/>
          <w:b/>
          <w:sz w:val="32"/>
          <w:szCs w:val="32"/>
        </w:rPr>
      </w:pPr>
      <w:bookmarkStart w:id="79" w:name="_Hlk91232425"/>
      <w:r>
        <w:rPr>
          <w:rFonts w:hint="eastAsia" w:ascii="宋体" w:hAnsi="宋体"/>
          <w:b/>
          <w:bCs/>
        </w:rPr>
        <w:t>附：</w:t>
      </w:r>
      <w:r>
        <w:rPr>
          <w:rFonts w:hint="eastAsia" w:ascii="宋体" w:hAnsi="宋体"/>
          <w:color w:val="000000"/>
        </w:rPr>
        <w:t>被授权人的有效身份证复印件</w:t>
      </w:r>
      <w:r>
        <w:rPr>
          <w:rFonts w:hint="eastAsia" w:ascii="宋体" w:hAnsi="宋体"/>
        </w:rPr>
        <w:t>；</w:t>
      </w:r>
    </w:p>
    <w:p w14:paraId="191AC0A5">
      <w:pPr>
        <w:pStyle w:val="87"/>
        <w:adjustRightInd w:val="0"/>
        <w:snapToGrid w:val="0"/>
        <w:spacing w:before="93" w:beforeLines="30" w:line="360" w:lineRule="auto"/>
        <w:rPr>
          <w:rFonts w:hint="eastAsia" w:ascii="宋体" w:hAnsi="宋体"/>
        </w:rPr>
      </w:pPr>
    </w:p>
    <w:p w14:paraId="325D441F">
      <w:pPr>
        <w:pStyle w:val="87"/>
        <w:adjustRightInd w:val="0"/>
        <w:snapToGrid w:val="0"/>
        <w:spacing w:before="93" w:beforeLines="30" w:line="360" w:lineRule="auto"/>
        <w:rPr>
          <w:rFonts w:hint="eastAsia" w:ascii="宋体" w:hAnsi="宋体"/>
        </w:rPr>
      </w:pPr>
    </w:p>
    <w:p w14:paraId="3F0B2C5C">
      <w:pPr>
        <w:pStyle w:val="87"/>
        <w:adjustRightInd w:val="0"/>
        <w:snapToGrid w:val="0"/>
        <w:spacing w:before="93" w:beforeLines="30" w:line="360" w:lineRule="auto"/>
        <w:rPr>
          <w:rFonts w:hint="eastAsia" w:ascii="宋体" w:hAnsi="宋体"/>
        </w:rPr>
      </w:pPr>
    </w:p>
    <w:p w14:paraId="2AB189C2">
      <w:pPr>
        <w:pStyle w:val="87"/>
        <w:adjustRightInd w:val="0"/>
        <w:snapToGrid w:val="0"/>
        <w:spacing w:before="93" w:beforeLines="30" w:line="360" w:lineRule="auto"/>
        <w:rPr>
          <w:rFonts w:hint="eastAsia" w:ascii="宋体" w:hAnsi="宋体"/>
        </w:rPr>
      </w:pPr>
    </w:p>
    <w:p w14:paraId="77FEA420">
      <w:pPr>
        <w:pStyle w:val="87"/>
        <w:adjustRightInd w:val="0"/>
        <w:snapToGrid w:val="0"/>
        <w:spacing w:before="93" w:beforeLines="30" w:line="360" w:lineRule="auto"/>
        <w:rPr>
          <w:rFonts w:hint="eastAsia" w:ascii="宋体" w:hAnsi="宋体"/>
        </w:rPr>
      </w:pPr>
    </w:p>
    <w:p w14:paraId="7EEB58DB">
      <w:pPr>
        <w:pStyle w:val="87"/>
        <w:spacing w:line="360" w:lineRule="auto"/>
        <w:ind w:firstLine="480" w:firstLineChars="200"/>
        <w:rPr>
          <w:rFonts w:hint="eastAsia" w:ascii="宋体" w:hAnsi="宋体"/>
        </w:rPr>
      </w:pPr>
      <w:r>
        <w:rPr>
          <w:rFonts w:hint="eastAsia" w:ascii="宋体" w:hAnsi="宋体"/>
        </w:rPr>
        <w:t>被授权人联系电话（手机）：</w:t>
      </w:r>
    </w:p>
    <w:p w14:paraId="25BCC5DE">
      <w:pPr>
        <w:pStyle w:val="87"/>
        <w:spacing w:line="360" w:lineRule="auto"/>
        <w:ind w:firstLine="480" w:firstLineChars="200"/>
        <w:rPr>
          <w:rFonts w:hint="eastAsia" w:ascii="宋体" w:hAnsi="宋体"/>
        </w:rPr>
      </w:pPr>
      <w:r>
        <w:rPr>
          <w:rFonts w:hint="eastAsia" w:ascii="宋体" w:hAnsi="宋体"/>
        </w:rPr>
        <w:t>授权单位名称（公章）：</w:t>
      </w:r>
    </w:p>
    <w:p w14:paraId="55FF964F">
      <w:pPr>
        <w:pStyle w:val="87"/>
        <w:spacing w:line="360" w:lineRule="auto"/>
        <w:ind w:firstLine="480" w:firstLineChars="200"/>
        <w:rPr>
          <w:rFonts w:hint="eastAsia" w:ascii="宋体" w:hAnsi="宋体"/>
        </w:rPr>
      </w:pPr>
      <w:r>
        <w:rPr>
          <w:rFonts w:hint="eastAsia" w:ascii="宋体" w:hAnsi="宋体"/>
        </w:rPr>
        <w:t>单位地址：</w:t>
      </w:r>
    </w:p>
    <w:p w14:paraId="49364B89">
      <w:pPr>
        <w:pStyle w:val="87"/>
        <w:spacing w:line="360" w:lineRule="auto"/>
        <w:ind w:firstLine="480" w:firstLineChars="200"/>
        <w:rPr>
          <w:rFonts w:hint="eastAsia" w:ascii="宋体" w:hAnsi="宋体"/>
        </w:rPr>
      </w:pPr>
      <w:r>
        <w:rPr>
          <w:rFonts w:hint="eastAsia" w:ascii="宋体" w:hAnsi="宋体"/>
        </w:rPr>
        <w:t xml:space="preserve">日 </w:t>
      </w:r>
      <w:r>
        <w:rPr>
          <w:rFonts w:ascii="宋体" w:hAnsi="宋体"/>
        </w:rPr>
        <w:t xml:space="preserve">   </w:t>
      </w:r>
      <w:r>
        <w:rPr>
          <w:rFonts w:hint="eastAsia" w:ascii="宋体" w:hAnsi="宋体"/>
        </w:rPr>
        <w:t>期：</w:t>
      </w:r>
      <w:bookmarkStart w:id="80" w:name="_Hlt26671380"/>
      <w:bookmarkEnd w:id="80"/>
      <w:bookmarkStart w:id="81" w:name="_格式3__银行出具的资信证明"/>
      <w:bookmarkEnd w:id="81"/>
      <w:bookmarkStart w:id="82" w:name="_Hlt26955070"/>
      <w:bookmarkEnd w:id="82"/>
      <w:r>
        <w:rPr>
          <w:rFonts w:hint="eastAsia" w:ascii="宋体" w:hAnsi="宋体"/>
        </w:rPr>
        <w:t xml:space="preserve">   年   月   日</w:t>
      </w:r>
    </w:p>
    <w:bookmarkEnd w:id="79"/>
    <w:p w14:paraId="42FCA3C1">
      <w:pPr>
        <w:pStyle w:val="4"/>
      </w:pPr>
    </w:p>
    <w:p w14:paraId="71230CE9">
      <w:pPr>
        <w:pStyle w:val="4"/>
      </w:pPr>
    </w:p>
    <w:p w14:paraId="68B332C4">
      <w:pPr>
        <w:pStyle w:val="4"/>
      </w:pPr>
    </w:p>
    <w:p w14:paraId="3DAF673D">
      <w:pPr>
        <w:pStyle w:val="4"/>
      </w:pPr>
    </w:p>
    <w:p w14:paraId="0D18676E">
      <w:pPr>
        <w:spacing w:line="360" w:lineRule="auto"/>
        <w:rPr>
          <w:rFonts w:hint="eastAsia" w:ascii="宋体" w:hAnsi="宋体"/>
          <w:b/>
          <w:i/>
          <w:sz w:val="24"/>
          <w:szCs w:val="32"/>
          <w:u w:val="single"/>
        </w:rPr>
      </w:pPr>
      <w:r>
        <w:rPr>
          <w:rFonts w:hint="eastAsia" w:ascii="宋体" w:hAnsi="宋体"/>
          <w:b/>
          <w:iCs/>
          <w:sz w:val="24"/>
          <w:szCs w:val="32"/>
        </w:rPr>
        <w:t>备注：</w:t>
      </w:r>
      <w:r>
        <w:rPr>
          <w:rFonts w:hint="eastAsia" w:ascii="宋体" w:hAnsi="宋体"/>
          <w:b/>
          <w:i/>
          <w:sz w:val="24"/>
          <w:szCs w:val="32"/>
          <w:u w:val="single"/>
        </w:rPr>
        <w:t>如供应商组成联合体参加磋商，则联合体各方均须加盖公章；</w:t>
      </w:r>
    </w:p>
    <w:p w14:paraId="4C3412E4">
      <w:pPr>
        <w:widowControl/>
        <w:jc w:val="left"/>
        <w:rPr>
          <w:rFonts w:ascii="Times New Roman" w:hAnsi="Times New Roman"/>
          <w:sz w:val="24"/>
        </w:rPr>
      </w:pPr>
      <w:r>
        <w:rPr>
          <w:rFonts w:ascii="Times New Roman" w:hAnsi="Times New Roman"/>
          <w:sz w:val="24"/>
        </w:rPr>
        <w:br w:type="page"/>
      </w:r>
    </w:p>
    <w:p w14:paraId="49EF610B">
      <w:pPr>
        <w:spacing w:line="360" w:lineRule="auto"/>
        <w:jc w:val="center"/>
        <w:rPr>
          <w:b/>
          <w:bCs/>
          <w:sz w:val="28"/>
          <w:szCs w:val="36"/>
        </w:rPr>
      </w:pPr>
      <w:r>
        <w:rPr>
          <w:rFonts w:hint="eastAsia"/>
          <w:b/>
          <w:bCs/>
          <w:sz w:val="28"/>
          <w:szCs w:val="36"/>
          <w:lang w:eastAsia="zh-Hans"/>
        </w:rPr>
        <w:t>磋商响应函</w:t>
      </w:r>
    </w:p>
    <w:p w14:paraId="7F6ACC7E">
      <w:pPr>
        <w:spacing w:line="360" w:lineRule="auto"/>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[采购人单位全称</w:t>
      </w:r>
      <w:r>
        <w:rPr>
          <w:rFonts w:ascii="宋体" w:hAnsi="宋体"/>
          <w:sz w:val="24"/>
          <w:u w:val="single"/>
        </w:rPr>
        <w:t xml:space="preserve">]  </w:t>
      </w:r>
      <w:r>
        <w:rPr>
          <w:rFonts w:ascii="宋体" w:hAnsi="宋体"/>
          <w:sz w:val="24"/>
        </w:rPr>
        <w:t>、</w:t>
      </w:r>
      <w:r>
        <w:rPr>
          <w:rFonts w:hint="eastAsia" w:ascii="宋体" w:hAnsi="宋体"/>
          <w:sz w:val="24"/>
        </w:rPr>
        <w:t>南京越鑫项目管理咨询有限公司</w:t>
      </w:r>
    </w:p>
    <w:p w14:paraId="3F33F463">
      <w:pPr>
        <w:spacing w:line="360" w:lineRule="auto"/>
        <w:ind w:firstLine="480" w:firstLineChars="200"/>
        <w:rPr>
          <w:rFonts w:hint="eastAsia" w:ascii="宋体" w:hAnsi="宋体"/>
          <w:sz w:val="24"/>
        </w:rPr>
      </w:pPr>
      <w:r>
        <w:rPr>
          <w:rFonts w:hint="eastAsia" w:ascii="宋体" w:hAnsi="宋体"/>
          <w:sz w:val="24"/>
        </w:rPr>
        <w:t>根据贵方的</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项目编号</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号磋商文件，正式授权</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[被授权人的姓名</w:t>
      </w:r>
      <w:r>
        <w:rPr>
          <w:rFonts w:ascii="宋体" w:hAnsi="宋体"/>
          <w:sz w:val="24"/>
          <w:u w:val="single"/>
        </w:rPr>
        <w:t xml:space="preserve">]  </w:t>
      </w:r>
      <w:r>
        <w:rPr>
          <w:rFonts w:hint="eastAsia" w:ascii="宋体" w:hAnsi="宋体"/>
          <w:sz w:val="24"/>
        </w:rPr>
        <w:t>代表我方</w:t>
      </w:r>
      <w:r>
        <w:rPr>
          <w:rFonts w:ascii="宋体" w:hAnsi="宋体"/>
          <w:i/>
          <w:iCs/>
          <w:sz w:val="24"/>
          <w:u w:val="single"/>
        </w:rPr>
        <w:t xml:space="preserve">  </w:t>
      </w:r>
      <w:r>
        <w:rPr>
          <w:rFonts w:ascii="宋体" w:hAnsi="宋体"/>
          <w:sz w:val="24"/>
          <w:u w:val="single"/>
        </w:rPr>
        <w:t>[</w:t>
      </w:r>
      <w:r>
        <w:rPr>
          <w:rFonts w:hint="eastAsia" w:ascii="宋体" w:hAnsi="宋体"/>
          <w:sz w:val="24"/>
          <w:u w:val="single"/>
        </w:rPr>
        <w:t>磋商供应商的名称]</w:t>
      </w:r>
      <w:r>
        <w:rPr>
          <w:rFonts w:ascii="宋体" w:hAnsi="宋体"/>
          <w:sz w:val="24"/>
          <w:u w:val="single"/>
        </w:rPr>
        <w:t xml:space="preserve">  </w:t>
      </w:r>
      <w:r>
        <w:rPr>
          <w:rFonts w:hint="eastAsia" w:ascii="宋体" w:hAnsi="宋体"/>
          <w:sz w:val="24"/>
        </w:rPr>
        <w:t>，全权处理本次项目磋商采购的有关事宜。</w:t>
      </w:r>
    </w:p>
    <w:p w14:paraId="4733421F">
      <w:pPr>
        <w:spacing w:line="360" w:lineRule="auto"/>
        <w:ind w:firstLine="480" w:firstLineChars="200"/>
        <w:rPr>
          <w:rFonts w:hint="eastAsia" w:ascii="宋体" w:hAnsi="宋体"/>
          <w:sz w:val="24"/>
        </w:rPr>
      </w:pPr>
      <w:r>
        <w:rPr>
          <w:rFonts w:hint="eastAsia" w:ascii="宋体" w:hAnsi="宋体"/>
          <w:sz w:val="24"/>
        </w:rPr>
        <w:t>据此函，授权委托人宣布同意如下：</w:t>
      </w:r>
    </w:p>
    <w:p w14:paraId="147C7608">
      <w:pPr>
        <w:spacing w:line="360" w:lineRule="auto"/>
        <w:ind w:firstLine="480" w:firstLineChars="200"/>
        <w:rPr>
          <w:rFonts w:hint="eastAsia" w:ascii="宋体" w:hAnsi="宋体"/>
          <w:sz w:val="24"/>
        </w:rPr>
      </w:pPr>
      <w:r>
        <w:rPr>
          <w:rFonts w:hint="eastAsia" w:ascii="宋体" w:hAnsi="宋体"/>
          <w:sz w:val="24"/>
        </w:rPr>
        <w:t>1.按磋商文件规定的各项要求，向买方提供所需服务。</w:t>
      </w:r>
    </w:p>
    <w:p w14:paraId="05C8D16C">
      <w:pPr>
        <w:spacing w:line="360" w:lineRule="auto"/>
        <w:ind w:firstLine="480" w:firstLineChars="200"/>
        <w:rPr>
          <w:rFonts w:hint="eastAsia" w:ascii="宋体" w:hAnsi="宋体"/>
          <w:sz w:val="24"/>
        </w:rPr>
      </w:pPr>
      <w:r>
        <w:rPr>
          <w:rFonts w:hint="eastAsia" w:ascii="宋体" w:hAnsi="宋体"/>
          <w:sz w:val="24"/>
        </w:rPr>
        <w:t>2.我方已详细审核全部磋商文件及其有效补充文件，我方知道必须放弃提出含糊不清或误解问题的权利。</w:t>
      </w:r>
    </w:p>
    <w:p w14:paraId="0416DEC6">
      <w:pPr>
        <w:spacing w:line="360" w:lineRule="auto"/>
        <w:ind w:firstLine="480" w:firstLineChars="200"/>
        <w:rPr>
          <w:rFonts w:hint="eastAsia" w:ascii="宋体" w:hAnsi="宋体"/>
          <w:sz w:val="24"/>
        </w:rPr>
      </w:pPr>
      <w:r>
        <w:rPr>
          <w:rFonts w:hint="eastAsia" w:ascii="宋体" w:hAnsi="宋体"/>
          <w:sz w:val="24"/>
        </w:rPr>
        <w:t>3.我方同意从规定的响应文件接收截止时间起遵循本响应文件，并在规定的磋商、有效期期满之前均具有约束力。</w:t>
      </w:r>
    </w:p>
    <w:p w14:paraId="7C6D10CB">
      <w:pPr>
        <w:spacing w:line="360" w:lineRule="auto"/>
        <w:ind w:firstLine="480" w:firstLineChars="200"/>
        <w:rPr>
          <w:rFonts w:hint="eastAsia" w:ascii="宋体" w:hAnsi="宋体"/>
          <w:sz w:val="24"/>
        </w:rPr>
      </w:pPr>
      <w:r>
        <w:rPr>
          <w:rFonts w:hint="eastAsia" w:ascii="宋体" w:hAnsi="宋体"/>
          <w:sz w:val="24"/>
        </w:rPr>
        <w:t>4.如果在响应文件接收截止时间后规定的磋商有效期内撤回响应文件或成交后拒绝签订合同，</w:t>
      </w:r>
      <w:bookmarkStart w:id="83" w:name="_Hlk47429358"/>
      <w:r>
        <w:rPr>
          <w:rFonts w:hint="eastAsia" w:ascii="宋体" w:hAnsi="宋体"/>
          <w:sz w:val="24"/>
        </w:rPr>
        <w:t>我方同意按照政府采购规定承担所有责任。</w:t>
      </w:r>
      <w:bookmarkEnd w:id="83"/>
    </w:p>
    <w:p w14:paraId="7F2A24CB">
      <w:pPr>
        <w:spacing w:line="360" w:lineRule="auto"/>
        <w:ind w:firstLine="480" w:firstLineChars="200"/>
        <w:rPr>
          <w:rFonts w:hint="eastAsia" w:ascii="宋体" w:hAnsi="宋体"/>
          <w:sz w:val="24"/>
        </w:rPr>
      </w:pPr>
      <w:r>
        <w:rPr>
          <w:rFonts w:hint="eastAsia" w:ascii="宋体" w:hAnsi="宋体"/>
          <w:sz w:val="24"/>
        </w:rPr>
        <w:t>5.同意向贵方提供贵方可能另外要求的与磋商采购有关的任何证据或资料，并保证我方已提供和将要提供的文件是真实的、准确的。</w:t>
      </w:r>
    </w:p>
    <w:p w14:paraId="0ED27310">
      <w:pPr>
        <w:spacing w:line="360" w:lineRule="auto"/>
        <w:ind w:firstLine="480" w:firstLineChars="200"/>
        <w:rPr>
          <w:rFonts w:hint="eastAsia" w:ascii="宋体" w:hAnsi="宋体"/>
          <w:sz w:val="24"/>
        </w:rPr>
      </w:pPr>
      <w:r>
        <w:rPr>
          <w:rFonts w:hint="eastAsia" w:ascii="宋体" w:hAnsi="宋体"/>
          <w:sz w:val="24"/>
        </w:rPr>
        <w:t>6.一旦我方成交，我方将根据磋商文件的规定，严格履行合同的责任和义务，并保证在磋商文件规定的时间完成项目，交付买方验收、使用。</w:t>
      </w:r>
    </w:p>
    <w:p w14:paraId="3A94F545">
      <w:pPr>
        <w:spacing w:line="360" w:lineRule="auto"/>
        <w:ind w:firstLine="480" w:firstLineChars="200"/>
        <w:rPr>
          <w:rFonts w:hint="eastAsia" w:ascii="宋体" w:hAnsi="宋体"/>
          <w:sz w:val="24"/>
        </w:rPr>
      </w:pPr>
      <w:r>
        <w:rPr>
          <w:rFonts w:hint="eastAsia" w:ascii="宋体" w:hAnsi="宋体"/>
          <w:sz w:val="24"/>
        </w:rPr>
        <w:t>7.遵守磋商文件中要求的收费项目和标准。</w:t>
      </w:r>
    </w:p>
    <w:p w14:paraId="7F922457">
      <w:pPr>
        <w:spacing w:line="360" w:lineRule="auto"/>
        <w:ind w:firstLine="480" w:firstLineChars="200"/>
        <w:rPr>
          <w:rFonts w:hint="eastAsia" w:ascii="宋体" w:hAnsi="宋体"/>
          <w:sz w:val="24"/>
          <w:szCs w:val="21"/>
        </w:rPr>
      </w:pPr>
      <w:r>
        <w:rPr>
          <w:rFonts w:hint="eastAsia" w:ascii="宋体" w:hAnsi="宋体"/>
          <w:sz w:val="24"/>
          <w:szCs w:val="21"/>
        </w:rPr>
        <w:t>8.与本磋商采购有关的正式通讯地址为：</w:t>
      </w:r>
    </w:p>
    <w:tbl>
      <w:tblPr>
        <w:tblStyle w:val="35"/>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4"/>
        <w:gridCol w:w="2856"/>
        <w:gridCol w:w="1589"/>
        <w:gridCol w:w="2320"/>
      </w:tblGrid>
      <w:tr w14:paraId="7B098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134" w:type="dxa"/>
            <w:vAlign w:val="center"/>
          </w:tcPr>
          <w:p w14:paraId="24891A5D">
            <w:pPr>
              <w:spacing w:line="360" w:lineRule="auto"/>
              <w:jc w:val="center"/>
              <w:rPr>
                <w:rFonts w:hint="eastAsia" w:ascii="宋体" w:hAnsi="宋体"/>
                <w:sz w:val="24"/>
              </w:rPr>
            </w:pPr>
            <w:bookmarkStart w:id="84" w:name="_Hlk13223537"/>
            <w:r>
              <w:rPr>
                <w:rFonts w:hint="eastAsia" w:ascii="宋体" w:hAnsi="宋体"/>
                <w:sz w:val="24"/>
              </w:rPr>
              <w:t>联系电话</w:t>
            </w:r>
          </w:p>
        </w:tc>
        <w:tc>
          <w:tcPr>
            <w:tcW w:w="2856" w:type="dxa"/>
            <w:vAlign w:val="center"/>
          </w:tcPr>
          <w:p w14:paraId="3AC525E5">
            <w:pPr>
              <w:spacing w:line="360" w:lineRule="auto"/>
              <w:jc w:val="center"/>
              <w:rPr>
                <w:rFonts w:hint="eastAsia" w:ascii="宋体" w:hAnsi="宋体"/>
                <w:sz w:val="24"/>
              </w:rPr>
            </w:pPr>
          </w:p>
        </w:tc>
        <w:tc>
          <w:tcPr>
            <w:tcW w:w="1589" w:type="dxa"/>
            <w:vAlign w:val="center"/>
          </w:tcPr>
          <w:p w14:paraId="384BA04D">
            <w:pPr>
              <w:spacing w:line="360" w:lineRule="auto"/>
              <w:jc w:val="center"/>
              <w:rPr>
                <w:rFonts w:hint="eastAsia" w:ascii="宋体" w:hAnsi="宋体"/>
                <w:sz w:val="24"/>
              </w:rPr>
            </w:pPr>
            <w:r>
              <w:rPr>
                <w:rFonts w:hint="eastAsia" w:ascii="宋体" w:hAnsi="宋体"/>
                <w:sz w:val="24"/>
              </w:rPr>
              <w:t>联系邮箱</w:t>
            </w:r>
          </w:p>
        </w:tc>
        <w:tc>
          <w:tcPr>
            <w:tcW w:w="2320" w:type="dxa"/>
            <w:vAlign w:val="center"/>
          </w:tcPr>
          <w:p w14:paraId="48518935">
            <w:pPr>
              <w:spacing w:line="360" w:lineRule="auto"/>
              <w:jc w:val="center"/>
              <w:rPr>
                <w:rFonts w:hint="eastAsia" w:ascii="宋体" w:hAnsi="宋体"/>
                <w:sz w:val="24"/>
              </w:rPr>
            </w:pPr>
          </w:p>
        </w:tc>
      </w:tr>
      <w:tr w14:paraId="5314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134" w:type="dxa"/>
            <w:vAlign w:val="center"/>
          </w:tcPr>
          <w:p w14:paraId="38236351">
            <w:pPr>
              <w:spacing w:line="360" w:lineRule="auto"/>
              <w:jc w:val="center"/>
              <w:rPr>
                <w:rFonts w:hint="eastAsia" w:ascii="宋体" w:hAnsi="宋体"/>
                <w:sz w:val="24"/>
              </w:rPr>
            </w:pPr>
            <w:r>
              <w:rPr>
                <w:rFonts w:hint="eastAsia" w:ascii="宋体" w:hAnsi="宋体"/>
                <w:sz w:val="24"/>
              </w:rPr>
              <w:t xml:space="preserve">传 </w:t>
            </w:r>
            <w:r>
              <w:rPr>
                <w:rFonts w:ascii="宋体" w:hAnsi="宋体"/>
                <w:sz w:val="24"/>
              </w:rPr>
              <w:t xml:space="preserve">   </w:t>
            </w:r>
            <w:r>
              <w:rPr>
                <w:rFonts w:hint="eastAsia" w:ascii="宋体" w:hAnsi="宋体"/>
                <w:sz w:val="24"/>
              </w:rPr>
              <w:t>真</w:t>
            </w:r>
          </w:p>
        </w:tc>
        <w:tc>
          <w:tcPr>
            <w:tcW w:w="2856" w:type="dxa"/>
            <w:vAlign w:val="center"/>
          </w:tcPr>
          <w:p w14:paraId="40A5DD56">
            <w:pPr>
              <w:spacing w:line="360" w:lineRule="auto"/>
              <w:jc w:val="center"/>
              <w:rPr>
                <w:rFonts w:hint="eastAsia" w:ascii="宋体" w:hAnsi="宋体"/>
                <w:sz w:val="24"/>
              </w:rPr>
            </w:pPr>
          </w:p>
        </w:tc>
        <w:tc>
          <w:tcPr>
            <w:tcW w:w="1589" w:type="dxa"/>
            <w:vAlign w:val="center"/>
          </w:tcPr>
          <w:p w14:paraId="36290DF3">
            <w:pPr>
              <w:spacing w:line="360" w:lineRule="auto"/>
              <w:jc w:val="center"/>
              <w:rPr>
                <w:rFonts w:hint="eastAsia" w:ascii="宋体" w:hAnsi="宋体"/>
                <w:sz w:val="24"/>
              </w:rPr>
            </w:pPr>
            <w:r>
              <w:rPr>
                <w:rFonts w:hint="eastAsia" w:ascii="宋体" w:hAnsi="宋体"/>
                <w:sz w:val="24"/>
              </w:rPr>
              <w:t xml:space="preserve">邮 </w:t>
            </w:r>
            <w:r>
              <w:rPr>
                <w:rFonts w:ascii="宋体" w:hAnsi="宋体"/>
                <w:sz w:val="24"/>
              </w:rPr>
              <w:t xml:space="preserve">   </w:t>
            </w:r>
            <w:r>
              <w:rPr>
                <w:rFonts w:hint="eastAsia" w:ascii="宋体" w:hAnsi="宋体"/>
                <w:sz w:val="24"/>
              </w:rPr>
              <w:t>编</w:t>
            </w:r>
          </w:p>
        </w:tc>
        <w:tc>
          <w:tcPr>
            <w:tcW w:w="2320" w:type="dxa"/>
            <w:vAlign w:val="center"/>
          </w:tcPr>
          <w:p w14:paraId="6008F7B8">
            <w:pPr>
              <w:spacing w:line="360" w:lineRule="auto"/>
              <w:jc w:val="center"/>
              <w:rPr>
                <w:rFonts w:hint="eastAsia" w:ascii="宋体" w:hAnsi="宋体"/>
                <w:sz w:val="24"/>
              </w:rPr>
            </w:pPr>
          </w:p>
        </w:tc>
      </w:tr>
      <w:tr w14:paraId="4B057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134" w:type="dxa"/>
            <w:vAlign w:val="center"/>
          </w:tcPr>
          <w:p w14:paraId="4B56A74D">
            <w:pPr>
              <w:spacing w:line="360" w:lineRule="auto"/>
              <w:jc w:val="center"/>
              <w:rPr>
                <w:rFonts w:hint="eastAsia" w:ascii="宋体" w:hAnsi="宋体"/>
                <w:sz w:val="24"/>
              </w:rPr>
            </w:pPr>
            <w:r>
              <w:rPr>
                <w:rFonts w:hint="eastAsia" w:ascii="宋体" w:hAnsi="宋体"/>
                <w:sz w:val="24"/>
              </w:rPr>
              <w:t>通讯地址</w:t>
            </w:r>
          </w:p>
        </w:tc>
        <w:tc>
          <w:tcPr>
            <w:tcW w:w="6765" w:type="dxa"/>
            <w:gridSpan w:val="3"/>
            <w:vAlign w:val="center"/>
          </w:tcPr>
          <w:p w14:paraId="565D0E96">
            <w:pPr>
              <w:spacing w:line="360" w:lineRule="auto"/>
              <w:jc w:val="center"/>
              <w:rPr>
                <w:rFonts w:hint="eastAsia" w:ascii="宋体" w:hAnsi="宋体"/>
                <w:sz w:val="24"/>
              </w:rPr>
            </w:pPr>
          </w:p>
        </w:tc>
      </w:tr>
      <w:bookmarkEnd w:id="84"/>
      <w:tr w14:paraId="37C43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2134" w:type="dxa"/>
            <w:vAlign w:val="center"/>
          </w:tcPr>
          <w:p w14:paraId="2B318084">
            <w:pPr>
              <w:spacing w:line="360" w:lineRule="auto"/>
              <w:jc w:val="center"/>
              <w:rPr>
                <w:rFonts w:hint="eastAsia" w:ascii="宋体" w:hAnsi="宋体"/>
                <w:sz w:val="24"/>
              </w:rPr>
            </w:pPr>
            <w:r>
              <w:rPr>
                <w:rFonts w:hint="eastAsia" w:ascii="宋体" w:hAnsi="宋体"/>
                <w:sz w:val="24"/>
              </w:rPr>
              <w:t>供应商账户信息</w:t>
            </w:r>
          </w:p>
        </w:tc>
        <w:tc>
          <w:tcPr>
            <w:tcW w:w="6765" w:type="dxa"/>
            <w:gridSpan w:val="3"/>
            <w:vAlign w:val="center"/>
          </w:tcPr>
          <w:p w14:paraId="251C150E">
            <w:pPr>
              <w:spacing w:line="360" w:lineRule="auto"/>
              <w:rPr>
                <w:rFonts w:hint="eastAsia" w:ascii="宋体" w:hAnsi="宋体"/>
                <w:sz w:val="24"/>
              </w:rPr>
            </w:pPr>
            <w:r>
              <w:rPr>
                <w:rFonts w:hint="eastAsia" w:ascii="宋体" w:hAnsi="宋体"/>
                <w:sz w:val="24"/>
              </w:rPr>
              <w:t>账户名称：</w:t>
            </w:r>
          </w:p>
          <w:p w14:paraId="41609067">
            <w:pPr>
              <w:spacing w:line="360" w:lineRule="auto"/>
              <w:rPr>
                <w:rFonts w:hint="eastAsia" w:ascii="宋体" w:hAnsi="宋体"/>
                <w:bCs/>
                <w:sz w:val="24"/>
              </w:rPr>
            </w:pPr>
            <w:r>
              <w:rPr>
                <w:rFonts w:hint="eastAsia" w:ascii="宋体" w:hAnsi="宋体"/>
                <w:bCs/>
                <w:sz w:val="24"/>
              </w:rPr>
              <w:t>开户银行：</w:t>
            </w:r>
          </w:p>
          <w:p w14:paraId="3090A2D9">
            <w:pPr>
              <w:spacing w:line="360" w:lineRule="auto"/>
              <w:rPr>
                <w:rFonts w:hint="eastAsia" w:ascii="宋体" w:hAnsi="宋体"/>
                <w:sz w:val="24"/>
              </w:rPr>
            </w:pPr>
            <w:r>
              <w:rPr>
                <w:rFonts w:hint="eastAsia" w:ascii="宋体" w:hAnsi="宋体"/>
                <w:bCs/>
                <w:sz w:val="24"/>
              </w:rPr>
              <w:t>账户号码：</w:t>
            </w:r>
          </w:p>
        </w:tc>
      </w:tr>
    </w:tbl>
    <w:p w14:paraId="7DF58DB2">
      <w:pPr>
        <w:spacing w:line="360" w:lineRule="auto"/>
        <w:rPr>
          <w:rFonts w:hint="eastAsia" w:ascii="宋体" w:hAnsi="宋体"/>
          <w:sz w:val="24"/>
        </w:rPr>
      </w:pPr>
    </w:p>
    <w:p w14:paraId="5049E3D8">
      <w:pPr>
        <w:spacing w:line="360" w:lineRule="auto"/>
        <w:ind w:firstLine="480" w:firstLineChars="200"/>
        <w:rPr>
          <w:rFonts w:hint="eastAsia" w:ascii="宋体" w:hAnsi="宋体"/>
          <w:sz w:val="24"/>
        </w:rPr>
      </w:pPr>
      <w:bookmarkStart w:id="85" w:name="_Hlk13223570"/>
      <w:r>
        <w:rPr>
          <w:rFonts w:hint="eastAsia" w:ascii="宋体" w:hAnsi="宋体"/>
          <w:sz w:val="24"/>
        </w:rPr>
        <w:t>供应商全称（公章）：</w:t>
      </w:r>
    </w:p>
    <w:p w14:paraId="3DB6AAD0">
      <w:pPr>
        <w:spacing w:line="360" w:lineRule="auto"/>
        <w:ind w:firstLine="480" w:firstLineChars="200"/>
        <w:rPr>
          <w:rFonts w:hint="eastAsia" w:ascii="宋体" w:hAnsi="宋体"/>
          <w:sz w:val="24"/>
        </w:rPr>
      </w:pPr>
      <w:r>
        <w:rPr>
          <w:rFonts w:hint="eastAsia" w:ascii="宋体" w:hAnsi="宋体"/>
          <w:sz w:val="24"/>
        </w:rPr>
        <w:t xml:space="preserve">日 </w:t>
      </w:r>
      <w:r>
        <w:rPr>
          <w:rFonts w:ascii="宋体" w:hAnsi="宋体"/>
          <w:sz w:val="24"/>
        </w:rPr>
        <w:t xml:space="preserve">   </w:t>
      </w:r>
      <w:r>
        <w:rPr>
          <w:rFonts w:hint="eastAsia" w:ascii="宋体" w:hAnsi="宋体"/>
          <w:sz w:val="24"/>
        </w:rPr>
        <w:t>期：</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6F9531A8">
      <w:pPr>
        <w:autoSpaceDE w:val="0"/>
        <w:autoSpaceDN w:val="0"/>
        <w:spacing w:line="360" w:lineRule="auto"/>
        <w:jc w:val="left"/>
        <w:rPr>
          <w:rFonts w:hint="eastAsia" w:ascii="宋体" w:hAnsi="宋体"/>
          <w:b/>
          <w:iCs/>
          <w:sz w:val="24"/>
        </w:rPr>
      </w:pPr>
    </w:p>
    <w:p w14:paraId="080493B6">
      <w:pPr>
        <w:autoSpaceDE w:val="0"/>
        <w:autoSpaceDN w:val="0"/>
        <w:spacing w:line="360" w:lineRule="auto"/>
        <w:jc w:val="left"/>
        <w:rPr>
          <w:rFonts w:hint="eastAsia" w:ascii="宋体" w:hAnsi="宋体"/>
          <w:b/>
          <w:i/>
          <w:sz w:val="24"/>
          <w:u w:val="single"/>
        </w:rPr>
      </w:pPr>
      <w:r>
        <w:rPr>
          <w:rFonts w:hint="eastAsia" w:ascii="宋体" w:hAnsi="宋体"/>
          <w:b/>
          <w:iCs/>
          <w:sz w:val="24"/>
        </w:rPr>
        <w:t>备注：</w:t>
      </w:r>
      <w:r>
        <w:rPr>
          <w:rFonts w:hint="eastAsia" w:ascii="宋体" w:hAnsi="宋体"/>
          <w:b/>
          <w:i/>
          <w:sz w:val="24"/>
          <w:u w:val="single"/>
        </w:rPr>
        <w:t>如供应商组成联合体参加磋商，则联合体各方均须加盖公章；</w:t>
      </w:r>
      <w:bookmarkEnd w:id="85"/>
    </w:p>
    <w:p w14:paraId="402212DB">
      <w:pPr>
        <w:widowControl/>
        <w:jc w:val="left"/>
        <w:rPr>
          <w:rFonts w:hint="eastAsia" w:ascii="宋体" w:hAnsi="宋体"/>
          <w:bCs/>
          <w:iCs/>
          <w:sz w:val="24"/>
        </w:rPr>
      </w:pPr>
      <w:r>
        <w:rPr>
          <w:rFonts w:ascii="宋体" w:hAnsi="宋体"/>
          <w:bCs/>
          <w:iCs/>
          <w:sz w:val="24"/>
        </w:rPr>
        <w:br w:type="page"/>
      </w:r>
    </w:p>
    <w:p w14:paraId="0DEB3502">
      <w:pPr>
        <w:spacing w:after="156" w:afterLines="50" w:line="360" w:lineRule="auto"/>
        <w:jc w:val="center"/>
        <w:outlineLvl w:val="1"/>
        <w:rPr>
          <w:b/>
          <w:bCs/>
          <w:sz w:val="28"/>
          <w:szCs w:val="36"/>
          <w:lang w:eastAsia="zh-Hans"/>
        </w:rPr>
      </w:pPr>
      <w:bookmarkStart w:id="86" w:name="_Toc171605472"/>
      <w:r>
        <w:rPr>
          <w:rFonts w:hint="eastAsia"/>
          <w:b/>
          <w:bCs/>
          <w:sz w:val="28"/>
          <w:szCs w:val="36"/>
          <w:lang w:eastAsia="zh-Hans"/>
        </w:rPr>
        <w:t>四</w:t>
      </w:r>
      <w:r>
        <w:rPr>
          <w:b/>
          <w:bCs/>
          <w:sz w:val="28"/>
          <w:szCs w:val="36"/>
          <w:lang w:eastAsia="zh-Hans"/>
        </w:rPr>
        <w:t>、磋商响应报价表</w:t>
      </w:r>
      <w:bookmarkEnd w:id="86"/>
    </w:p>
    <w:p w14:paraId="135D4181">
      <w:pPr>
        <w:pStyle w:val="14"/>
        <w:rPr>
          <w:rFonts w:hint="eastAsia"/>
          <w:szCs w:val="28"/>
          <w:lang w:eastAsia="zh-Hans"/>
        </w:rPr>
      </w:pPr>
      <w:r>
        <w:rPr>
          <w:szCs w:val="28"/>
          <w:lang w:eastAsia="zh-Hans"/>
        </w:rPr>
        <w:t>磋商供应商全称（加盖公章）：</w:t>
      </w:r>
    </w:p>
    <w:p w14:paraId="7BA6B90B">
      <w:pPr>
        <w:pStyle w:val="14"/>
        <w:rPr>
          <w:rFonts w:hint="eastAsia"/>
          <w:szCs w:val="28"/>
          <w:lang w:eastAsia="zh-Hans"/>
        </w:rPr>
      </w:pPr>
      <w:r>
        <w:rPr>
          <w:szCs w:val="28"/>
          <w:lang w:eastAsia="zh-Hans"/>
        </w:rPr>
        <w:t>项目名称：</w:t>
      </w:r>
    </w:p>
    <w:p w14:paraId="4615CA44">
      <w:pPr>
        <w:pStyle w:val="14"/>
        <w:rPr>
          <w:rFonts w:hint="eastAsia"/>
          <w:szCs w:val="28"/>
          <w:lang w:eastAsia="zh-Hans"/>
        </w:rPr>
      </w:pPr>
      <w:r>
        <w:rPr>
          <w:szCs w:val="28"/>
          <w:lang w:eastAsia="zh-Hans"/>
        </w:rPr>
        <w:t>项目编号：</w:t>
      </w:r>
    </w:p>
    <w:p w14:paraId="4CFD6280">
      <w:pPr>
        <w:pStyle w:val="14"/>
        <w:rPr>
          <w:rFonts w:hint="eastAsia"/>
          <w:szCs w:val="28"/>
          <w:lang w:eastAsia="zh-Hans"/>
        </w:rPr>
      </w:pPr>
      <w:r>
        <w:rPr>
          <w:szCs w:val="28"/>
          <w:lang w:eastAsia="zh-Hans"/>
        </w:rPr>
        <w:t>分 包 号：</w:t>
      </w:r>
    </w:p>
    <w:p w14:paraId="2FB8B380">
      <w:pPr>
        <w:pStyle w:val="14"/>
        <w:rPr>
          <w:rFonts w:hint="eastAsia"/>
          <w:szCs w:val="28"/>
          <w:lang w:eastAsia="zh-Hans"/>
        </w:rPr>
      </w:pPr>
      <w:r>
        <w:rPr>
          <w:szCs w:val="28"/>
          <w:lang w:eastAsia="zh-Hans"/>
        </w:rPr>
        <w:t>是否提供了中小企业声明：</w:t>
      </w:r>
      <w:sdt>
        <w:sdtPr>
          <w:rPr>
            <w:szCs w:val="28"/>
            <w:lang w:eastAsia="zh-Hans"/>
          </w:rPr>
          <w:id w:val="1332876514"/>
          <w14:checkbox>
            <w14:checked w14:val="0"/>
            <w14:checkedState w14:val="0052" w14:font="Wingdings 2"/>
            <w14:uncheckedState w14:val="2610" w14:font="MS Gothic"/>
          </w14:checkbox>
        </w:sdtPr>
        <w:sdtEndPr>
          <w:rPr>
            <w:szCs w:val="28"/>
            <w:lang w:eastAsia="zh-Hans"/>
          </w:rPr>
        </w:sdtEndPr>
        <w:sdtContent>
          <w:r>
            <w:rPr>
              <w:rFonts w:hint="eastAsia" w:ascii="MS Gothic" w:hAnsi="MS Gothic" w:eastAsia="MS Gothic"/>
              <w:szCs w:val="28"/>
              <w:lang w:eastAsia="zh-Hans"/>
            </w:rPr>
            <w:t>☐</w:t>
          </w:r>
        </w:sdtContent>
      </w:sdt>
      <w:r>
        <w:rPr>
          <w:szCs w:val="28"/>
          <w:lang w:eastAsia="zh-Hans"/>
        </w:rPr>
        <w:t>否；</w:t>
      </w:r>
      <w:sdt>
        <w:sdtPr>
          <w:rPr>
            <w:szCs w:val="28"/>
            <w:lang w:eastAsia="zh-Hans"/>
          </w:rPr>
          <w:id w:val="277143887"/>
          <w14:checkbox>
            <w14:checked w14:val="0"/>
            <w14:checkedState w14:val="0052" w14:font="Wingdings 2"/>
            <w14:uncheckedState w14:val="2610" w14:font="MS Gothic"/>
          </w14:checkbox>
        </w:sdtPr>
        <w:sdtEndPr>
          <w:rPr>
            <w:szCs w:val="28"/>
            <w:lang w:eastAsia="zh-Hans"/>
          </w:rPr>
        </w:sdtEndPr>
        <w:sdtContent>
          <w:r>
            <w:rPr>
              <w:rFonts w:hint="eastAsia" w:ascii="MS Gothic" w:hAnsi="MS Gothic" w:eastAsia="MS Gothic"/>
              <w:szCs w:val="28"/>
              <w:lang w:eastAsia="zh-Hans"/>
            </w:rPr>
            <w:t>☐</w:t>
          </w:r>
        </w:sdtContent>
      </w:sdt>
      <w:r>
        <w:rPr>
          <w:szCs w:val="28"/>
          <w:lang w:eastAsia="zh-Hans"/>
        </w:rPr>
        <w:t>是（</w:t>
      </w:r>
      <w:sdt>
        <w:sdtPr>
          <w:rPr>
            <w:szCs w:val="28"/>
            <w:lang w:eastAsia="zh-Hans"/>
          </w:rPr>
          <w:id w:val="-1015157663"/>
          <w14:checkbox>
            <w14:checked w14:val="0"/>
            <w14:checkedState w14:val="0052" w14:font="Wingdings 2"/>
            <w14:uncheckedState w14:val="2610" w14:font="MS Gothic"/>
          </w14:checkbox>
        </w:sdtPr>
        <w:sdtEndPr>
          <w:rPr>
            <w:szCs w:val="28"/>
            <w:lang w:eastAsia="zh-Hans"/>
          </w:rPr>
        </w:sdtEndPr>
        <w:sdtContent>
          <w:r>
            <w:rPr>
              <w:rFonts w:hint="eastAsia" w:ascii="MS Gothic" w:hAnsi="MS Gothic" w:eastAsia="MS Gothic"/>
              <w:szCs w:val="28"/>
              <w:lang w:eastAsia="zh-Hans"/>
            </w:rPr>
            <w:t>☐</w:t>
          </w:r>
        </w:sdtContent>
      </w:sdt>
      <w:r>
        <w:rPr>
          <w:szCs w:val="28"/>
          <w:lang w:eastAsia="zh-Hans"/>
        </w:rPr>
        <w:t xml:space="preserve">中型企业 </w:t>
      </w:r>
      <w:sdt>
        <w:sdtPr>
          <w:rPr>
            <w:szCs w:val="28"/>
            <w:lang w:eastAsia="zh-Hans"/>
          </w:rPr>
          <w:id w:val="185789326"/>
          <w14:checkbox>
            <w14:checked w14:val="0"/>
            <w14:checkedState w14:val="0052" w14:font="Wingdings 2"/>
            <w14:uncheckedState w14:val="2610" w14:font="MS Gothic"/>
          </w14:checkbox>
        </w:sdtPr>
        <w:sdtEndPr>
          <w:rPr>
            <w:szCs w:val="28"/>
            <w:lang w:eastAsia="zh-Hans"/>
          </w:rPr>
        </w:sdtEndPr>
        <w:sdtContent>
          <w:r>
            <w:rPr>
              <w:rFonts w:hint="eastAsia" w:ascii="MS Gothic" w:hAnsi="MS Gothic" w:eastAsia="MS Gothic"/>
              <w:szCs w:val="28"/>
              <w:lang w:eastAsia="zh-Hans"/>
            </w:rPr>
            <w:t>☐</w:t>
          </w:r>
        </w:sdtContent>
      </w:sdt>
      <w:r>
        <w:rPr>
          <w:szCs w:val="28"/>
          <w:lang w:eastAsia="zh-Hans"/>
        </w:rPr>
        <w:t xml:space="preserve">小型企业 </w:t>
      </w:r>
      <w:sdt>
        <w:sdtPr>
          <w:rPr>
            <w:szCs w:val="28"/>
            <w:lang w:eastAsia="zh-Hans"/>
          </w:rPr>
          <w:id w:val="79492347"/>
          <w14:checkbox>
            <w14:checked w14:val="0"/>
            <w14:checkedState w14:val="0052" w14:font="Wingdings 2"/>
            <w14:uncheckedState w14:val="2610" w14:font="MS Gothic"/>
          </w14:checkbox>
        </w:sdtPr>
        <w:sdtEndPr>
          <w:rPr>
            <w:szCs w:val="28"/>
            <w:lang w:eastAsia="zh-Hans"/>
          </w:rPr>
        </w:sdtEndPr>
        <w:sdtContent>
          <w:r>
            <w:rPr>
              <w:rFonts w:hint="eastAsia" w:ascii="MS Gothic" w:hAnsi="MS Gothic" w:eastAsia="MS Gothic"/>
              <w:szCs w:val="28"/>
              <w:lang w:eastAsia="zh-Hans"/>
            </w:rPr>
            <w:t>☐</w:t>
          </w:r>
        </w:sdtContent>
      </w:sdt>
      <w:r>
        <w:rPr>
          <w:szCs w:val="28"/>
          <w:lang w:eastAsia="zh-Hans"/>
        </w:rPr>
        <w:t>微型企业）；</w:t>
      </w:r>
    </w:p>
    <w:tbl>
      <w:tblPr>
        <w:tblStyle w:val="35"/>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2032"/>
        <w:gridCol w:w="709"/>
        <w:gridCol w:w="762"/>
        <w:gridCol w:w="993"/>
        <w:gridCol w:w="1134"/>
        <w:gridCol w:w="1032"/>
        <w:gridCol w:w="756"/>
      </w:tblGrid>
      <w:tr w14:paraId="44A82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8" w:hRule="atLeast"/>
          <w:jc w:val="center"/>
        </w:trPr>
        <w:tc>
          <w:tcPr>
            <w:tcW w:w="1937" w:type="dxa"/>
            <w:vAlign w:val="center"/>
          </w:tcPr>
          <w:p w14:paraId="5BCAF7A9">
            <w:pPr>
              <w:jc w:val="center"/>
              <w:rPr>
                <w:rFonts w:hint="eastAsia" w:ascii="宋体" w:hAnsi="宋体"/>
                <w:b/>
                <w:sz w:val="24"/>
              </w:rPr>
            </w:pPr>
            <w:r>
              <w:rPr>
                <w:rFonts w:hint="eastAsia" w:ascii="宋体" w:hAnsi="宋体"/>
                <w:b/>
                <w:sz w:val="24"/>
              </w:rPr>
              <w:t>产品、服务名称</w:t>
            </w:r>
          </w:p>
        </w:tc>
        <w:tc>
          <w:tcPr>
            <w:tcW w:w="2032" w:type="dxa"/>
            <w:vAlign w:val="center"/>
          </w:tcPr>
          <w:p w14:paraId="148BF726">
            <w:pPr>
              <w:jc w:val="center"/>
              <w:rPr>
                <w:rFonts w:hint="eastAsia" w:ascii="宋体" w:hAnsi="宋体"/>
                <w:b/>
                <w:sz w:val="24"/>
              </w:rPr>
            </w:pPr>
            <w:r>
              <w:rPr>
                <w:rFonts w:hint="eastAsia" w:ascii="宋体" w:hAnsi="宋体"/>
                <w:b/>
                <w:sz w:val="24"/>
              </w:rPr>
              <w:t>品牌/规格/型号/产地列本</w:t>
            </w:r>
            <w:r>
              <w:rPr>
                <w:rFonts w:hint="eastAsia" w:ascii="宋体" w:hAnsi="宋体"/>
                <w:bCs/>
                <w:szCs w:val="21"/>
              </w:rPr>
              <w:t>(纯服务项目可不填报本列</w:t>
            </w:r>
            <w:r>
              <w:rPr>
                <w:rFonts w:ascii="宋体" w:hAnsi="宋体"/>
                <w:bCs/>
                <w:szCs w:val="21"/>
              </w:rPr>
              <w:t>)</w:t>
            </w:r>
          </w:p>
        </w:tc>
        <w:tc>
          <w:tcPr>
            <w:tcW w:w="709" w:type="dxa"/>
            <w:vAlign w:val="center"/>
          </w:tcPr>
          <w:p w14:paraId="58951DBB">
            <w:pPr>
              <w:jc w:val="center"/>
              <w:rPr>
                <w:rFonts w:hint="eastAsia" w:ascii="宋体" w:hAnsi="宋体"/>
                <w:b/>
                <w:sz w:val="24"/>
              </w:rPr>
            </w:pPr>
            <w:r>
              <w:rPr>
                <w:rFonts w:hint="eastAsia" w:ascii="宋体" w:hAnsi="宋体"/>
                <w:b/>
                <w:sz w:val="24"/>
              </w:rPr>
              <w:t>数量</w:t>
            </w:r>
          </w:p>
        </w:tc>
        <w:tc>
          <w:tcPr>
            <w:tcW w:w="762" w:type="dxa"/>
            <w:vAlign w:val="center"/>
          </w:tcPr>
          <w:p w14:paraId="6BA28039">
            <w:pPr>
              <w:jc w:val="center"/>
              <w:rPr>
                <w:rFonts w:hint="eastAsia" w:ascii="宋体" w:hAnsi="宋体"/>
                <w:b/>
                <w:sz w:val="24"/>
              </w:rPr>
            </w:pPr>
            <w:r>
              <w:rPr>
                <w:rFonts w:hint="eastAsia" w:ascii="宋体" w:hAnsi="宋体"/>
                <w:b/>
                <w:sz w:val="24"/>
              </w:rPr>
              <w:t>单位</w:t>
            </w:r>
          </w:p>
        </w:tc>
        <w:tc>
          <w:tcPr>
            <w:tcW w:w="993" w:type="dxa"/>
            <w:vAlign w:val="center"/>
          </w:tcPr>
          <w:p w14:paraId="541DFD1F">
            <w:pPr>
              <w:jc w:val="center"/>
              <w:rPr>
                <w:rFonts w:hint="eastAsia" w:ascii="宋体" w:hAnsi="宋体"/>
                <w:b/>
                <w:sz w:val="24"/>
              </w:rPr>
            </w:pPr>
            <w:r>
              <w:rPr>
                <w:rFonts w:hint="eastAsia" w:ascii="宋体" w:hAnsi="宋体"/>
                <w:b/>
                <w:sz w:val="24"/>
              </w:rPr>
              <w:t>单价</w:t>
            </w:r>
          </w:p>
          <w:p w14:paraId="1D847631">
            <w:pPr>
              <w:pStyle w:val="14"/>
              <w:spacing w:line="240" w:lineRule="auto"/>
              <w:jc w:val="center"/>
              <w:rPr>
                <w:rFonts w:hint="eastAsia"/>
              </w:rPr>
            </w:pPr>
            <w:r>
              <w:rPr>
                <w:rFonts w:hint="eastAsia"/>
              </w:rPr>
              <w:t>（元）</w:t>
            </w:r>
          </w:p>
        </w:tc>
        <w:tc>
          <w:tcPr>
            <w:tcW w:w="1134" w:type="dxa"/>
            <w:vAlign w:val="center"/>
          </w:tcPr>
          <w:p w14:paraId="7DB6E6CD">
            <w:pPr>
              <w:jc w:val="center"/>
              <w:rPr>
                <w:rFonts w:hint="eastAsia" w:ascii="宋体" w:hAnsi="宋体"/>
                <w:b/>
                <w:sz w:val="24"/>
              </w:rPr>
            </w:pPr>
            <w:r>
              <w:rPr>
                <w:rFonts w:hint="eastAsia" w:ascii="宋体" w:hAnsi="宋体"/>
                <w:b/>
                <w:sz w:val="24"/>
              </w:rPr>
              <w:t>单项</w:t>
            </w:r>
          </w:p>
          <w:p w14:paraId="6CC13EBB">
            <w:pPr>
              <w:jc w:val="center"/>
              <w:rPr>
                <w:rFonts w:hint="eastAsia" w:ascii="宋体" w:hAnsi="宋体"/>
                <w:b/>
                <w:sz w:val="24"/>
              </w:rPr>
            </w:pPr>
            <w:r>
              <w:rPr>
                <w:rFonts w:hint="eastAsia" w:ascii="宋体" w:hAnsi="宋体"/>
                <w:b/>
                <w:sz w:val="24"/>
              </w:rPr>
              <w:t>合计价</w:t>
            </w:r>
          </w:p>
        </w:tc>
        <w:tc>
          <w:tcPr>
            <w:tcW w:w="1032" w:type="dxa"/>
            <w:vAlign w:val="center"/>
          </w:tcPr>
          <w:p w14:paraId="4C907A4D">
            <w:pPr>
              <w:jc w:val="center"/>
              <w:rPr>
                <w:rFonts w:hint="eastAsia" w:ascii="宋体" w:hAnsi="宋体"/>
                <w:b/>
                <w:sz w:val="24"/>
              </w:rPr>
            </w:pPr>
            <w:r>
              <w:rPr>
                <w:rFonts w:hint="eastAsia" w:ascii="宋体" w:hAnsi="宋体"/>
                <w:b/>
                <w:sz w:val="24"/>
              </w:rPr>
              <w:t>产品制造商</w:t>
            </w:r>
          </w:p>
        </w:tc>
        <w:tc>
          <w:tcPr>
            <w:tcW w:w="756" w:type="dxa"/>
            <w:vAlign w:val="center"/>
          </w:tcPr>
          <w:p w14:paraId="5DB0CB3D">
            <w:pPr>
              <w:jc w:val="center"/>
              <w:rPr>
                <w:rFonts w:hint="eastAsia" w:ascii="宋体" w:hAnsi="宋体"/>
                <w:b/>
                <w:sz w:val="24"/>
              </w:rPr>
            </w:pPr>
            <w:r>
              <w:rPr>
                <w:rFonts w:hint="eastAsia" w:ascii="宋体" w:hAnsi="宋体"/>
                <w:b/>
                <w:sz w:val="24"/>
              </w:rPr>
              <w:t>备注</w:t>
            </w:r>
          </w:p>
          <w:p w14:paraId="6271D93F">
            <w:pPr>
              <w:jc w:val="center"/>
              <w:rPr>
                <w:rFonts w:hint="eastAsia" w:ascii="宋体" w:hAnsi="宋体"/>
                <w:b/>
                <w:sz w:val="24"/>
              </w:rPr>
            </w:pPr>
            <w:r>
              <w:rPr>
                <w:rFonts w:hint="eastAsia" w:ascii="宋体" w:hAnsi="宋体"/>
                <w:bCs/>
                <w:szCs w:val="21"/>
              </w:rPr>
              <w:t>(交付期等)</w:t>
            </w:r>
          </w:p>
        </w:tc>
      </w:tr>
      <w:tr w14:paraId="78F11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937" w:type="dxa"/>
            <w:vAlign w:val="center"/>
          </w:tcPr>
          <w:p w14:paraId="025CE2A8">
            <w:pPr>
              <w:spacing w:line="360" w:lineRule="auto"/>
              <w:jc w:val="center"/>
              <w:rPr>
                <w:rFonts w:hint="eastAsia" w:ascii="宋体" w:hAnsi="宋体"/>
                <w:sz w:val="24"/>
              </w:rPr>
            </w:pPr>
          </w:p>
        </w:tc>
        <w:tc>
          <w:tcPr>
            <w:tcW w:w="2032" w:type="dxa"/>
            <w:vAlign w:val="center"/>
          </w:tcPr>
          <w:p w14:paraId="4070090B">
            <w:pPr>
              <w:spacing w:line="360" w:lineRule="auto"/>
              <w:jc w:val="center"/>
              <w:rPr>
                <w:rFonts w:hint="eastAsia" w:ascii="宋体" w:hAnsi="宋体"/>
                <w:sz w:val="24"/>
              </w:rPr>
            </w:pPr>
          </w:p>
        </w:tc>
        <w:tc>
          <w:tcPr>
            <w:tcW w:w="709" w:type="dxa"/>
            <w:vAlign w:val="center"/>
          </w:tcPr>
          <w:p w14:paraId="2517C5D0">
            <w:pPr>
              <w:spacing w:line="360" w:lineRule="auto"/>
              <w:jc w:val="center"/>
              <w:rPr>
                <w:rFonts w:hint="eastAsia" w:ascii="宋体" w:hAnsi="宋体"/>
                <w:sz w:val="24"/>
              </w:rPr>
            </w:pPr>
          </w:p>
        </w:tc>
        <w:tc>
          <w:tcPr>
            <w:tcW w:w="762" w:type="dxa"/>
            <w:vAlign w:val="center"/>
          </w:tcPr>
          <w:p w14:paraId="1C0C8CBD">
            <w:pPr>
              <w:spacing w:line="360" w:lineRule="auto"/>
              <w:jc w:val="center"/>
              <w:rPr>
                <w:rFonts w:hint="eastAsia" w:ascii="宋体" w:hAnsi="宋体"/>
                <w:sz w:val="24"/>
              </w:rPr>
            </w:pPr>
          </w:p>
        </w:tc>
        <w:tc>
          <w:tcPr>
            <w:tcW w:w="993" w:type="dxa"/>
            <w:vAlign w:val="center"/>
          </w:tcPr>
          <w:p w14:paraId="287FEFC6">
            <w:pPr>
              <w:spacing w:line="360" w:lineRule="auto"/>
              <w:jc w:val="center"/>
              <w:rPr>
                <w:rFonts w:hint="eastAsia" w:ascii="宋体" w:hAnsi="宋体"/>
                <w:sz w:val="24"/>
              </w:rPr>
            </w:pPr>
          </w:p>
        </w:tc>
        <w:tc>
          <w:tcPr>
            <w:tcW w:w="1134" w:type="dxa"/>
            <w:vAlign w:val="center"/>
          </w:tcPr>
          <w:p w14:paraId="4F1E52D9">
            <w:pPr>
              <w:spacing w:line="360" w:lineRule="auto"/>
              <w:jc w:val="center"/>
              <w:rPr>
                <w:rFonts w:hint="eastAsia" w:ascii="宋体" w:hAnsi="宋体"/>
                <w:sz w:val="24"/>
              </w:rPr>
            </w:pPr>
          </w:p>
        </w:tc>
        <w:tc>
          <w:tcPr>
            <w:tcW w:w="1032" w:type="dxa"/>
            <w:vAlign w:val="center"/>
          </w:tcPr>
          <w:p w14:paraId="595D3974">
            <w:pPr>
              <w:spacing w:line="360" w:lineRule="auto"/>
              <w:jc w:val="center"/>
              <w:rPr>
                <w:rFonts w:hint="eastAsia" w:ascii="宋体" w:hAnsi="宋体"/>
                <w:sz w:val="24"/>
              </w:rPr>
            </w:pPr>
          </w:p>
        </w:tc>
        <w:tc>
          <w:tcPr>
            <w:tcW w:w="756" w:type="dxa"/>
            <w:vAlign w:val="center"/>
          </w:tcPr>
          <w:p w14:paraId="6872032F">
            <w:pPr>
              <w:spacing w:line="360" w:lineRule="auto"/>
              <w:jc w:val="center"/>
              <w:rPr>
                <w:rFonts w:hint="eastAsia" w:ascii="宋体" w:hAnsi="宋体"/>
                <w:sz w:val="24"/>
              </w:rPr>
            </w:pPr>
          </w:p>
        </w:tc>
      </w:tr>
      <w:tr w14:paraId="0129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937" w:type="dxa"/>
            <w:vAlign w:val="center"/>
          </w:tcPr>
          <w:p w14:paraId="554F9461">
            <w:pPr>
              <w:spacing w:line="360" w:lineRule="auto"/>
              <w:jc w:val="center"/>
              <w:rPr>
                <w:rFonts w:hint="eastAsia" w:ascii="宋体" w:hAnsi="宋体"/>
                <w:sz w:val="24"/>
              </w:rPr>
            </w:pPr>
          </w:p>
        </w:tc>
        <w:tc>
          <w:tcPr>
            <w:tcW w:w="2032" w:type="dxa"/>
            <w:vAlign w:val="center"/>
          </w:tcPr>
          <w:p w14:paraId="68FC29C6">
            <w:pPr>
              <w:spacing w:line="360" w:lineRule="auto"/>
              <w:jc w:val="center"/>
              <w:rPr>
                <w:rFonts w:hint="eastAsia" w:ascii="宋体" w:hAnsi="宋体"/>
                <w:sz w:val="24"/>
              </w:rPr>
            </w:pPr>
          </w:p>
        </w:tc>
        <w:tc>
          <w:tcPr>
            <w:tcW w:w="709" w:type="dxa"/>
            <w:vAlign w:val="center"/>
          </w:tcPr>
          <w:p w14:paraId="2CDB7749">
            <w:pPr>
              <w:spacing w:line="360" w:lineRule="auto"/>
              <w:jc w:val="center"/>
              <w:rPr>
                <w:rFonts w:hint="eastAsia" w:ascii="宋体" w:hAnsi="宋体"/>
                <w:sz w:val="24"/>
              </w:rPr>
            </w:pPr>
          </w:p>
        </w:tc>
        <w:tc>
          <w:tcPr>
            <w:tcW w:w="762" w:type="dxa"/>
            <w:vAlign w:val="center"/>
          </w:tcPr>
          <w:p w14:paraId="7A7BE3A3">
            <w:pPr>
              <w:spacing w:line="360" w:lineRule="auto"/>
              <w:jc w:val="center"/>
              <w:rPr>
                <w:rFonts w:hint="eastAsia" w:ascii="宋体" w:hAnsi="宋体"/>
                <w:sz w:val="24"/>
              </w:rPr>
            </w:pPr>
          </w:p>
        </w:tc>
        <w:tc>
          <w:tcPr>
            <w:tcW w:w="993" w:type="dxa"/>
            <w:vAlign w:val="center"/>
          </w:tcPr>
          <w:p w14:paraId="7DD8E649">
            <w:pPr>
              <w:spacing w:line="360" w:lineRule="auto"/>
              <w:jc w:val="center"/>
              <w:rPr>
                <w:rFonts w:hint="eastAsia" w:ascii="宋体" w:hAnsi="宋体"/>
                <w:sz w:val="24"/>
              </w:rPr>
            </w:pPr>
          </w:p>
        </w:tc>
        <w:tc>
          <w:tcPr>
            <w:tcW w:w="1134" w:type="dxa"/>
            <w:vAlign w:val="center"/>
          </w:tcPr>
          <w:p w14:paraId="05078B50">
            <w:pPr>
              <w:spacing w:line="360" w:lineRule="auto"/>
              <w:jc w:val="center"/>
              <w:rPr>
                <w:rFonts w:hint="eastAsia" w:ascii="宋体" w:hAnsi="宋体"/>
                <w:sz w:val="24"/>
              </w:rPr>
            </w:pPr>
          </w:p>
        </w:tc>
        <w:tc>
          <w:tcPr>
            <w:tcW w:w="1032" w:type="dxa"/>
            <w:vAlign w:val="center"/>
          </w:tcPr>
          <w:p w14:paraId="0D783B3B">
            <w:pPr>
              <w:spacing w:line="360" w:lineRule="auto"/>
              <w:jc w:val="center"/>
              <w:rPr>
                <w:rFonts w:hint="eastAsia" w:ascii="宋体" w:hAnsi="宋体"/>
                <w:sz w:val="24"/>
              </w:rPr>
            </w:pPr>
          </w:p>
        </w:tc>
        <w:tc>
          <w:tcPr>
            <w:tcW w:w="756" w:type="dxa"/>
            <w:vAlign w:val="center"/>
          </w:tcPr>
          <w:p w14:paraId="5884FEA1">
            <w:pPr>
              <w:spacing w:line="360" w:lineRule="auto"/>
              <w:jc w:val="center"/>
              <w:rPr>
                <w:rFonts w:hint="eastAsia" w:ascii="宋体" w:hAnsi="宋体"/>
                <w:sz w:val="24"/>
              </w:rPr>
            </w:pPr>
          </w:p>
        </w:tc>
      </w:tr>
      <w:tr w14:paraId="5D5A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937" w:type="dxa"/>
            <w:vAlign w:val="center"/>
          </w:tcPr>
          <w:p w14:paraId="02056823">
            <w:pPr>
              <w:spacing w:line="360" w:lineRule="auto"/>
              <w:jc w:val="center"/>
              <w:rPr>
                <w:rFonts w:hint="eastAsia" w:ascii="宋体" w:hAnsi="宋体"/>
                <w:sz w:val="24"/>
              </w:rPr>
            </w:pPr>
          </w:p>
        </w:tc>
        <w:tc>
          <w:tcPr>
            <w:tcW w:w="2032" w:type="dxa"/>
            <w:vAlign w:val="center"/>
          </w:tcPr>
          <w:p w14:paraId="2478C655">
            <w:pPr>
              <w:spacing w:line="360" w:lineRule="auto"/>
              <w:jc w:val="center"/>
              <w:rPr>
                <w:rFonts w:hint="eastAsia" w:ascii="宋体" w:hAnsi="宋体"/>
                <w:sz w:val="24"/>
              </w:rPr>
            </w:pPr>
          </w:p>
        </w:tc>
        <w:tc>
          <w:tcPr>
            <w:tcW w:w="709" w:type="dxa"/>
            <w:vAlign w:val="center"/>
          </w:tcPr>
          <w:p w14:paraId="485D6686">
            <w:pPr>
              <w:spacing w:line="360" w:lineRule="auto"/>
              <w:jc w:val="center"/>
              <w:rPr>
                <w:rFonts w:hint="eastAsia" w:ascii="宋体" w:hAnsi="宋体"/>
                <w:sz w:val="24"/>
              </w:rPr>
            </w:pPr>
          </w:p>
        </w:tc>
        <w:tc>
          <w:tcPr>
            <w:tcW w:w="762" w:type="dxa"/>
            <w:vAlign w:val="center"/>
          </w:tcPr>
          <w:p w14:paraId="423303A3">
            <w:pPr>
              <w:spacing w:line="360" w:lineRule="auto"/>
              <w:jc w:val="center"/>
              <w:rPr>
                <w:rFonts w:hint="eastAsia" w:ascii="宋体" w:hAnsi="宋体"/>
                <w:sz w:val="24"/>
              </w:rPr>
            </w:pPr>
          </w:p>
        </w:tc>
        <w:tc>
          <w:tcPr>
            <w:tcW w:w="993" w:type="dxa"/>
            <w:vAlign w:val="center"/>
          </w:tcPr>
          <w:p w14:paraId="3A1F5FB4">
            <w:pPr>
              <w:spacing w:line="360" w:lineRule="auto"/>
              <w:jc w:val="center"/>
              <w:rPr>
                <w:rFonts w:hint="eastAsia" w:ascii="宋体" w:hAnsi="宋体"/>
                <w:sz w:val="24"/>
              </w:rPr>
            </w:pPr>
          </w:p>
        </w:tc>
        <w:tc>
          <w:tcPr>
            <w:tcW w:w="1134" w:type="dxa"/>
            <w:vAlign w:val="center"/>
          </w:tcPr>
          <w:p w14:paraId="60A74DE9">
            <w:pPr>
              <w:spacing w:line="360" w:lineRule="auto"/>
              <w:jc w:val="center"/>
              <w:rPr>
                <w:rFonts w:hint="eastAsia" w:ascii="宋体" w:hAnsi="宋体"/>
                <w:sz w:val="24"/>
              </w:rPr>
            </w:pPr>
          </w:p>
        </w:tc>
        <w:tc>
          <w:tcPr>
            <w:tcW w:w="1032" w:type="dxa"/>
            <w:vAlign w:val="center"/>
          </w:tcPr>
          <w:p w14:paraId="0D64D577">
            <w:pPr>
              <w:spacing w:line="360" w:lineRule="auto"/>
              <w:jc w:val="center"/>
              <w:rPr>
                <w:rFonts w:hint="eastAsia" w:ascii="宋体" w:hAnsi="宋体"/>
                <w:sz w:val="24"/>
              </w:rPr>
            </w:pPr>
          </w:p>
        </w:tc>
        <w:tc>
          <w:tcPr>
            <w:tcW w:w="756" w:type="dxa"/>
            <w:vAlign w:val="center"/>
          </w:tcPr>
          <w:p w14:paraId="705DE655">
            <w:pPr>
              <w:spacing w:line="360" w:lineRule="auto"/>
              <w:jc w:val="center"/>
              <w:rPr>
                <w:rFonts w:hint="eastAsia" w:ascii="宋体" w:hAnsi="宋体"/>
                <w:sz w:val="24"/>
              </w:rPr>
            </w:pPr>
          </w:p>
        </w:tc>
      </w:tr>
      <w:tr w14:paraId="33670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937" w:type="dxa"/>
            <w:vAlign w:val="center"/>
          </w:tcPr>
          <w:p w14:paraId="69C60FFB">
            <w:pPr>
              <w:spacing w:line="360" w:lineRule="auto"/>
              <w:jc w:val="center"/>
              <w:rPr>
                <w:rFonts w:hint="eastAsia" w:ascii="宋体" w:hAnsi="宋体"/>
                <w:sz w:val="24"/>
              </w:rPr>
            </w:pPr>
          </w:p>
        </w:tc>
        <w:tc>
          <w:tcPr>
            <w:tcW w:w="2032" w:type="dxa"/>
            <w:vAlign w:val="center"/>
          </w:tcPr>
          <w:p w14:paraId="6E5FFAE1">
            <w:pPr>
              <w:spacing w:line="360" w:lineRule="auto"/>
              <w:jc w:val="center"/>
              <w:rPr>
                <w:rFonts w:hint="eastAsia" w:ascii="宋体" w:hAnsi="宋体"/>
                <w:sz w:val="24"/>
              </w:rPr>
            </w:pPr>
          </w:p>
        </w:tc>
        <w:tc>
          <w:tcPr>
            <w:tcW w:w="709" w:type="dxa"/>
            <w:vAlign w:val="center"/>
          </w:tcPr>
          <w:p w14:paraId="73287CC0">
            <w:pPr>
              <w:spacing w:line="360" w:lineRule="auto"/>
              <w:jc w:val="center"/>
              <w:rPr>
                <w:rFonts w:hint="eastAsia" w:ascii="宋体" w:hAnsi="宋体"/>
                <w:sz w:val="24"/>
              </w:rPr>
            </w:pPr>
          </w:p>
        </w:tc>
        <w:tc>
          <w:tcPr>
            <w:tcW w:w="762" w:type="dxa"/>
            <w:vAlign w:val="center"/>
          </w:tcPr>
          <w:p w14:paraId="7346CB0E">
            <w:pPr>
              <w:spacing w:line="360" w:lineRule="auto"/>
              <w:jc w:val="center"/>
              <w:rPr>
                <w:rFonts w:hint="eastAsia" w:ascii="宋体" w:hAnsi="宋体"/>
                <w:sz w:val="24"/>
              </w:rPr>
            </w:pPr>
          </w:p>
        </w:tc>
        <w:tc>
          <w:tcPr>
            <w:tcW w:w="993" w:type="dxa"/>
            <w:vAlign w:val="center"/>
          </w:tcPr>
          <w:p w14:paraId="7DE8DB48">
            <w:pPr>
              <w:spacing w:line="360" w:lineRule="auto"/>
              <w:jc w:val="center"/>
              <w:rPr>
                <w:rFonts w:hint="eastAsia" w:ascii="宋体" w:hAnsi="宋体"/>
                <w:sz w:val="24"/>
              </w:rPr>
            </w:pPr>
          </w:p>
        </w:tc>
        <w:tc>
          <w:tcPr>
            <w:tcW w:w="1134" w:type="dxa"/>
            <w:vAlign w:val="center"/>
          </w:tcPr>
          <w:p w14:paraId="69315B74">
            <w:pPr>
              <w:spacing w:line="360" w:lineRule="auto"/>
              <w:jc w:val="center"/>
              <w:rPr>
                <w:rFonts w:hint="eastAsia" w:ascii="宋体" w:hAnsi="宋体"/>
                <w:sz w:val="24"/>
              </w:rPr>
            </w:pPr>
          </w:p>
        </w:tc>
        <w:tc>
          <w:tcPr>
            <w:tcW w:w="1032" w:type="dxa"/>
            <w:vAlign w:val="center"/>
          </w:tcPr>
          <w:p w14:paraId="258E6C8D">
            <w:pPr>
              <w:spacing w:line="360" w:lineRule="auto"/>
              <w:jc w:val="center"/>
              <w:rPr>
                <w:rFonts w:hint="eastAsia" w:ascii="宋体" w:hAnsi="宋体"/>
                <w:sz w:val="24"/>
              </w:rPr>
            </w:pPr>
          </w:p>
        </w:tc>
        <w:tc>
          <w:tcPr>
            <w:tcW w:w="756" w:type="dxa"/>
            <w:vAlign w:val="center"/>
          </w:tcPr>
          <w:p w14:paraId="63E716EA">
            <w:pPr>
              <w:spacing w:line="360" w:lineRule="auto"/>
              <w:jc w:val="center"/>
              <w:rPr>
                <w:rFonts w:hint="eastAsia" w:ascii="宋体" w:hAnsi="宋体"/>
                <w:sz w:val="24"/>
              </w:rPr>
            </w:pPr>
          </w:p>
        </w:tc>
      </w:tr>
      <w:tr w14:paraId="50402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 w:hRule="atLeast"/>
          <w:jc w:val="center"/>
        </w:trPr>
        <w:tc>
          <w:tcPr>
            <w:tcW w:w="1937" w:type="dxa"/>
            <w:vAlign w:val="center"/>
          </w:tcPr>
          <w:p w14:paraId="27E8D8EE">
            <w:pPr>
              <w:spacing w:line="360" w:lineRule="auto"/>
              <w:jc w:val="center"/>
              <w:rPr>
                <w:rFonts w:hint="eastAsia" w:ascii="宋体" w:hAnsi="宋体"/>
                <w:b/>
                <w:bCs/>
                <w:sz w:val="24"/>
              </w:rPr>
            </w:pPr>
            <w:r>
              <w:rPr>
                <w:rFonts w:hint="eastAsia" w:ascii="宋体" w:hAnsi="宋体"/>
                <w:b/>
                <w:bCs/>
                <w:sz w:val="24"/>
              </w:rPr>
              <w:t>总报价</w:t>
            </w:r>
          </w:p>
        </w:tc>
        <w:tc>
          <w:tcPr>
            <w:tcW w:w="7418" w:type="dxa"/>
            <w:gridSpan w:val="7"/>
            <w:vAlign w:val="center"/>
          </w:tcPr>
          <w:p w14:paraId="2AD6E1EE">
            <w:pPr>
              <w:spacing w:line="360" w:lineRule="auto"/>
              <w:rPr>
                <w:rFonts w:hint="eastAsia" w:ascii="宋体" w:hAnsi="宋体"/>
                <w:b/>
                <w:bCs/>
                <w:sz w:val="24"/>
              </w:rPr>
            </w:pPr>
            <w:r>
              <w:rPr>
                <w:rFonts w:hint="eastAsia" w:ascii="宋体" w:hAnsi="宋体"/>
                <w:b/>
                <w:bCs/>
                <w:sz w:val="24"/>
              </w:rPr>
              <w:t xml:space="preserve">人民币（大写）： </w:t>
            </w:r>
            <w:r>
              <w:rPr>
                <w:rFonts w:ascii="宋体" w:hAnsi="宋体"/>
                <w:b/>
                <w:bCs/>
                <w:sz w:val="24"/>
              </w:rPr>
              <w:t xml:space="preserve">               </w:t>
            </w:r>
            <w:r>
              <w:rPr>
                <w:rFonts w:hint="eastAsia" w:ascii="宋体" w:hAnsi="宋体"/>
                <w:b/>
                <w:bCs/>
                <w:sz w:val="24"/>
              </w:rPr>
              <w:t xml:space="preserve"> 元整</w:t>
            </w:r>
          </w:p>
          <w:p w14:paraId="10A620AC">
            <w:pPr>
              <w:spacing w:line="360" w:lineRule="auto"/>
              <w:rPr>
                <w:rFonts w:hint="eastAsia" w:ascii="宋体" w:hAnsi="宋体"/>
                <w:b/>
                <w:bCs/>
                <w:sz w:val="24"/>
                <w:u w:val="single"/>
              </w:rPr>
            </w:pPr>
            <w:r>
              <w:rPr>
                <w:rFonts w:hint="eastAsia" w:ascii="宋体" w:hAnsi="宋体"/>
                <w:b/>
                <w:bCs/>
                <w:sz w:val="24"/>
              </w:rPr>
              <w:t>￥：</w:t>
            </w:r>
          </w:p>
        </w:tc>
      </w:tr>
    </w:tbl>
    <w:p w14:paraId="473D87F2">
      <w:pPr>
        <w:rPr>
          <w:lang w:eastAsia="zh-Hans"/>
        </w:rPr>
      </w:pPr>
    </w:p>
    <w:p w14:paraId="1E9539C4">
      <w:pPr>
        <w:spacing w:line="360" w:lineRule="auto"/>
        <w:rPr>
          <w:rFonts w:hint="eastAsia" w:ascii="宋体" w:hAnsi="宋体" w:cs="宋体"/>
          <w:b/>
          <w:sz w:val="24"/>
        </w:rPr>
      </w:pPr>
      <w:r>
        <w:rPr>
          <w:rFonts w:hint="eastAsia" w:ascii="宋体" w:hAnsi="宋体" w:cs="宋体"/>
          <w:b/>
          <w:sz w:val="24"/>
        </w:rPr>
        <w:t>备注：</w:t>
      </w:r>
    </w:p>
    <w:p w14:paraId="5DD5C86D">
      <w:pPr>
        <w:spacing w:line="360" w:lineRule="auto"/>
        <w:rPr>
          <w:rFonts w:hint="eastAsia" w:ascii="宋体" w:hAnsi="宋体" w:cs="宋体"/>
          <w:sz w:val="24"/>
        </w:rPr>
      </w:pPr>
      <w:bookmarkStart w:id="87" w:name="_Hlk47453147"/>
      <w:r>
        <w:rPr>
          <w:rFonts w:hint="eastAsia" w:ascii="宋体" w:hAnsi="宋体" w:cs="宋体"/>
          <w:sz w:val="24"/>
        </w:rPr>
        <w:t>1、此表可以根据需要自行增减行数，且该表报价非本次磋商中的最后报价。</w:t>
      </w:r>
    </w:p>
    <w:bookmarkEnd w:id="87"/>
    <w:p w14:paraId="6D76EE96">
      <w:pPr>
        <w:spacing w:line="360" w:lineRule="auto"/>
        <w:rPr>
          <w:rFonts w:hint="eastAsia" w:ascii="宋体" w:hAnsi="宋体" w:cs="宋体"/>
          <w:sz w:val="24"/>
        </w:rPr>
      </w:pPr>
      <w:r>
        <w:rPr>
          <w:rFonts w:hint="eastAsia" w:ascii="宋体" w:hAnsi="宋体" w:cs="宋体"/>
          <w:sz w:val="24"/>
        </w:rPr>
        <w:t>2、供应商应按磋商文件所需货物或服务逐项报价，每项单价应包括设备费、服务费、安装费、税费等；</w:t>
      </w:r>
    </w:p>
    <w:p w14:paraId="06ABED67">
      <w:pPr>
        <w:spacing w:line="360" w:lineRule="auto"/>
        <w:rPr>
          <w:rFonts w:hint="eastAsia" w:ascii="宋体" w:hAnsi="宋体" w:cs="宋体"/>
          <w:sz w:val="24"/>
        </w:rPr>
      </w:pPr>
      <w:r>
        <w:rPr>
          <w:rFonts w:hint="eastAsia" w:ascii="宋体" w:hAnsi="宋体" w:cs="宋体"/>
          <w:sz w:val="24"/>
        </w:rPr>
        <w:t>3、对于主要提供的货物或服务，供应商如因分项报价不明确，而可能影响本项目实际结算的，评标委员会有权视为重大偏离处理；</w:t>
      </w:r>
    </w:p>
    <w:p w14:paraId="0CBF341B">
      <w:pPr>
        <w:spacing w:line="360" w:lineRule="auto"/>
        <w:rPr>
          <w:rFonts w:hint="eastAsia" w:ascii="宋体" w:hAnsi="宋体" w:cs="宋体"/>
          <w:sz w:val="24"/>
        </w:rPr>
      </w:pPr>
      <w:r>
        <w:rPr>
          <w:rFonts w:hint="eastAsia" w:ascii="宋体" w:hAnsi="宋体" w:cs="宋体"/>
          <w:sz w:val="24"/>
        </w:rPr>
        <w:t>4、本表中的“产品、服务名称”如为货物的，需在“产品制造商”中列明“所投货物制造商的全称”；</w:t>
      </w:r>
    </w:p>
    <w:p w14:paraId="0E96F215">
      <w:pPr>
        <w:autoSpaceDE w:val="0"/>
        <w:autoSpaceDN w:val="0"/>
        <w:spacing w:line="360" w:lineRule="auto"/>
        <w:jc w:val="left"/>
        <w:rPr>
          <w:rFonts w:hint="eastAsia" w:ascii="宋体" w:hAnsi="宋体" w:cs="宋体"/>
          <w:sz w:val="24"/>
        </w:rPr>
      </w:pPr>
      <w:r>
        <w:rPr>
          <w:rFonts w:hint="eastAsia" w:ascii="宋体" w:hAnsi="宋体" w:cs="宋体"/>
          <w:sz w:val="24"/>
        </w:rPr>
        <w:t>5、如参与多个分包的，请各磋商供应商按所响应的分包分别列表；</w:t>
      </w:r>
    </w:p>
    <w:p w14:paraId="00FD84F1">
      <w:pPr>
        <w:widowControl/>
        <w:jc w:val="left"/>
        <w:rPr>
          <w:rFonts w:hint="eastAsia" w:ascii="宋体" w:hAnsi="宋体" w:cs="宋体"/>
          <w:sz w:val="24"/>
        </w:rPr>
      </w:pPr>
      <w:r>
        <w:rPr>
          <w:rFonts w:ascii="宋体" w:hAnsi="宋体" w:cs="宋体"/>
          <w:sz w:val="24"/>
        </w:rPr>
        <w:br w:type="page"/>
      </w:r>
    </w:p>
    <w:p w14:paraId="62E1323C">
      <w:pPr>
        <w:spacing w:after="156" w:afterLines="50" w:line="360" w:lineRule="auto"/>
        <w:jc w:val="center"/>
        <w:outlineLvl w:val="1"/>
        <w:rPr>
          <w:b/>
          <w:bCs/>
          <w:sz w:val="28"/>
          <w:szCs w:val="36"/>
          <w:lang w:eastAsia="zh-Hans"/>
        </w:rPr>
      </w:pPr>
      <w:bookmarkStart w:id="88" w:name="_Toc171605473"/>
      <w:r>
        <w:rPr>
          <w:b/>
          <w:bCs/>
          <w:sz w:val="28"/>
          <w:szCs w:val="36"/>
          <w:lang w:eastAsia="zh-Hans"/>
        </w:rPr>
        <w:t>五、项目技术及商务需求响应</w:t>
      </w:r>
      <w:r>
        <w:rPr>
          <w:rFonts w:hint="eastAsia"/>
          <w:b/>
          <w:bCs/>
          <w:sz w:val="28"/>
          <w:szCs w:val="36"/>
          <w:lang w:eastAsia="zh-Hans"/>
        </w:rPr>
        <w:t>及</w:t>
      </w:r>
      <w:r>
        <w:rPr>
          <w:b/>
          <w:bCs/>
          <w:sz w:val="28"/>
          <w:szCs w:val="36"/>
          <w:lang w:eastAsia="zh-Hans"/>
        </w:rPr>
        <w:t>偏离表</w:t>
      </w:r>
      <w:bookmarkEnd w:id="88"/>
    </w:p>
    <w:tbl>
      <w:tblPr>
        <w:tblStyle w:val="35"/>
        <w:tblW w:w="9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3219"/>
        <w:gridCol w:w="3138"/>
        <w:gridCol w:w="1266"/>
        <w:gridCol w:w="734"/>
      </w:tblGrid>
      <w:tr w14:paraId="1CF8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2" w:type="dxa"/>
            <w:tcBorders>
              <w:top w:val="single" w:color="auto" w:sz="4" w:space="0"/>
              <w:left w:val="single" w:color="auto" w:sz="4" w:space="0"/>
              <w:bottom w:val="single" w:color="auto" w:sz="4" w:space="0"/>
              <w:right w:val="single" w:color="auto" w:sz="4" w:space="0"/>
            </w:tcBorders>
            <w:vAlign w:val="center"/>
          </w:tcPr>
          <w:p w14:paraId="7451005C">
            <w:pPr>
              <w:spacing w:line="360" w:lineRule="exact"/>
              <w:jc w:val="center"/>
              <w:rPr>
                <w:rFonts w:hint="eastAsia" w:ascii="宋体" w:hAnsi="宋体"/>
                <w:b/>
                <w:sz w:val="24"/>
              </w:rPr>
            </w:pPr>
            <w:r>
              <w:rPr>
                <w:rFonts w:hint="eastAsia" w:ascii="宋体" w:hAnsi="宋体"/>
                <w:b/>
                <w:sz w:val="24"/>
              </w:rPr>
              <w:t>序号</w:t>
            </w:r>
          </w:p>
        </w:tc>
        <w:tc>
          <w:tcPr>
            <w:tcW w:w="3219" w:type="dxa"/>
            <w:tcBorders>
              <w:top w:val="single" w:color="auto" w:sz="4" w:space="0"/>
              <w:left w:val="nil"/>
              <w:bottom w:val="single" w:color="auto" w:sz="4" w:space="0"/>
              <w:right w:val="single" w:color="auto" w:sz="4" w:space="0"/>
            </w:tcBorders>
            <w:vAlign w:val="center"/>
          </w:tcPr>
          <w:p w14:paraId="6287BE15">
            <w:pPr>
              <w:spacing w:line="360" w:lineRule="exact"/>
              <w:jc w:val="center"/>
              <w:rPr>
                <w:rFonts w:hint="eastAsia" w:ascii="宋体" w:hAnsi="宋体"/>
                <w:b/>
                <w:sz w:val="24"/>
              </w:rPr>
            </w:pPr>
            <w:r>
              <w:rPr>
                <w:rFonts w:hint="eastAsia" w:ascii="宋体" w:hAnsi="宋体"/>
                <w:b/>
                <w:sz w:val="24"/>
              </w:rPr>
              <w:t>磋商文件要求</w:t>
            </w:r>
          </w:p>
        </w:tc>
        <w:tc>
          <w:tcPr>
            <w:tcW w:w="3138" w:type="dxa"/>
            <w:tcBorders>
              <w:top w:val="single" w:color="auto" w:sz="4" w:space="0"/>
              <w:left w:val="nil"/>
              <w:bottom w:val="single" w:color="auto" w:sz="4" w:space="0"/>
              <w:right w:val="single" w:color="auto" w:sz="4" w:space="0"/>
            </w:tcBorders>
            <w:vAlign w:val="center"/>
          </w:tcPr>
          <w:p w14:paraId="0C9424CB">
            <w:pPr>
              <w:spacing w:line="360" w:lineRule="exact"/>
              <w:jc w:val="center"/>
              <w:rPr>
                <w:rFonts w:hint="eastAsia" w:ascii="宋体" w:hAnsi="宋体"/>
                <w:b/>
                <w:sz w:val="24"/>
              </w:rPr>
            </w:pPr>
            <w:r>
              <w:rPr>
                <w:rFonts w:hint="eastAsia" w:ascii="宋体" w:hAnsi="宋体"/>
                <w:b/>
                <w:sz w:val="24"/>
              </w:rPr>
              <w:t>磋商响应情况及承诺说明</w:t>
            </w:r>
          </w:p>
        </w:tc>
        <w:tc>
          <w:tcPr>
            <w:tcW w:w="1266" w:type="dxa"/>
            <w:tcBorders>
              <w:top w:val="single" w:color="auto" w:sz="4" w:space="0"/>
              <w:left w:val="nil"/>
              <w:bottom w:val="single" w:color="auto" w:sz="4" w:space="0"/>
              <w:right w:val="single" w:color="auto" w:sz="4" w:space="0"/>
            </w:tcBorders>
            <w:vAlign w:val="center"/>
          </w:tcPr>
          <w:p w14:paraId="2A542836">
            <w:pPr>
              <w:jc w:val="center"/>
              <w:rPr>
                <w:rFonts w:hint="eastAsia" w:ascii="宋体" w:hAnsi="宋体"/>
                <w:b/>
                <w:sz w:val="22"/>
                <w:szCs w:val="22"/>
              </w:rPr>
            </w:pPr>
            <w:r>
              <w:rPr>
                <w:rFonts w:hint="eastAsia" w:ascii="宋体" w:hAnsi="宋体"/>
                <w:b/>
                <w:sz w:val="22"/>
                <w:szCs w:val="22"/>
              </w:rPr>
              <w:t>符合/</w:t>
            </w:r>
          </w:p>
          <w:p w14:paraId="79975663">
            <w:pPr>
              <w:jc w:val="center"/>
              <w:rPr>
                <w:rFonts w:hint="eastAsia" w:ascii="宋体" w:hAnsi="宋体"/>
                <w:b/>
                <w:sz w:val="22"/>
                <w:szCs w:val="22"/>
              </w:rPr>
            </w:pPr>
            <w:r>
              <w:rPr>
                <w:rFonts w:hint="eastAsia" w:ascii="宋体" w:hAnsi="宋体"/>
                <w:b/>
                <w:sz w:val="22"/>
                <w:szCs w:val="22"/>
              </w:rPr>
              <w:t>正偏离/</w:t>
            </w:r>
          </w:p>
          <w:p w14:paraId="3DDA0BB3">
            <w:pPr>
              <w:spacing w:line="360" w:lineRule="exact"/>
              <w:jc w:val="center"/>
              <w:rPr>
                <w:rFonts w:hint="eastAsia" w:ascii="宋体" w:hAnsi="宋体"/>
                <w:b/>
                <w:sz w:val="24"/>
              </w:rPr>
            </w:pPr>
            <w:r>
              <w:rPr>
                <w:rFonts w:hint="eastAsia" w:ascii="宋体" w:hAnsi="宋体"/>
                <w:b/>
                <w:sz w:val="22"/>
                <w:szCs w:val="22"/>
              </w:rPr>
              <w:t>负偏离</w:t>
            </w:r>
          </w:p>
        </w:tc>
        <w:tc>
          <w:tcPr>
            <w:tcW w:w="734" w:type="dxa"/>
            <w:tcBorders>
              <w:top w:val="single" w:color="auto" w:sz="4" w:space="0"/>
              <w:left w:val="nil"/>
              <w:bottom w:val="single" w:color="auto" w:sz="4" w:space="0"/>
              <w:right w:val="single" w:color="auto" w:sz="4" w:space="0"/>
            </w:tcBorders>
            <w:vAlign w:val="center"/>
          </w:tcPr>
          <w:p w14:paraId="70FFB60E">
            <w:pPr>
              <w:spacing w:line="360" w:lineRule="exact"/>
              <w:jc w:val="center"/>
              <w:rPr>
                <w:rFonts w:hint="eastAsia" w:ascii="宋体" w:hAnsi="宋体"/>
                <w:b/>
                <w:sz w:val="24"/>
              </w:rPr>
            </w:pPr>
            <w:r>
              <w:rPr>
                <w:rFonts w:hint="eastAsia" w:ascii="宋体" w:hAnsi="宋体"/>
                <w:b/>
                <w:sz w:val="24"/>
              </w:rPr>
              <w:t>备注</w:t>
            </w:r>
          </w:p>
        </w:tc>
      </w:tr>
      <w:tr w14:paraId="79ABC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14:paraId="767FA575">
            <w:pPr>
              <w:jc w:val="center"/>
              <w:rPr>
                <w:rFonts w:hint="eastAsia" w:ascii="宋体" w:hAnsi="宋体"/>
                <w:b/>
                <w:sz w:val="24"/>
              </w:rPr>
            </w:pPr>
          </w:p>
        </w:tc>
        <w:tc>
          <w:tcPr>
            <w:tcW w:w="3219" w:type="dxa"/>
            <w:tcBorders>
              <w:top w:val="single" w:color="auto" w:sz="4" w:space="0"/>
              <w:left w:val="nil"/>
              <w:bottom w:val="single" w:color="auto" w:sz="4" w:space="0"/>
              <w:right w:val="single" w:color="auto" w:sz="4" w:space="0"/>
            </w:tcBorders>
            <w:vAlign w:val="center"/>
          </w:tcPr>
          <w:p w14:paraId="19FB6242">
            <w:pPr>
              <w:jc w:val="center"/>
              <w:rPr>
                <w:rFonts w:hint="eastAsia" w:ascii="宋体" w:hAnsi="宋体"/>
                <w:b/>
                <w:sz w:val="24"/>
              </w:rPr>
            </w:pPr>
          </w:p>
        </w:tc>
        <w:tc>
          <w:tcPr>
            <w:tcW w:w="3138" w:type="dxa"/>
            <w:tcBorders>
              <w:top w:val="single" w:color="auto" w:sz="4" w:space="0"/>
              <w:left w:val="nil"/>
              <w:bottom w:val="single" w:color="auto" w:sz="4" w:space="0"/>
              <w:right w:val="single" w:color="auto" w:sz="4" w:space="0"/>
            </w:tcBorders>
            <w:vAlign w:val="center"/>
          </w:tcPr>
          <w:p w14:paraId="5BF52F0E">
            <w:pPr>
              <w:jc w:val="center"/>
              <w:rPr>
                <w:rFonts w:hint="eastAsia" w:ascii="宋体" w:hAnsi="宋体"/>
                <w:b/>
                <w:sz w:val="24"/>
              </w:rPr>
            </w:pPr>
          </w:p>
        </w:tc>
        <w:tc>
          <w:tcPr>
            <w:tcW w:w="1266" w:type="dxa"/>
            <w:tcBorders>
              <w:top w:val="single" w:color="auto" w:sz="4" w:space="0"/>
              <w:left w:val="nil"/>
              <w:bottom w:val="single" w:color="auto" w:sz="4" w:space="0"/>
              <w:right w:val="single" w:color="auto" w:sz="4" w:space="0"/>
            </w:tcBorders>
            <w:vAlign w:val="center"/>
          </w:tcPr>
          <w:p w14:paraId="681B04F3">
            <w:pPr>
              <w:jc w:val="center"/>
              <w:rPr>
                <w:rFonts w:hint="eastAsia" w:ascii="宋体" w:hAnsi="宋体"/>
                <w:b/>
                <w:sz w:val="24"/>
              </w:rPr>
            </w:pPr>
          </w:p>
        </w:tc>
        <w:tc>
          <w:tcPr>
            <w:tcW w:w="734" w:type="dxa"/>
            <w:tcBorders>
              <w:top w:val="single" w:color="auto" w:sz="4" w:space="0"/>
              <w:left w:val="nil"/>
              <w:bottom w:val="single" w:color="auto" w:sz="4" w:space="0"/>
              <w:right w:val="single" w:color="auto" w:sz="4" w:space="0"/>
            </w:tcBorders>
            <w:vAlign w:val="center"/>
          </w:tcPr>
          <w:p w14:paraId="6F99C873">
            <w:pPr>
              <w:jc w:val="center"/>
              <w:rPr>
                <w:rFonts w:hint="eastAsia" w:ascii="宋体" w:hAnsi="宋体"/>
                <w:b/>
                <w:sz w:val="24"/>
              </w:rPr>
            </w:pPr>
          </w:p>
        </w:tc>
      </w:tr>
      <w:tr w14:paraId="4057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14:paraId="4ECC6E98">
            <w:pPr>
              <w:jc w:val="center"/>
              <w:rPr>
                <w:rFonts w:hint="eastAsia" w:ascii="宋体" w:hAnsi="宋体"/>
                <w:b/>
                <w:sz w:val="24"/>
              </w:rPr>
            </w:pPr>
          </w:p>
        </w:tc>
        <w:tc>
          <w:tcPr>
            <w:tcW w:w="3219" w:type="dxa"/>
            <w:tcBorders>
              <w:top w:val="single" w:color="auto" w:sz="4" w:space="0"/>
              <w:left w:val="nil"/>
              <w:bottom w:val="single" w:color="auto" w:sz="4" w:space="0"/>
              <w:right w:val="single" w:color="auto" w:sz="4" w:space="0"/>
            </w:tcBorders>
            <w:vAlign w:val="center"/>
          </w:tcPr>
          <w:p w14:paraId="13BB9078">
            <w:pPr>
              <w:jc w:val="center"/>
              <w:rPr>
                <w:rFonts w:hint="eastAsia" w:ascii="宋体" w:hAnsi="宋体"/>
                <w:b/>
                <w:sz w:val="24"/>
              </w:rPr>
            </w:pPr>
          </w:p>
        </w:tc>
        <w:tc>
          <w:tcPr>
            <w:tcW w:w="3138" w:type="dxa"/>
            <w:tcBorders>
              <w:top w:val="single" w:color="auto" w:sz="4" w:space="0"/>
              <w:left w:val="nil"/>
              <w:bottom w:val="single" w:color="auto" w:sz="4" w:space="0"/>
              <w:right w:val="single" w:color="auto" w:sz="4" w:space="0"/>
            </w:tcBorders>
            <w:vAlign w:val="center"/>
          </w:tcPr>
          <w:p w14:paraId="1DA1F781">
            <w:pPr>
              <w:jc w:val="center"/>
              <w:rPr>
                <w:rFonts w:hint="eastAsia" w:ascii="宋体" w:hAnsi="宋体"/>
                <w:b/>
                <w:sz w:val="24"/>
              </w:rPr>
            </w:pPr>
          </w:p>
        </w:tc>
        <w:tc>
          <w:tcPr>
            <w:tcW w:w="1266" w:type="dxa"/>
            <w:tcBorders>
              <w:top w:val="single" w:color="auto" w:sz="4" w:space="0"/>
              <w:left w:val="nil"/>
              <w:bottom w:val="single" w:color="auto" w:sz="4" w:space="0"/>
              <w:right w:val="single" w:color="auto" w:sz="4" w:space="0"/>
            </w:tcBorders>
            <w:vAlign w:val="center"/>
          </w:tcPr>
          <w:p w14:paraId="69A0D445">
            <w:pPr>
              <w:jc w:val="center"/>
              <w:rPr>
                <w:rFonts w:hint="eastAsia" w:ascii="宋体" w:hAnsi="宋体"/>
                <w:b/>
                <w:sz w:val="24"/>
              </w:rPr>
            </w:pPr>
          </w:p>
        </w:tc>
        <w:tc>
          <w:tcPr>
            <w:tcW w:w="734" w:type="dxa"/>
            <w:tcBorders>
              <w:top w:val="single" w:color="auto" w:sz="4" w:space="0"/>
              <w:left w:val="nil"/>
              <w:bottom w:val="single" w:color="auto" w:sz="4" w:space="0"/>
              <w:right w:val="single" w:color="auto" w:sz="4" w:space="0"/>
            </w:tcBorders>
            <w:vAlign w:val="center"/>
          </w:tcPr>
          <w:p w14:paraId="59FC550C">
            <w:pPr>
              <w:jc w:val="center"/>
              <w:rPr>
                <w:rFonts w:hint="eastAsia" w:ascii="宋体" w:hAnsi="宋体"/>
                <w:b/>
                <w:sz w:val="24"/>
              </w:rPr>
            </w:pPr>
          </w:p>
        </w:tc>
      </w:tr>
      <w:tr w14:paraId="7885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14:paraId="7D00D21F">
            <w:pPr>
              <w:jc w:val="center"/>
              <w:rPr>
                <w:rFonts w:hint="eastAsia" w:ascii="宋体" w:hAnsi="宋体"/>
                <w:b/>
                <w:sz w:val="24"/>
              </w:rPr>
            </w:pPr>
          </w:p>
        </w:tc>
        <w:tc>
          <w:tcPr>
            <w:tcW w:w="3219" w:type="dxa"/>
            <w:tcBorders>
              <w:top w:val="single" w:color="auto" w:sz="4" w:space="0"/>
              <w:left w:val="nil"/>
              <w:bottom w:val="single" w:color="auto" w:sz="4" w:space="0"/>
              <w:right w:val="single" w:color="auto" w:sz="4" w:space="0"/>
            </w:tcBorders>
            <w:vAlign w:val="center"/>
          </w:tcPr>
          <w:p w14:paraId="2389EB1F">
            <w:pPr>
              <w:jc w:val="center"/>
              <w:rPr>
                <w:rFonts w:hint="eastAsia" w:ascii="宋体" w:hAnsi="宋体"/>
                <w:b/>
                <w:sz w:val="24"/>
              </w:rPr>
            </w:pPr>
          </w:p>
        </w:tc>
        <w:tc>
          <w:tcPr>
            <w:tcW w:w="3138" w:type="dxa"/>
            <w:tcBorders>
              <w:top w:val="single" w:color="auto" w:sz="4" w:space="0"/>
              <w:left w:val="nil"/>
              <w:bottom w:val="single" w:color="auto" w:sz="4" w:space="0"/>
              <w:right w:val="single" w:color="auto" w:sz="4" w:space="0"/>
            </w:tcBorders>
            <w:vAlign w:val="center"/>
          </w:tcPr>
          <w:p w14:paraId="7D0DC17A">
            <w:pPr>
              <w:jc w:val="center"/>
              <w:rPr>
                <w:rFonts w:hint="eastAsia" w:ascii="宋体" w:hAnsi="宋体"/>
                <w:b/>
                <w:sz w:val="24"/>
              </w:rPr>
            </w:pPr>
          </w:p>
        </w:tc>
        <w:tc>
          <w:tcPr>
            <w:tcW w:w="1266" w:type="dxa"/>
            <w:tcBorders>
              <w:top w:val="single" w:color="auto" w:sz="4" w:space="0"/>
              <w:left w:val="nil"/>
              <w:bottom w:val="single" w:color="auto" w:sz="4" w:space="0"/>
              <w:right w:val="single" w:color="auto" w:sz="4" w:space="0"/>
            </w:tcBorders>
            <w:vAlign w:val="center"/>
          </w:tcPr>
          <w:p w14:paraId="13C44E86">
            <w:pPr>
              <w:jc w:val="center"/>
              <w:rPr>
                <w:rFonts w:hint="eastAsia" w:ascii="宋体" w:hAnsi="宋体"/>
                <w:b/>
                <w:sz w:val="24"/>
              </w:rPr>
            </w:pPr>
          </w:p>
        </w:tc>
        <w:tc>
          <w:tcPr>
            <w:tcW w:w="734" w:type="dxa"/>
            <w:tcBorders>
              <w:top w:val="single" w:color="auto" w:sz="4" w:space="0"/>
              <w:left w:val="nil"/>
              <w:bottom w:val="single" w:color="auto" w:sz="4" w:space="0"/>
              <w:right w:val="single" w:color="auto" w:sz="4" w:space="0"/>
            </w:tcBorders>
            <w:vAlign w:val="center"/>
          </w:tcPr>
          <w:p w14:paraId="6D051F0D">
            <w:pPr>
              <w:jc w:val="center"/>
              <w:rPr>
                <w:rFonts w:hint="eastAsia" w:ascii="宋体" w:hAnsi="宋体"/>
                <w:b/>
                <w:sz w:val="24"/>
              </w:rPr>
            </w:pPr>
          </w:p>
        </w:tc>
      </w:tr>
      <w:tr w14:paraId="77D65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14:paraId="2941B91F">
            <w:pPr>
              <w:jc w:val="center"/>
              <w:rPr>
                <w:rFonts w:hint="eastAsia" w:ascii="宋体" w:hAnsi="宋体"/>
                <w:b/>
                <w:sz w:val="24"/>
              </w:rPr>
            </w:pPr>
          </w:p>
        </w:tc>
        <w:tc>
          <w:tcPr>
            <w:tcW w:w="3219" w:type="dxa"/>
            <w:tcBorders>
              <w:top w:val="single" w:color="auto" w:sz="4" w:space="0"/>
              <w:left w:val="nil"/>
              <w:bottom w:val="single" w:color="auto" w:sz="4" w:space="0"/>
              <w:right w:val="single" w:color="auto" w:sz="4" w:space="0"/>
            </w:tcBorders>
            <w:vAlign w:val="center"/>
          </w:tcPr>
          <w:p w14:paraId="596794A1">
            <w:pPr>
              <w:jc w:val="center"/>
              <w:rPr>
                <w:rFonts w:hint="eastAsia" w:ascii="宋体" w:hAnsi="宋体"/>
                <w:b/>
                <w:sz w:val="24"/>
              </w:rPr>
            </w:pPr>
          </w:p>
        </w:tc>
        <w:tc>
          <w:tcPr>
            <w:tcW w:w="3138" w:type="dxa"/>
            <w:tcBorders>
              <w:top w:val="single" w:color="auto" w:sz="4" w:space="0"/>
              <w:left w:val="nil"/>
              <w:bottom w:val="single" w:color="auto" w:sz="4" w:space="0"/>
              <w:right w:val="single" w:color="auto" w:sz="4" w:space="0"/>
            </w:tcBorders>
            <w:vAlign w:val="center"/>
          </w:tcPr>
          <w:p w14:paraId="75BDD16E">
            <w:pPr>
              <w:jc w:val="center"/>
              <w:rPr>
                <w:rFonts w:hint="eastAsia" w:ascii="宋体" w:hAnsi="宋体"/>
                <w:b/>
                <w:sz w:val="24"/>
              </w:rPr>
            </w:pPr>
          </w:p>
        </w:tc>
        <w:tc>
          <w:tcPr>
            <w:tcW w:w="1266" w:type="dxa"/>
            <w:tcBorders>
              <w:top w:val="single" w:color="auto" w:sz="4" w:space="0"/>
              <w:left w:val="nil"/>
              <w:bottom w:val="single" w:color="auto" w:sz="4" w:space="0"/>
              <w:right w:val="single" w:color="auto" w:sz="4" w:space="0"/>
            </w:tcBorders>
            <w:vAlign w:val="center"/>
          </w:tcPr>
          <w:p w14:paraId="0E186D36">
            <w:pPr>
              <w:jc w:val="center"/>
              <w:rPr>
                <w:rFonts w:hint="eastAsia" w:ascii="宋体" w:hAnsi="宋体"/>
                <w:b/>
                <w:sz w:val="24"/>
              </w:rPr>
            </w:pPr>
          </w:p>
        </w:tc>
        <w:tc>
          <w:tcPr>
            <w:tcW w:w="734" w:type="dxa"/>
            <w:tcBorders>
              <w:top w:val="single" w:color="auto" w:sz="4" w:space="0"/>
              <w:left w:val="nil"/>
              <w:bottom w:val="single" w:color="auto" w:sz="4" w:space="0"/>
              <w:right w:val="single" w:color="auto" w:sz="4" w:space="0"/>
            </w:tcBorders>
            <w:vAlign w:val="center"/>
          </w:tcPr>
          <w:p w14:paraId="5A227B05">
            <w:pPr>
              <w:jc w:val="center"/>
              <w:rPr>
                <w:rFonts w:hint="eastAsia" w:ascii="宋体" w:hAnsi="宋体"/>
                <w:b/>
                <w:sz w:val="24"/>
              </w:rPr>
            </w:pPr>
          </w:p>
        </w:tc>
      </w:tr>
      <w:tr w14:paraId="024F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14:paraId="74CD6E42">
            <w:pPr>
              <w:jc w:val="center"/>
              <w:rPr>
                <w:rFonts w:hint="eastAsia" w:ascii="宋体" w:hAnsi="宋体"/>
                <w:b/>
                <w:sz w:val="24"/>
              </w:rPr>
            </w:pPr>
          </w:p>
        </w:tc>
        <w:tc>
          <w:tcPr>
            <w:tcW w:w="3219" w:type="dxa"/>
            <w:tcBorders>
              <w:top w:val="single" w:color="auto" w:sz="4" w:space="0"/>
              <w:left w:val="nil"/>
              <w:bottom w:val="single" w:color="auto" w:sz="4" w:space="0"/>
              <w:right w:val="single" w:color="auto" w:sz="4" w:space="0"/>
            </w:tcBorders>
            <w:vAlign w:val="center"/>
          </w:tcPr>
          <w:p w14:paraId="080BCE32">
            <w:pPr>
              <w:jc w:val="center"/>
              <w:rPr>
                <w:rFonts w:hint="eastAsia" w:ascii="宋体" w:hAnsi="宋体"/>
                <w:b/>
                <w:sz w:val="24"/>
              </w:rPr>
            </w:pPr>
          </w:p>
        </w:tc>
        <w:tc>
          <w:tcPr>
            <w:tcW w:w="3138" w:type="dxa"/>
            <w:tcBorders>
              <w:top w:val="single" w:color="auto" w:sz="4" w:space="0"/>
              <w:left w:val="nil"/>
              <w:bottom w:val="single" w:color="auto" w:sz="4" w:space="0"/>
              <w:right w:val="single" w:color="auto" w:sz="4" w:space="0"/>
            </w:tcBorders>
            <w:vAlign w:val="center"/>
          </w:tcPr>
          <w:p w14:paraId="47F1FD26">
            <w:pPr>
              <w:jc w:val="center"/>
              <w:rPr>
                <w:rFonts w:hint="eastAsia" w:ascii="宋体" w:hAnsi="宋体"/>
                <w:b/>
                <w:sz w:val="24"/>
              </w:rPr>
            </w:pPr>
          </w:p>
        </w:tc>
        <w:tc>
          <w:tcPr>
            <w:tcW w:w="1266" w:type="dxa"/>
            <w:tcBorders>
              <w:top w:val="single" w:color="auto" w:sz="4" w:space="0"/>
              <w:left w:val="nil"/>
              <w:bottom w:val="single" w:color="auto" w:sz="4" w:space="0"/>
              <w:right w:val="single" w:color="auto" w:sz="4" w:space="0"/>
            </w:tcBorders>
            <w:vAlign w:val="center"/>
          </w:tcPr>
          <w:p w14:paraId="2989825B">
            <w:pPr>
              <w:jc w:val="center"/>
              <w:rPr>
                <w:rFonts w:hint="eastAsia" w:ascii="宋体" w:hAnsi="宋体"/>
                <w:b/>
                <w:sz w:val="24"/>
              </w:rPr>
            </w:pPr>
          </w:p>
        </w:tc>
        <w:tc>
          <w:tcPr>
            <w:tcW w:w="734" w:type="dxa"/>
            <w:tcBorders>
              <w:top w:val="single" w:color="auto" w:sz="4" w:space="0"/>
              <w:left w:val="nil"/>
              <w:bottom w:val="single" w:color="auto" w:sz="4" w:space="0"/>
              <w:right w:val="single" w:color="auto" w:sz="4" w:space="0"/>
            </w:tcBorders>
            <w:vAlign w:val="center"/>
          </w:tcPr>
          <w:p w14:paraId="1B5AB7F3">
            <w:pPr>
              <w:jc w:val="center"/>
              <w:rPr>
                <w:rFonts w:hint="eastAsia" w:ascii="宋体" w:hAnsi="宋体"/>
                <w:b/>
                <w:sz w:val="24"/>
              </w:rPr>
            </w:pPr>
          </w:p>
        </w:tc>
      </w:tr>
    </w:tbl>
    <w:p w14:paraId="4489BFEE">
      <w:pPr>
        <w:pStyle w:val="14"/>
        <w:rPr>
          <w:rFonts w:hint="eastAsia"/>
          <w:lang w:eastAsia="zh-Hans"/>
        </w:rPr>
      </w:pPr>
    </w:p>
    <w:p w14:paraId="7394E0EE">
      <w:pPr>
        <w:spacing w:line="360" w:lineRule="auto"/>
        <w:ind w:left="482" w:hanging="480" w:hangingChars="200"/>
        <w:jc w:val="left"/>
        <w:rPr>
          <w:rFonts w:hint="eastAsia" w:ascii="宋体" w:hAnsi="宋体"/>
          <w:b/>
          <w:sz w:val="24"/>
        </w:rPr>
      </w:pPr>
      <w:r>
        <w:rPr>
          <w:rFonts w:hint="eastAsia" w:ascii="宋体" w:hAnsi="宋体"/>
          <w:b/>
          <w:sz w:val="24"/>
        </w:rPr>
        <w:t>备注：</w:t>
      </w:r>
    </w:p>
    <w:p w14:paraId="318608A4">
      <w:pPr>
        <w:spacing w:line="360" w:lineRule="auto"/>
        <w:ind w:firstLine="480" w:firstLineChars="200"/>
        <w:jc w:val="left"/>
        <w:rPr>
          <w:rFonts w:hint="eastAsia" w:ascii="宋体" w:hAnsi="宋体"/>
          <w:b/>
          <w:sz w:val="24"/>
        </w:rPr>
      </w:pPr>
      <w:r>
        <w:rPr>
          <w:rFonts w:ascii="Times New Roman" w:hAnsi="Times New Roman"/>
          <w:sz w:val="24"/>
        </w:rPr>
        <w:t>1、</w:t>
      </w:r>
      <w:r>
        <w:rPr>
          <w:rFonts w:ascii="宋体" w:hAnsi="宋体"/>
          <w:sz w:val="24"/>
        </w:rPr>
        <w:t>“磋商文件要求”栏按照本磋商文件</w:t>
      </w:r>
      <w:bookmarkStart w:id="89" w:name="_Hlk47433824"/>
      <w:r>
        <w:rPr>
          <w:rFonts w:ascii="宋体" w:hAnsi="宋体"/>
          <w:b/>
          <w:bCs/>
          <w:sz w:val="24"/>
        </w:rPr>
        <w:t>“第四章 项目需求”</w:t>
      </w:r>
      <w:r>
        <w:rPr>
          <w:rFonts w:ascii="宋体" w:hAnsi="宋体"/>
          <w:sz w:val="24"/>
        </w:rPr>
        <w:t>逐项填列</w:t>
      </w:r>
      <w:bookmarkEnd w:id="89"/>
      <w:r>
        <w:rPr>
          <w:rFonts w:ascii="宋体" w:hAnsi="宋体"/>
          <w:sz w:val="24"/>
        </w:rPr>
        <w:t>，</w:t>
      </w:r>
      <w:bookmarkStart w:id="90" w:name="_Hlk47433835"/>
      <w:r>
        <w:rPr>
          <w:rFonts w:ascii="宋体" w:hAnsi="宋体"/>
          <w:sz w:val="24"/>
        </w:rPr>
        <w:t>如需提供相应证明材料的，应在“备注”栏注明证明材料在磋商响应文件中的页码位置；</w:t>
      </w:r>
      <w:bookmarkEnd w:id="90"/>
    </w:p>
    <w:p w14:paraId="7737CA35">
      <w:pPr>
        <w:spacing w:line="360" w:lineRule="auto"/>
        <w:ind w:firstLine="480" w:firstLineChars="200"/>
        <w:jc w:val="left"/>
        <w:rPr>
          <w:rFonts w:ascii="Times New Roman" w:hAnsi="Times New Roman"/>
          <w:sz w:val="24"/>
        </w:rPr>
      </w:pPr>
      <w:r>
        <w:rPr>
          <w:rFonts w:ascii="Times New Roman" w:hAnsi="Times New Roman"/>
          <w:sz w:val="24"/>
        </w:rPr>
        <w:t>2、如参与多个分包的，请各磋商供应商按所响应的分包分别列表。</w:t>
      </w:r>
    </w:p>
    <w:p w14:paraId="20A60AEF">
      <w:pPr>
        <w:widowControl/>
        <w:jc w:val="left"/>
        <w:rPr>
          <w:rFonts w:hint="eastAsia" w:ascii="宋体" w:hAnsi="宋体"/>
          <w:sz w:val="24"/>
        </w:rPr>
      </w:pPr>
      <w:r>
        <w:rPr>
          <w:rFonts w:ascii="宋体" w:hAnsi="宋体"/>
          <w:sz w:val="24"/>
        </w:rPr>
        <w:br w:type="page"/>
      </w:r>
    </w:p>
    <w:p w14:paraId="0F204919">
      <w:pPr>
        <w:spacing w:line="360" w:lineRule="auto"/>
        <w:jc w:val="left"/>
        <w:outlineLvl w:val="1"/>
        <w:rPr>
          <w:b/>
          <w:bCs/>
          <w:sz w:val="28"/>
          <w:szCs w:val="36"/>
          <w:lang w:eastAsia="zh-Hans"/>
        </w:rPr>
      </w:pPr>
      <w:bookmarkStart w:id="91" w:name="_Toc171605474"/>
      <w:r>
        <w:rPr>
          <w:b/>
          <w:bCs/>
          <w:sz w:val="28"/>
          <w:szCs w:val="36"/>
          <w:lang w:eastAsia="zh-Hans"/>
        </w:rPr>
        <w:t>附件</w:t>
      </w:r>
      <w:bookmarkEnd w:id="91"/>
    </w:p>
    <w:p w14:paraId="64A0F5FB">
      <w:pPr>
        <w:spacing w:line="360" w:lineRule="auto"/>
        <w:rPr>
          <w:lang w:eastAsia="zh-Hans"/>
        </w:rPr>
      </w:pPr>
    </w:p>
    <w:p w14:paraId="0E099D57">
      <w:pPr>
        <w:spacing w:line="360" w:lineRule="auto"/>
        <w:jc w:val="center"/>
        <w:rPr>
          <w:b/>
          <w:bCs/>
          <w:sz w:val="28"/>
          <w:szCs w:val="36"/>
          <w:lang w:eastAsia="zh-Hans"/>
        </w:rPr>
      </w:pPr>
      <w:r>
        <w:rPr>
          <w:rFonts w:hint="eastAsia"/>
          <w:b/>
          <w:bCs/>
          <w:sz w:val="28"/>
          <w:szCs w:val="36"/>
          <w:lang w:eastAsia="zh-Hans"/>
        </w:rPr>
        <w:t>联合体协议（参考格式）</w:t>
      </w:r>
    </w:p>
    <w:p w14:paraId="21E5CF73">
      <w:pPr>
        <w:pStyle w:val="4"/>
        <w:spacing w:line="360" w:lineRule="auto"/>
        <w:ind w:firstLine="0"/>
        <w:jc w:val="center"/>
        <w:rPr>
          <w:rFonts w:hint="eastAsia" w:ascii="宋体" w:hAnsi="宋体" w:cs="宋体"/>
          <w:b/>
          <w:bCs/>
          <w:sz w:val="24"/>
          <w:szCs w:val="24"/>
        </w:rPr>
      </w:pPr>
      <w:r>
        <w:rPr>
          <w:rFonts w:hint="eastAsia" w:ascii="宋体" w:hAnsi="宋体" w:cs="宋体"/>
          <w:b/>
          <w:bCs/>
          <w:sz w:val="24"/>
          <w:szCs w:val="24"/>
        </w:rPr>
        <w:t>（参考格式，非联合体形式参加磋商的供应商无需提供）</w:t>
      </w:r>
    </w:p>
    <w:p w14:paraId="08543524">
      <w:pPr>
        <w:pStyle w:val="4"/>
        <w:spacing w:line="360" w:lineRule="auto"/>
        <w:rPr>
          <w:rFonts w:hint="eastAsia" w:ascii="宋体" w:hAnsi="宋体" w:cs="宋体"/>
          <w:sz w:val="24"/>
          <w:szCs w:val="24"/>
        </w:rPr>
      </w:pPr>
    </w:p>
    <w:p w14:paraId="218748B2">
      <w:pPr>
        <w:spacing w:line="360" w:lineRule="auto"/>
        <w:rPr>
          <w:rFonts w:hint="eastAsia" w:ascii="宋体" w:hAnsi="宋体" w:cs="宋体"/>
          <w:sz w:val="24"/>
        </w:rPr>
      </w:pPr>
      <w:r>
        <w:rPr>
          <w:rFonts w:hint="eastAsia" w:ascii="宋体" w:hAnsi="宋体" w:cs="宋体"/>
          <w:sz w:val="24"/>
          <w:u w:val="single"/>
        </w:rPr>
        <w:t>[联合体中各供应商全称]</w:t>
      </w:r>
      <w:r>
        <w:rPr>
          <w:rFonts w:hint="eastAsia" w:ascii="宋体" w:hAnsi="宋体" w:cs="宋体"/>
          <w:sz w:val="24"/>
        </w:rPr>
        <w:t>在此达成以下协议：</w:t>
      </w:r>
    </w:p>
    <w:p w14:paraId="5DFCAB5B">
      <w:pPr>
        <w:spacing w:line="360" w:lineRule="auto"/>
        <w:ind w:firstLine="480" w:firstLineChars="200"/>
        <w:rPr>
          <w:rFonts w:hint="eastAsia" w:ascii="宋体" w:hAnsi="宋体" w:cs="宋体"/>
          <w:sz w:val="24"/>
        </w:rPr>
      </w:pPr>
      <w:r>
        <w:rPr>
          <w:rFonts w:hint="eastAsia" w:ascii="宋体" w:hAnsi="宋体" w:cs="宋体"/>
          <w:sz w:val="24"/>
        </w:rPr>
        <w:t>1、我们自愿组成联合体，参加南京越鑫项目管理咨询有限公司组织的采购编号为</w:t>
      </w:r>
      <w:r>
        <w:rPr>
          <w:rFonts w:hint="eastAsia" w:ascii="宋体" w:hAnsi="宋体" w:cs="宋体"/>
          <w:sz w:val="24"/>
          <w:u w:val="single"/>
        </w:rPr>
        <w:t xml:space="preserve"> [项目全称] </w:t>
      </w:r>
      <w:r>
        <w:rPr>
          <w:rFonts w:hint="eastAsia" w:ascii="宋体" w:hAnsi="宋体" w:cs="宋体"/>
          <w:sz w:val="24"/>
        </w:rPr>
        <w:t>项目的政府采购活动。</w:t>
      </w:r>
    </w:p>
    <w:p w14:paraId="4146A1F8">
      <w:pPr>
        <w:spacing w:line="360" w:lineRule="auto"/>
        <w:ind w:firstLine="480" w:firstLineChars="200"/>
        <w:rPr>
          <w:rFonts w:hint="eastAsia" w:ascii="宋体" w:hAnsi="宋体" w:cs="宋体"/>
          <w:sz w:val="24"/>
        </w:rPr>
      </w:pPr>
      <w:r>
        <w:rPr>
          <w:rFonts w:hint="eastAsia" w:ascii="宋体" w:hAnsi="宋体" w:cs="宋体"/>
          <w:sz w:val="24"/>
        </w:rPr>
        <w:t>2、若我们联合成交，</w:t>
      </w:r>
      <w:bookmarkStart w:id="92" w:name="_Hlk14868141"/>
      <w:bookmarkStart w:id="93" w:name="_Hlk14868169"/>
      <w:r>
        <w:rPr>
          <w:rFonts w:hint="eastAsia" w:ascii="宋体" w:hAnsi="宋体" w:cs="宋体"/>
          <w:sz w:val="24"/>
          <w:u w:val="single"/>
        </w:rPr>
        <w:t>[供应商单位1全称]</w:t>
      </w:r>
      <w:bookmarkEnd w:id="92"/>
      <w:r>
        <w:rPr>
          <w:rFonts w:hint="eastAsia" w:ascii="宋体" w:hAnsi="宋体" w:cs="宋体"/>
          <w:sz w:val="24"/>
        </w:rPr>
        <w:t>实施项目中</w:t>
      </w:r>
      <w:r>
        <w:rPr>
          <w:rFonts w:hint="eastAsia" w:ascii="宋体" w:hAnsi="宋体" w:cs="宋体"/>
          <w:sz w:val="24"/>
          <w:u w:val="single"/>
        </w:rPr>
        <w:t xml:space="preserve"> [工作内容] </w:t>
      </w:r>
      <w:r>
        <w:rPr>
          <w:rFonts w:hint="eastAsia" w:ascii="宋体" w:hAnsi="宋体" w:cs="宋体"/>
          <w:sz w:val="24"/>
        </w:rPr>
        <w:t>部分工作，并承担相应的责任。</w:t>
      </w:r>
      <w:r>
        <w:rPr>
          <w:rFonts w:hint="eastAsia" w:ascii="宋体" w:hAnsi="宋体" w:cs="宋体"/>
          <w:sz w:val="24"/>
          <w:u w:val="single"/>
        </w:rPr>
        <w:t>[供应商单位2全称]</w:t>
      </w:r>
      <w:r>
        <w:rPr>
          <w:rFonts w:hint="eastAsia" w:ascii="宋体" w:hAnsi="宋体" w:cs="宋体"/>
          <w:sz w:val="24"/>
        </w:rPr>
        <w:t>实施项目中</w:t>
      </w:r>
      <w:r>
        <w:rPr>
          <w:rFonts w:hint="eastAsia" w:ascii="宋体" w:hAnsi="宋体" w:cs="宋体"/>
          <w:sz w:val="24"/>
          <w:u w:val="single"/>
        </w:rPr>
        <w:t xml:space="preserve"> [工作内容] </w:t>
      </w:r>
      <w:r>
        <w:rPr>
          <w:rFonts w:hint="eastAsia" w:ascii="宋体" w:hAnsi="宋体" w:cs="宋体"/>
          <w:sz w:val="24"/>
        </w:rPr>
        <w:t>部分工作，并承担相应的责任。……。（</w:t>
      </w:r>
      <w:r>
        <w:rPr>
          <w:rFonts w:hint="eastAsia" w:ascii="宋体" w:hAnsi="宋体" w:cs="宋体"/>
          <w:b/>
          <w:bCs/>
          <w:sz w:val="24"/>
        </w:rPr>
        <w:t>注：</w:t>
      </w:r>
      <w:r>
        <w:rPr>
          <w:rFonts w:hint="eastAsia" w:ascii="宋体" w:hAnsi="宋体" w:cs="宋体"/>
          <w:sz w:val="24"/>
        </w:rPr>
        <w:t>联合体中各供应商都应明示所承担的工作和相应的责任）。</w:t>
      </w:r>
    </w:p>
    <w:bookmarkEnd w:id="93"/>
    <w:p w14:paraId="4DC06DC0">
      <w:pPr>
        <w:spacing w:line="360" w:lineRule="auto"/>
        <w:ind w:firstLine="480" w:firstLineChars="200"/>
        <w:rPr>
          <w:rFonts w:hint="eastAsia" w:ascii="宋体" w:hAnsi="宋体" w:cs="宋体"/>
          <w:sz w:val="24"/>
        </w:rPr>
      </w:pPr>
      <w:r>
        <w:rPr>
          <w:rFonts w:hint="eastAsia" w:ascii="宋体" w:hAnsi="宋体" w:cs="宋体"/>
          <w:sz w:val="24"/>
        </w:rPr>
        <w:t>3、其中</w:t>
      </w:r>
      <w:r>
        <w:rPr>
          <w:rFonts w:hint="eastAsia" w:ascii="宋体" w:hAnsi="宋体" w:cs="宋体"/>
          <w:sz w:val="24"/>
          <w:u w:val="single"/>
        </w:rPr>
        <w:t>[小型、微型企业/残疾人福利性单位/监狱企业全称]</w:t>
      </w:r>
      <w:r>
        <w:rPr>
          <w:rFonts w:hint="eastAsia" w:ascii="宋体" w:hAnsi="宋体" w:cs="宋体"/>
          <w:sz w:val="24"/>
        </w:rPr>
        <w:t>为</w:t>
      </w:r>
      <w:r>
        <w:rPr>
          <w:rFonts w:hint="eastAsia" w:ascii="宋体" w:hAnsi="宋体" w:cs="宋体"/>
          <w:sz w:val="24"/>
          <w:u w:val="single"/>
        </w:rPr>
        <w:t xml:space="preserve"> [企业名称] </w:t>
      </w:r>
      <w:r>
        <w:rPr>
          <w:rFonts w:hint="eastAsia" w:ascii="宋体" w:hAnsi="宋体" w:cs="宋体"/>
          <w:sz w:val="24"/>
        </w:rPr>
        <w:t>企业，且我们约定该公司所承担的合同金额将占本项目合同总金额的</w:t>
      </w:r>
      <w:r>
        <w:rPr>
          <w:rFonts w:hint="eastAsia" w:ascii="宋体" w:hAnsi="宋体" w:cs="宋体"/>
          <w:sz w:val="24"/>
          <w:u w:val="single"/>
        </w:rPr>
        <w:t xml:space="preserve">    %</w:t>
      </w:r>
      <w:r>
        <w:rPr>
          <w:rFonts w:hint="eastAsia" w:ascii="宋体" w:hAnsi="宋体" w:cs="宋体"/>
          <w:sz w:val="24"/>
        </w:rPr>
        <w:t>。</w:t>
      </w:r>
    </w:p>
    <w:p w14:paraId="6A3F439A">
      <w:pPr>
        <w:pStyle w:val="55"/>
        <w:spacing w:line="360" w:lineRule="auto"/>
        <w:rPr>
          <w:rFonts w:hint="eastAsia" w:ascii="宋体" w:hAnsi="宋体" w:cs="宋体"/>
          <w:b/>
          <w:iCs/>
        </w:rPr>
      </w:pPr>
      <w:bookmarkStart w:id="94" w:name="_Hlk14162849"/>
    </w:p>
    <w:p w14:paraId="18115785">
      <w:pPr>
        <w:pStyle w:val="55"/>
        <w:spacing w:line="360" w:lineRule="auto"/>
        <w:rPr>
          <w:rFonts w:hint="eastAsia" w:ascii="宋体" w:hAnsi="宋体" w:cs="宋体"/>
          <w:b/>
          <w:bCs/>
          <w:i/>
        </w:rPr>
      </w:pPr>
      <w:bookmarkStart w:id="95" w:name="_Hlk14868372"/>
      <w:r>
        <w:rPr>
          <w:rFonts w:hint="eastAsia" w:ascii="宋体" w:hAnsi="宋体" w:cs="宋体"/>
          <w:b/>
          <w:iCs/>
        </w:rPr>
        <w:t>备注：</w:t>
      </w:r>
      <w:r>
        <w:rPr>
          <w:rFonts w:hint="eastAsia" w:ascii="宋体" w:hAnsi="宋体" w:cs="宋体"/>
          <w:b/>
          <w:i/>
        </w:rPr>
        <w:t>联合体中各方均须加盖单位公章</w:t>
      </w:r>
      <w:bookmarkEnd w:id="94"/>
      <w:r>
        <w:rPr>
          <w:rFonts w:hint="eastAsia" w:ascii="宋体" w:hAnsi="宋体" w:cs="宋体"/>
          <w:b/>
          <w:i/>
        </w:rPr>
        <w:t>。</w:t>
      </w:r>
    </w:p>
    <w:bookmarkEnd w:id="95"/>
    <w:p w14:paraId="6C57445C">
      <w:pPr>
        <w:spacing w:line="360" w:lineRule="auto"/>
        <w:ind w:firstLine="480" w:firstLineChars="200"/>
        <w:rPr>
          <w:rFonts w:hint="eastAsia" w:ascii="宋体" w:hAnsi="宋体" w:cs="宋体"/>
          <w:sz w:val="24"/>
        </w:rPr>
      </w:pPr>
    </w:p>
    <w:p w14:paraId="6AE65C5B">
      <w:pPr>
        <w:spacing w:line="360" w:lineRule="auto"/>
        <w:ind w:firstLine="480" w:firstLineChars="200"/>
        <w:rPr>
          <w:rFonts w:hint="eastAsia" w:ascii="宋体" w:hAnsi="宋体" w:cs="宋体"/>
          <w:sz w:val="24"/>
        </w:rPr>
      </w:pPr>
    </w:p>
    <w:p w14:paraId="2271EE4B">
      <w:pPr>
        <w:spacing w:line="480" w:lineRule="auto"/>
        <w:jc w:val="left"/>
        <w:rPr>
          <w:rFonts w:hint="eastAsia" w:ascii="宋体" w:hAnsi="宋体" w:cs="宋体"/>
          <w:sz w:val="24"/>
        </w:rPr>
      </w:pPr>
      <w:bookmarkStart w:id="96" w:name="_Hlk14868381"/>
      <w:r>
        <w:rPr>
          <w:rFonts w:hint="eastAsia" w:ascii="宋体" w:hAnsi="宋体" w:cs="宋体"/>
          <w:sz w:val="24"/>
        </w:rPr>
        <w:t>供应商单位1名称（盖章）：</w:t>
      </w:r>
    </w:p>
    <w:p w14:paraId="07CF87FE">
      <w:pPr>
        <w:spacing w:line="480" w:lineRule="auto"/>
        <w:jc w:val="left"/>
        <w:rPr>
          <w:rFonts w:hint="eastAsia" w:ascii="宋体" w:hAnsi="宋体" w:cs="宋体"/>
          <w:sz w:val="24"/>
        </w:rPr>
      </w:pPr>
      <w:r>
        <w:rPr>
          <w:rFonts w:hint="eastAsia" w:ascii="宋体" w:hAnsi="宋体" w:cs="宋体"/>
          <w:sz w:val="24"/>
        </w:rPr>
        <w:t>供应商单位2名称（盖章）：</w:t>
      </w:r>
    </w:p>
    <w:p w14:paraId="3FA0DF75">
      <w:pPr>
        <w:spacing w:line="480" w:lineRule="auto"/>
        <w:jc w:val="left"/>
        <w:rPr>
          <w:rFonts w:hint="eastAsia" w:ascii="宋体" w:hAnsi="宋体" w:cs="宋体"/>
          <w:sz w:val="24"/>
        </w:rPr>
      </w:pPr>
    </w:p>
    <w:p w14:paraId="19A97096">
      <w:pPr>
        <w:spacing w:line="480" w:lineRule="auto"/>
        <w:jc w:val="left"/>
        <w:rPr>
          <w:rFonts w:hint="eastAsia" w:ascii="宋体" w:hAnsi="宋体" w:cs="宋体"/>
          <w:sz w:val="24"/>
        </w:rPr>
      </w:pPr>
      <w:r>
        <w:rPr>
          <w:rFonts w:hint="eastAsia" w:ascii="宋体" w:hAnsi="宋体" w:cs="宋体"/>
          <w:sz w:val="24"/>
        </w:rPr>
        <w:t>日    期：     年  月  日</w:t>
      </w:r>
    </w:p>
    <w:bookmarkEnd w:id="96"/>
    <w:p w14:paraId="60C1DF18">
      <w:pPr>
        <w:widowControl/>
        <w:jc w:val="left"/>
        <w:rPr>
          <w:rFonts w:hint="eastAsia" w:ascii="宋体" w:hAnsi="宋体"/>
          <w:sz w:val="24"/>
        </w:rPr>
      </w:pPr>
      <w:r>
        <w:rPr>
          <w:rFonts w:ascii="宋体" w:hAnsi="宋体"/>
          <w:sz w:val="24"/>
        </w:rPr>
        <w:br w:type="page"/>
      </w:r>
    </w:p>
    <w:p w14:paraId="20EDE45F">
      <w:pPr>
        <w:spacing w:line="360" w:lineRule="auto"/>
        <w:jc w:val="center"/>
        <w:rPr>
          <w:rFonts w:hint="eastAsia" w:ascii="宋体" w:hAnsi="宋体"/>
          <w:snapToGrid w:val="0"/>
          <w:kern w:val="0"/>
          <w:sz w:val="24"/>
        </w:rPr>
      </w:pPr>
      <w:r>
        <w:rPr>
          <w:rFonts w:hint="eastAsia"/>
          <w:b/>
          <w:bCs/>
          <w:sz w:val="28"/>
          <w:szCs w:val="36"/>
          <w:lang w:eastAsia="zh-Hans"/>
        </w:rPr>
        <w:t>中小企业声明函（服务）</w:t>
      </w:r>
    </w:p>
    <w:p w14:paraId="615ECC87">
      <w:pPr>
        <w:pStyle w:val="12"/>
        <w:spacing w:line="360" w:lineRule="auto"/>
        <w:ind w:firstLine="480" w:firstLineChars="200"/>
        <w:rPr>
          <w:rFonts w:hint="eastAsia" w:ascii="宋体" w:hAnsi="宋体" w:eastAsia="宋体"/>
          <w:snapToGrid w:val="0"/>
          <w:kern w:val="0"/>
          <w:sz w:val="24"/>
          <w:szCs w:val="24"/>
        </w:rPr>
      </w:pPr>
      <w:r>
        <w:rPr>
          <w:rFonts w:ascii="宋体" w:hAnsi="宋体" w:eastAsia="宋体"/>
          <w:snapToGrid w:val="0"/>
          <w:kern w:val="0"/>
          <w:sz w:val="24"/>
          <w:szCs w:val="24"/>
        </w:rPr>
        <w:t>本公司郑重声明，根据《政府采购促进中小企业发展管理办法》（财库</w:t>
      </w:r>
      <w:r>
        <w:rPr>
          <w:rFonts w:hint="eastAsia" w:ascii="宋体" w:hAnsi="宋体" w:eastAsia="宋体"/>
          <w:snapToGrid w:val="0"/>
          <w:kern w:val="0"/>
          <w:sz w:val="24"/>
          <w:szCs w:val="24"/>
        </w:rPr>
        <w:t>﹝</w:t>
      </w:r>
      <w:r>
        <w:rPr>
          <w:rFonts w:ascii="宋体" w:hAnsi="宋体" w:eastAsia="宋体"/>
          <w:snapToGrid w:val="0"/>
          <w:kern w:val="0"/>
          <w:sz w:val="24"/>
          <w:szCs w:val="24"/>
        </w:rPr>
        <w:t>2020</w:t>
      </w:r>
      <w:r>
        <w:rPr>
          <w:rFonts w:hint="eastAsia" w:ascii="宋体" w:hAnsi="宋体" w:eastAsia="宋体"/>
          <w:snapToGrid w:val="0"/>
          <w:kern w:val="0"/>
          <w:sz w:val="24"/>
          <w:szCs w:val="24"/>
        </w:rPr>
        <w:t>﹞</w:t>
      </w:r>
      <w:r>
        <w:rPr>
          <w:rFonts w:ascii="宋体" w:hAnsi="宋体" w:eastAsia="宋体"/>
          <w:snapToGrid w:val="0"/>
          <w:kern w:val="0"/>
          <w:sz w:val="24"/>
          <w:szCs w:val="24"/>
        </w:rPr>
        <w:t>46号）的规定，本公司</w:t>
      </w:r>
      <w:r>
        <w:rPr>
          <w:rFonts w:hint="eastAsia" w:ascii="宋体" w:hAnsi="宋体" w:eastAsia="宋体"/>
          <w:snapToGrid w:val="0"/>
          <w:kern w:val="0"/>
          <w:sz w:val="24"/>
          <w:szCs w:val="24"/>
        </w:rPr>
        <w:t>（联合体）</w:t>
      </w:r>
      <w:r>
        <w:rPr>
          <w:rFonts w:ascii="宋体" w:hAnsi="宋体" w:eastAsia="宋体"/>
          <w:snapToGrid w:val="0"/>
          <w:kern w:val="0"/>
          <w:sz w:val="24"/>
          <w:szCs w:val="24"/>
        </w:rPr>
        <w:t>参加</w:t>
      </w:r>
      <w:r>
        <w:rPr>
          <w:rFonts w:hint="eastAsia" w:ascii="宋体" w:hAnsi="宋体" w:eastAsia="宋体"/>
          <w:snapToGrid w:val="0"/>
          <w:kern w:val="0"/>
          <w:sz w:val="24"/>
          <w:szCs w:val="24"/>
          <w:u w:val="single"/>
        </w:rPr>
        <w:t xml:space="preserve"> </w:t>
      </w:r>
      <w:r>
        <w:rPr>
          <w:rFonts w:hint="eastAsia" w:ascii="宋体" w:hAnsi="宋体" w:eastAsia="宋体"/>
          <w:b/>
          <w:bCs/>
          <w:snapToGrid w:val="0"/>
          <w:kern w:val="0"/>
          <w:sz w:val="24"/>
          <w:szCs w:val="24"/>
          <w:u w:val="single"/>
        </w:rPr>
        <w:t>[采购人</w:t>
      </w:r>
      <w:r>
        <w:rPr>
          <w:rFonts w:ascii="宋体" w:hAnsi="宋体" w:eastAsia="宋体"/>
          <w:b/>
          <w:bCs/>
          <w:snapToGrid w:val="0"/>
          <w:kern w:val="0"/>
          <w:sz w:val="24"/>
          <w:szCs w:val="24"/>
          <w:u w:val="single"/>
        </w:rPr>
        <w:t>单位名称</w:t>
      </w:r>
      <w:r>
        <w:rPr>
          <w:rFonts w:hint="eastAsia" w:ascii="宋体" w:hAnsi="宋体" w:eastAsia="宋体"/>
          <w:b/>
          <w:bCs/>
          <w:snapToGrid w:val="0"/>
          <w:kern w:val="0"/>
          <w:sz w:val="24"/>
          <w:szCs w:val="24"/>
          <w:u w:val="single"/>
        </w:rPr>
        <w:t xml:space="preserve">] </w:t>
      </w:r>
      <w:r>
        <w:rPr>
          <w:rFonts w:ascii="宋体" w:hAnsi="宋体" w:eastAsia="宋体"/>
          <w:snapToGrid w:val="0"/>
          <w:kern w:val="0"/>
          <w:sz w:val="24"/>
          <w:szCs w:val="24"/>
        </w:rPr>
        <w:t>的</w:t>
      </w:r>
      <w:r>
        <w:rPr>
          <w:rFonts w:ascii="宋体" w:hAnsi="宋体" w:eastAsia="宋体"/>
          <w:snapToGrid w:val="0"/>
          <w:kern w:val="0"/>
          <w:sz w:val="24"/>
          <w:szCs w:val="24"/>
          <w:u w:val="single"/>
        </w:rPr>
        <w:t xml:space="preserve"> </w:t>
      </w:r>
      <w:r>
        <w:rPr>
          <w:rFonts w:hint="eastAsia" w:ascii="宋体" w:hAnsi="宋体" w:eastAsia="宋体"/>
          <w:b/>
          <w:bCs/>
          <w:snapToGrid w:val="0"/>
          <w:kern w:val="0"/>
          <w:sz w:val="24"/>
          <w:szCs w:val="24"/>
          <w:u w:val="single"/>
        </w:rPr>
        <w:t>[</w:t>
      </w:r>
      <w:r>
        <w:rPr>
          <w:rFonts w:ascii="宋体" w:hAnsi="宋体" w:eastAsia="宋体"/>
          <w:b/>
          <w:bCs/>
          <w:snapToGrid w:val="0"/>
          <w:kern w:val="0"/>
          <w:sz w:val="24"/>
          <w:szCs w:val="24"/>
          <w:u w:val="single"/>
        </w:rPr>
        <w:t>项目名称</w:t>
      </w:r>
      <w:r>
        <w:rPr>
          <w:rFonts w:hint="eastAsia" w:ascii="宋体" w:hAnsi="宋体" w:eastAsia="宋体"/>
          <w:b/>
          <w:bCs/>
          <w:snapToGrid w:val="0"/>
          <w:kern w:val="0"/>
          <w:sz w:val="24"/>
          <w:szCs w:val="24"/>
          <w:u w:val="single"/>
        </w:rPr>
        <w:t>]</w:t>
      </w:r>
      <w:r>
        <w:rPr>
          <w:rFonts w:ascii="宋体" w:hAnsi="宋体" w:eastAsia="宋体"/>
          <w:snapToGrid w:val="0"/>
          <w:kern w:val="0"/>
          <w:sz w:val="24"/>
          <w:szCs w:val="24"/>
          <w:u w:val="single"/>
        </w:rPr>
        <w:t xml:space="preserve"> </w:t>
      </w:r>
      <w:r>
        <w:rPr>
          <w:rFonts w:ascii="宋体" w:hAnsi="宋体" w:eastAsia="宋体"/>
          <w:snapToGrid w:val="0"/>
          <w:kern w:val="0"/>
          <w:sz w:val="24"/>
          <w:szCs w:val="24"/>
        </w:rPr>
        <w:t>采购活动，提供的</w:t>
      </w:r>
      <w:r>
        <w:rPr>
          <w:rFonts w:hint="eastAsia" w:ascii="宋体" w:hAnsi="宋体" w:eastAsia="宋体"/>
          <w:snapToGrid w:val="0"/>
          <w:kern w:val="0"/>
          <w:sz w:val="24"/>
          <w:szCs w:val="24"/>
        </w:rPr>
        <w:t>服务</w:t>
      </w:r>
      <w:r>
        <w:rPr>
          <w:rFonts w:ascii="宋体" w:hAnsi="宋体" w:eastAsia="宋体"/>
          <w:snapToGrid w:val="0"/>
          <w:kern w:val="0"/>
          <w:sz w:val="24"/>
          <w:szCs w:val="24"/>
        </w:rPr>
        <w:t>全部由符合政策要求的</w:t>
      </w:r>
      <w:r>
        <w:rPr>
          <w:rFonts w:hint="eastAsia" w:ascii="宋体" w:hAnsi="宋体" w:eastAsia="宋体"/>
          <w:snapToGrid w:val="0"/>
          <w:kern w:val="0"/>
          <w:sz w:val="24"/>
          <w:szCs w:val="24"/>
        </w:rPr>
        <w:t>中小</w:t>
      </w:r>
      <w:r>
        <w:rPr>
          <w:rFonts w:ascii="宋体" w:hAnsi="宋体" w:eastAsia="宋体"/>
          <w:snapToGrid w:val="0"/>
          <w:kern w:val="0"/>
          <w:sz w:val="24"/>
          <w:szCs w:val="24"/>
        </w:rPr>
        <w:t>企业</w:t>
      </w:r>
      <w:r>
        <w:rPr>
          <w:rFonts w:hint="eastAsia" w:ascii="宋体" w:hAnsi="宋体" w:eastAsia="宋体"/>
          <w:snapToGrid w:val="0"/>
          <w:kern w:val="0"/>
          <w:sz w:val="24"/>
          <w:szCs w:val="24"/>
        </w:rPr>
        <w:t>承接</w:t>
      </w:r>
      <w:r>
        <w:rPr>
          <w:rFonts w:ascii="宋体" w:hAnsi="宋体" w:eastAsia="宋体"/>
          <w:snapToGrid w:val="0"/>
          <w:kern w:val="0"/>
          <w:sz w:val="24"/>
          <w:szCs w:val="24"/>
        </w:rPr>
        <w:t>。</w:t>
      </w:r>
      <w:r>
        <w:rPr>
          <w:rFonts w:hint="eastAsia" w:ascii="宋体" w:hAnsi="宋体" w:eastAsia="宋体"/>
          <w:snapToGrid w:val="0"/>
          <w:kern w:val="0"/>
          <w:sz w:val="24"/>
          <w:szCs w:val="24"/>
        </w:rPr>
        <w:t>根据《工业和信息化部、国家统计局、国家发展和改革委员会、财政部关于印发中小企业划型标准规定的通知》（工信部联企业﹝2011﹞300号）的规定，</w:t>
      </w:r>
      <w:r>
        <w:rPr>
          <w:rFonts w:ascii="宋体" w:hAnsi="宋体" w:eastAsia="宋体"/>
          <w:snapToGrid w:val="0"/>
          <w:kern w:val="0"/>
          <w:sz w:val="24"/>
          <w:szCs w:val="24"/>
        </w:rPr>
        <w:t>相关企业的具体情况如下：</w:t>
      </w:r>
    </w:p>
    <w:p w14:paraId="0CD943D8">
      <w:pPr>
        <w:pStyle w:val="60"/>
        <w:tabs>
          <w:tab w:val="left" w:pos="1184"/>
          <w:tab w:val="left" w:pos="1384"/>
          <w:tab w:val="left" w:pos="4562"/>
          <w:tab w:val="left" w:pos="6803"/>
        </w:tabs>
        <w:autoSpaceDE w:val="0"/>
        <w:autoSpaceDN w:val="0"/>
        <w:spacing w:line="360" w:lineRule="auto"/>
        <w:ind w:firstLine="480"/>
        <w:rPr>
          <w:rFonts w:hint="eastAsia" w:ascii="宋体" w:hAnsi="宋体"/>
          <w:snapToGrid w:val="0"/>
          <w:kern w:val="0"/>
          <w:sz w:val="24"/>
          <w:szCs w:val="24"/>
        </w:rPr>
      </w:pPr>
      <w:r>
        <w:rPr>
          <w:rFonts w:hint="eastAsia" w:ascii="宋体" w:hAnsi="宋体"/>
          <w:snapToGrid w:val="0"/>
          <w:kern w:val="0"/>
          <w:sz w:val="24"/>
          <w:szCs w:val="24"/>
        </w:rPr>
        <w:t>1、</w:t>
      </w:r>
      <w:r>
        <w:rPr>
          <w:rFonts w:ascii="宋体" w:hAnsi="宋体"/>
          <w:snapToGrid w:val="0"/>
          <w:kern w:val="0"/>
          <w:sz w:val="24"/>
          <w:szCs w:val="24"/>
          <w:u w:val="single"/>
        </w:rPr>
        <w:t xml:space="preserve">  </w:t>
      </w:r>
      <w:r>
        <w:rPr>
          <w:rFonts w:hint="eastAsia" w:ascii="宋体" w:hAnsi="宋体"/>
          <w:snapToGrid w:val="0"/>
          <w:kern w:val="0"/>
          <w:sz w:val="24"/>
          <w:szCs w:val="24"/>
          <w:u w:val="single"/>
        </w:rPr>
        <w:t>[</w:t>
      </w:r>
      <w:r>
        <w:rPr>
          <w:rFonts w:ascii="宋体" w:hAnsi="宋体"/>
          <w:snapToGrid w:val="0"/>
          <w:kern w:val="0"/>
          <w:sz w:val="24"/>
          <w:szCs w:val="24"/>
          <w:u w:val="single"/>
        </w:rPr>
        <w:t xml:space="preserve">标的名称]  </w:t>
      </w:r>
      <w:r>
        <w:rPr>
          <w:rFonts w:ascii="宋体" w:hAnsi="宋体"/>
          <w:snapToGrid w:val="0"/>
          <w:kern w:val="0"/>
          <w:sz w:val="24"/>
          <w:szCs w:val="24"/>
        </w:rPr>
        <w:t>，属于</w:t>
      </w:r>
      <w:r>
        <w:rPr>
          <w:rFonts w:hint="eastAsia" w:ascii="宋体" w:hAnsi="宋体"/>
          <w:snapToGrid w:val="0"/>
          <w:kern w:val="0"/>
          <w:sz w:val="24"/>
          <w:szCs w:val="24"/>
          <w:u w:val="single"/>
        </w:rPr>
        <w:t xml:space="preserve"> </w:t>
      </w:r>
      <w:r>
        <w:rPr>
          <w:rFonts w:ascii="宋体" w:hAnsi="宋体"/>
          <w:snapToGrid w:val="0"/>
          <w:kern w:val="0"/>
          <w:sz w:val="24"/>
          <w:szCs w:val="24"/>
          <w:u w:val="single"/>
        </w:rPr>
        <w:t>[</w:t>
      </w:r>
      <w:r>
        <w:rPr>
          <w:rFonts w:hint="eastAsia" w:ascii="宋体" w:hAnsi="宋体"/>
          <w:snapToGrid w:val="0"/>
          <w:kern w:val="0"/>
          <w:sz w:val="24"/>
          <w:szCs w:val="24"/>
          <w:u w:val="single"/>
        </w:rPr>
        <w:t>采购文件中明确的所属行业</w:t>
      </w:r>
      <w:r>
        <w:rPr>
          <w:rFonts w:ascii="宋体" w:hAnsi="宋体"/>
          <w:snapToGrid w:val="0"/>
          <w:kern w:val="0"/>
          <w:sz w:val="24"/>
          <w:szCs w:val="24"/>
          <w:u w:val="single"/>
        </w:rPr>
        <w:t xml:space="preserve">] </w:t>
      </w:r>
      <w:r>
        <w:rPr>
          <w:rFonts w:ascii="宋体" w:hAnsi="宋体"/>
          <w:snapToGrid w:val="0"/>
          <w:kern w:val="0"/>
          <w:sz w:val="24"/>
          <w:szCs w:val="24"/>
        </w:rPr>
        <w:t>行业；</w:t>
      </w:r>
      <w:r>
        <w:rPr>
          <w:rFonts w:hint="eastAsia" w:ascii="宋体" w:hAnsi="宋体"/>
          <w:snapToGrid w:val="0"/>
          <w:kern w:val="0"/>
          <w:sz w:val="24"/>
          <w:szCs w:val="24"/>
        </w:rPr>
        <w:t>承接企业</w:t>
      </w:r>
      <w:r>
        <w:rPr>
          <w:rFonts w:ascii="宋体" w:hAnsi="宋体"/>
          <w:snapToGrid w:val="0"/>
          <w:kern w:val="0"/>
          <w:sz w:val="24"/>
          <w:szCs w:val="24"/>
        </w:rPr>
        <w:t>为</w:t>
      </w:r>
      <w:r>
        <w:rPr>
          <w:rFonts w:ascii="宋体" w:hAnsi="宋体"/>
          <w:snapToGrid w:val="0"/>
          <w:kern w:val="0"/>
          <w:sz w:val="24"/>
          <w:szCs w:val="24"/>
          <w:u w:val="single"/>
        </w:rPr>
        <w:t>[企业名称</w:t>
      </w:r>
      <w:r>
        <w:rPr>
          <w:rFonts w:hint="eastAsia" w:ascii="宋体" w:hAnsi="宋体"/>
          <w:snapToGrid w:val="0"/>
          <w:kern w:val="0"/>
          <w:sz w:val="24"/>
          <w:szCs w:val="24"/>
          <w:u w:val="single"/>
        </w:rPr>
        <w:t>]</w:t>
      </w:r>
      <w:r>
        <w:rPr>
          <w:rFonts w:ascii="宋体" w:hAnsi="宋体"/>
          <w:snapToGrid w:val="0"/>
          <w:kern w:val="0"/>
          <w:sz w:val="24"/>
          <w:szCs w:val="24"/>
          <w:u w:val="single"/>
        </w:rPr>
        <w:t xml:space="preserve"> </w:t>
      </w:r>
      <w:r>
        <w:rPr>
          <w:rFonts w:ascii="宋体" w:hAnsi="宋体"/>
          <w:snapToGrid w:val="0"/>
          <w:kern w:val="0"/>
          <w:sz w:val="24"/>
          <w:szCs w:val="24"/>
        </w:rPr>
        <w:t>，从业人员</w:t>
      </w:r>
      <w:r>
        <w:rPr>
          <w:rFonts w:ascii="宋体" w:hAnsi="宋体"/>
          <w:snapToGrid w:val="0"/>
          <w:kern w:val="0"/>
          <w:sz w:val="24"/>
          <w:szCs w:val="24"/>
          <w:u w:val="single"/>
        </w:rPr>
        <w:t xml:space="preserve">  </w:t>
      </w:r>
      <w:r>
        <w:rPr>
          <w:rFonts w:ascii="宋体" w:hAnsi="宋体"/>
          <w:snapToGrid w:val="0"/>
          <w:kern w:val="0"/>
          <w:sz w:val="24"/>
          <w:szCs w:val="24"/>
        </w:rPr>
        <w:t>人，营业收入为</w:t>
      </w:r>
      <w:r>
        <w:rPr>
          <w:rFonts w:ascii="宋体" w:hAnsi="宋体"/>
          <w:snapToGrid w:val="0"/>
          <w:kern w:val="0"/>
          <w:sz w:val="24"/>
          <w:szCs w:val="24"/>
          <w:u w:val="single"/>
        </w:rPr>
        <w:t xml:space="preserve">   </w:t>
      </w:r>
      <w:r>
        <w:rPr>
          <w:rFonts w:ascii="宋体" w:hAnsi="宋体"/>
          <w:snapToGrid w:val="0"/>
          <w:kern w:val="0"/>
          <w:sz w:val="24"/>
          <w:szCs w:val="24"/>
        </w:rPr>
        <w:t>万元，资产总额为</w:t>
      </w:r>
      <w:r>
        <w:rPr>
          <w:rFonts w:ascii="宋体" w:hAnsi="宋体"/>
          <w:snapToGrid w:val="0"/>
          <w:kern w:val="0"/>
          <w:sz w:val="24"/>
          <w:szCs w:val="24"/>
          <w:u w:val="single"/>
        </w:rPr>
        <w:t xml:space="preserve">    </w:t>
      </w:r>
      <w:r>
        <w:rPr>
          <w:rFonts w:ascii="宋体" w:hAnsi="宋体"/>
          <w:snapToGrid w:val="0"/>
          <w:kern w:val="0"/>
          <w:sz w:val="24"/>
          <w:szCs w:val="24"/>
        </w:rPr>
        <w:t>万元，属于</w:t>
      </w:r>
      <w:r>
        <w:rPr>
          <w:rFonts w:ascii="宋体" w:hAnsi="宋体"/>
          <w:snapToGrid w:val="0"/>
          <w:kern w:val="0"/>
          <w:sz w:val="24"/>
          <w:szCs w:val="24"/>
          <w:u w:val="single"/>
        </w:rPr>
        <w:sym w:font="Wingdings 2" w:char="F02A"/>
      </w:r>
      <w:r>
        <w:rPr>
          <w:rFonts w:hint="eastAsia" w:ascii="宋体" w:hAnsi="宋体"/>
          <w:snapToGrid w:val="0"/>
          <w:kern w:val="0"/>
          <w:sz w:val="24"/>
          <w:szCs w:val="24"/>
          <w:u w:val="single"/>
        </w:rPr>
        <w:t>中</w:t>
      </w:r>
      <w:r>
        <w:rPr>
          <w:rFonts w:ascii="宋体" w:hAnsi="宋体"/>
          <w:snapToGrid w:val="0"/>
          <w:kern w:val="0"/>
          <w:sz w:val="24"/>
          <w:szCs w:val="24"/>
          <w:u w:val="single"/>
        </w:rPr>
        <w:t>型企业</w:t>
      </w:r>
      <w:r>
        <w:rPr>
          <w:rFonts w:hint="eastAsia" w:ascii="宋体" w:hAnsi="宋体"/>
          <w:snapToGrid w:val="0"/>
          <w:kern w:val="0"/>
          <w:sz w:val="24"/>
          <w:szCs w:val="24"/>
          <w:u w:val="single"/>
        </w:rPr>
        <w:t xml:space="preserve"> </w:t>
      </w:r>
      <w:r>
        <w:rPr>
          <w:rFonts w:ascii="宋体" w:hAnsi="宋体"/>
          <w:snapToGrid w:val="0"/>
          <w:kern w:val="0"/>
          <w:sz w:val="24"/>
          <w:szCs w:val="24"/>
          <w:u w:val="single"/>
        </w:rPr>
        <w:t xml:space="preserve">   </w:t>
      </w:r>
      <w:r>
        <w:rPr>
          <w:rFonts w:ascii="宋体" w:hAnsi="宋体"/>
          <w:snapToGrid w:val="0"/>
          <w:kern w:val="0"/>
          <w:sz w:val="24"/>
          <w:szCs w:val="24"/>
          <w:u w:val="single"/>
        </w:rPr>
        <w:sym w:font="Wingdings 2" w:char="F02A"/>
      </w:r>
      <w:r>
        <w:rPr>
          <w:rFonts w:ascii="宋体" w:hAnsi="宋体"/>
          <w:snapToGrid w:val="0"/>
          <w:kern w:val="0"/>
          <w:sz w:val="24"/>
          <w:szCs w:val="24"/>
          <w:u w:val="single"/>
        </w:rPr>
        <w:t>小型企业</w:t>
      </w:r>
      <w:r>
        <w:rPr>
          <w:rFonts w:hint="eastAsia" w:ascii="宋体" w:hAnsi="宋体"/>
          <w:snapToGrid w:val="0"/>
          <w:kern w:val="0"/>
          <w:sz w:val="24"/>
          <w:szCs w:val="24"/>
          <w:u w:val="single"/>
        </w:rPr>
        <w:t xml:space="preserve"> </w:t>
      </w:r>
      <w:r>
        <w:rPr>
          <w:rFonts w:ascii="宋体" w:hAnsi="宋体"/>
          <w:snapToGrid w:val="0"/>
          <w:kern w:val="0"/>
          <w:sz w:val="24"/>
          <w:szCs w:val="24"/>
          <w:u w:val="single"/>
        </w:rPr>
        <w:t xml:space="preserve">    </w:t>
      </w:r>
      <w:r>
        <w:rPr>
          <w:rFonts w:ascii="宋体" w:hAnsi="宋体"/>
          <w:snapToGrid w:val="0"/>
          <w:kern w:val="0"/>
          <w:sz w:val="24"/>
          <w:szCs w:val="24"/>
          <w:u w:val="single"/>
        </w:rPr>
        <w:sym w:font="Wingdings 2" w:char="F02A"/>
      </w:r>
      <w:r>
        <w:rPr>
          <w:rFonts w:ascii="宋体" w:hAnsi="宋体"/>
          <w:snapToGrid w:val="0"/>
          <w:kern w:val="0"/>
          <w:sz w:val="24"/>
          <w:szCs w:val="24"/>
          <w:u w:val="single"/>
        </w:rPr>
        <w:t>微型企业</w:t>
      </w:r>
      <w:r>
        <w:rPr>
          <w:rFonts w:hint="eastAsia" w:ascii="宋体" w:hAnsi="宋体"/>
          <w:snapToGrid w:val="0"/>
          <w:kern w:val="0"/>
          <w:sz w:val="24"/>
          <w:szCs w:val="24"/>
          <w:u w:val="single"/>
        </w:rPr>
        <w:t xml:space="preserve"> </w:t>
      </w:r>
      <w:r>
        <w:rPr>
          <w:rFonts w:ascii="宋体" w:hAnsi="宋体"/>
          <w:snapToGrid w:val="0"/>
          <w:kern w:val="0"/>
          <w:sz w:val="24"/>
          <w:szCs w:val="24"/>
          <w:u w:val="single"/>
        </w:rPr>
        <w:t xml:space="preserve"> </w:t>
      </w:r>
      <w:r>
        <w:rPr>
          <w:rFonts w:ascii="宋体" w:hAnsi="宋体"/>
          <w:snapToGrid w:val="0"/>
          <w:kern w:val="0"/>
          <w:sz w:val="24"/>
          <w:szCs w:val="24"/>
        </w:rPr>
        <w:t>；</w:t>
      </w:r>
    </w:p>
    <w:p w14:paraId="060C5F0F">
      <w:pPr>
        <w:pStyle w:val="60"/>
        <w:tabs>
          <w:tab w:val="left" w:pos="1184"/>
          <w:tab w:val="left" w:pos="1384"/>
          <w:tab w:val="left" w:pos="4562"/>
          <w:tab w:val="left" w:pos="6803"/>
        </w:tabs>
        <w:autoSpaceDE w:val="0"/>
        <w:autoSpaceDN w:val="0"/>
        <w:spacing w:line="360" w:lineRule="auto"/>
        <w:ind w:firstLine="480"/>
        <w:rPr>
          <w:rFonts w:hint="eastAsia" w:ascii="宋体" w:hAnsi="宋体"/>
          <w:snapToGrid w:val="0"/>
          <w:kern w:val="0"/>
          <w:sz w:val="24"/>
          <w:szCs w:val="24"/>
        </w:rPr>
      </w:pPr>
      <w:r>
        <w:rPr>
          <w:rFonts w:hint="eastAsia" w:ascii="宋体" w:hAnsi="宋体"/>
          <w:snapToGrid w:val="0"/>
          <w:kern w:val="0"/>
          <w:sz w:val="24"/>
          <w:szCs w:val="24"/>
        </w:rPr>
        <w:t>2、</w:t>
      </w:r>
      <w:r>
        <w:rPr>
          <w:rFonts w:ascii="宋体" w:hAnsi="宋体"/>
          <w:snapToGrid w:val="0"/>
          <w:kern w:val="0"/>
          <w:sz w:val="24"/>
          <w:szCs w:val="24"/>
          <w:u w:val="single"/>
        </w:rPr>
        <w:t xml:space="preserve">  </w:t>
      </w:r>
      <w:r>
        <w:rPr>
          <w:rFonts w:hint="eastAsia" w:ascii="宋体" w:hAnsi="宋体"/>
          <w:snapToGrid w:val="0"/>
          <w:kern w:val="0"/>
          <w:sz w:val="24"/>
          <w:szCs w:val="24"/>
          <w:u w:val="single"/>
        </w:rPr>
        <w:t>[</w:t>
      </w:r>
      <w:r>
        <w:rPr>
          <w:rFonts w:ascii="宋体" w:hAnsi="宋体"/>
          <w:snapToGrid w:val="0"/>
          <w:kern w:val="0"/>
          <w:sz w:val="24"/>
          <w:szCs w:val="24"/>
          <w:u w:val="single"/>
        </w:rPr>
        <w:t xml:space="preserve">标的名称]  </w:t>
      </w:r>
      <w:r>
        <w:rPr>
          <w:rFonts w:ascii="宋体" w:hAnsi="宋体"/>
          <w:snapToGrid w:val="0"/>
          <w:kern w:val="0"/>
          <w:sz w:val="24"/>
          <w:szCs w:val="24"/>
        </w:rPr>
        <w:t>，属于</w:t>
      </w:r>
      <w:r>
        <w:rPr>
          <w:rFonts w:hint="eastAsia" w:ascii="宋体" w:hAnsi="宋体"/>
          <w:snapToGrid w:val="0"/>
          <w:kern w:val="0"/>
          <w:sz w:val="24"/>
          <w:szCs w:val="24"/>
          <w:u w:val="single"/>
        </w:rPr>
        <w:t xml:space="preserve"> </w:t>
      </w:r>
      <w:r>
        <w:rPr>
          <w:rFonts w:ascii="宋体" w:hAnsi="宋体"/>
          <w:snapToGrid w:val="0"/>
          <w:kern w:val="0"/>
          <w:sz w:val="24"/>
          <w:szCs w:val="24"/>
          <w:u w:val="single"/>
        </w:rPr>
        <w:t>[</w:t>
      </w:r>
      <w:r>
        <w:rPr>
          <w:rFonts w:hint="eastAsia" w:ascii="宋体" w:hAnsi="宋体"/>
          <w:snapToGrid w:val="0"/>
          <w:kern w:val="0"/>
          <w:sz w:val="24"/>
          <w:szCs w:val="24"/>
          <w:u w:val="single"/>
        </w:rPr>
        <w:t>采购文件中明确的所属行业</w:t>
      </w:r>
      <w:r>
        <w:rPr>
          <w:rFonts w:ascii="宋体" w:hAnsi="宋体"/>
          <w:snapToGrid w:val="0"/>
          <w:kern w:val="0"/>
          <w:sz w:val="24"/>
          <w:szCs w:val="24"/>
          <w:u w:val="single"/>
        </w:rPr>
        <w:t xml:space="preserve">] </w:t>
      </w:r>
      <w:r>
        <w:rPr>
          <w:rFonts w:ascii="宋体" w:hAnsi="宋体"/>
          <w:snapToGrid w:val="0"/>
          <w:kern w:val="0"/>
          <w:sz w:val="24"/>
          <w:szCs w:val="24"/>
        </w:rPr>
        <w:t>行业；</w:t>
      </w:r>
      <w:r>
        <w:rPr>
          <w:rFonts w:hint="eastAsia" w:ascii="宋体" w:hAnsi="宋体"/>
          <w:snapToGrid w:val="0"/>
          <w:kern w:val="0"/>
          <w:sz w:val="24"/>
          <w:szCs w:val="24"/>
        </w:rPr>
        <w:t>承接企业</w:t>
      </w:r>
      <w:r>
        <w:rPr>
          <w:rFonts w:ascii="宋体" w:hAnsi="宋体"/>
          <w:snapToGrid w:val="0"/>
          <w:kern w:val="0"/>
          <w:sz w:val="24"/>
          <w:szCs w:val="24"/>
        </w:rPr>
        <w:t>为</w:t>
      </w:r>
      <w:r>
        <w:rPr>
          <w:rFonts w:ascii="宋体" w:hAnsi="宋体"/>
          <w:snapToGrid w:val="0"/>
          <w:kern w:val="0"/>
          <w:sz w:val="24"/>
          <w:szCs w:val="24"/>
          <w:u w:val="single"/>
        </w:rPr>
        <w:t>[企业名称</w:t>
      </w:r>
      <w:r>
        <w:rPr>
          <w:rFonts w:hint="eastAsia" w:ascii="宋体" w:hAnsi="宋体"/>
          <w:snapToGrid w:val="0"/>
          <w:kern w:val="0"/>
          <w:sz w:val="24"/>
          <w:szCs w:val="24"/>
          <w:u w:val="single"/>
        </w:rPr>
        <w:t>]</w:t>
      </w:r>
      <w:r>
        <w:rPr>
          <w:rFonts w:ascii="宋体" w:hAnsi="宋体"/>
          <w:snapToGrid w:val="0"/>
          <w:kern w:val="0"/>
          <w:sz w:val="24"/>
          <w:szCs w:val="24"/>
          <w:u w:val="single"/>
        </w:rPr>
        <w:t xml:space="preserve"> </w:t>
      </w:r>
      <w:r>
        <w:rPr>
          <w:rFonts w:ascii="宋体" w:hAnsi="宋体"/>
          <w:snapToGrid w:val="0"/>
          <w:kern w:val="0"/>
          <w:sz w:val="24"/>
          <w:szCs w:val="24"/>
        </w:rPr>
        <w:t>，从业人员</w:t>
      </w:r>
      <w:r>
        <w:rPr>
          <w:rFonts w:ascii="宋体" w:hAnsi="宋体"/>
          <w:snapToGrid w:val="0"/>
          <w:kern w:val="0"/>
          <w:sz w:val="24"/>
          <w:szCs w:val="24"/>
          <w:u w:val="single"/>
        </w:rPr>
        <w:t xml:space="preserve">  </w:t>
      </w:r>
      <w:r>
        <w:rPr>
          <w:rFonts w:ascii="宋体" w:hAnsi="宋体"/>
          <w:snapToGrid w:val="0"/>
          <w:kern w:val="0"/>
          <w:sz w:val="24"/>
          <w:szCs w:val="24"/>
        </w:rPr>
        <w:t>人，营业收入为</w:t>
      </w:r>
      <w:r>
        <w:rPr>
          <w:rFonts w:ascii="宋体" w:hAnsi="宋体"/>
          <w:snapToGrid w:val="0"/>
          <w:kern w:val="0"/>
          <w:sz w:val="24"/>
          <w:szCs w:val="24"/>
          <w:u w:val="single"/>
        </w:rPr>
        <w:t xml:space="preserve">   </w:t>
      </w:r>
      <w:r>
        <w:rPr>
          <w:rFonts w:ascii="宋体" w:hAnsi="宋体"/>
          <w:snapToGrid w:val="0"/>
          <w:kern w:val="0"/>
          <w:sz w:val="24"/>
          <w:szCs w:val="24"/>
        </w:rPr>
        <w:t>万元，资产总额为</w:t>
      </w:r>
      <w:r>
        <w:rPr>
          <w:rFonts w:ascii="宋体" w:hAnsi="宋体"/>
          <w:snapToGrid w:val="0"/>
          <w:kern w:val="0"/>
          <w:sz w:val="24"/>
          <w:szCs w:val="24"/>
          <w:u w:val="single"/>
        </w:rPr>
        <w:t xml:space="preserve">    </w:t>
      </w:r>
      <w:r>
        <w:rPr>
          <w:rFonts w:ascii="宋体" w:hAnsi="宋体"/>
          <w:snapToGrid w:val="0"/>
          <w:kern w:val="0"/>
          <w:sz w:val="24"/>
          <w:szCs w:val="24"/>
        </w:rPr>
        <w:t>万元，属于</w:t>
      </w:r>
      <w:r>
        <w:rPr>
          <w:rFonts w:ascii="宋体" w:hAnsi="宋体"/>
          <w:snapToGrid w:val="0"/>
          <w:kern w:val="0"/>
          <w:sz w:val="24"/>
          <w:szCs w:val="24"/>
          <w:u w:val="single"/>
        </w:rPr>
        <w:sym w:font="Wingdings 2" w:char="F02A"/>
      </w:r>
      <w:r>
        <w:rPr>
          <w:rFonts w:hint="eastAsia" w:ascii="宋体" w:hAnsi="宋体"/>
          <w:snapToGrid w:val="0"/>
          <w:kern w:val="0"/>
          <w:sz w:val="24"/>
          <w:szCs w:val="24"/>
          <w:u w:val="single"/>
        </w:rPr>
        <w:t>中</w:t>
      </w:r>
      <w:r>
        <w:rPr>
          <w:rFonts w:ascii="宋体" w:hAnsi="宋体"/>
          <w:snapToGrid w:val="0"/>
          <w:kern w:val="0"/>
          <w:sz w:val="24"/>
          <w:szCs w:val="24"/>
          <w:u w:val="single"/>
        </w:rPr>
        <w:t>型企业</w:t>
      </w:r>
      <w:r>
        <w:rPr>
          <w:rFonts w:hint="eastAsia" w:ascii="宋体" w:hAnsi="宋体"/>
          <w:snapToGrid w:val="0"/>
          <w:kern w:val="0"/>
          <w:sz w:val="24"/>
          <w:szCs w:val="24"/>
          <w:u w:val="single"/>
        </w:rPr>
        <w:t xml:space="preserve"> </w:t>
      </w:r>
      <w:r>
        <w:rPr>
          <w:rFonts w:ascii="宋体" w:hAnsi="宋体"/>
          <w:snapToGrid w:val="0"/>
          <w:kern w:val="0"/>
          <w:sz w:val="24"/>
          <w:szCs w:val="24"/>
          <w:u w:val="single"/>
        </w:rPr>
        <w:t xml:space="preserve">   </w:t>
      </w:r>
      <w:r>
        <w:rPr>
          <w:rFonts w:ascii="宋体" w:hAnsi="宋体"/>
          <w:snapToGrid w:val="0"/>
          <w:kern w:val="0"/>
          <w:sz w:val="24"/>
          <w:szCs w:val="24"/>
          <w:u w:val="single"/>
        </w:rPr>
        <w:sym w:font="Wingdings 2" w:char="F02A"/>
      </w:r>
      <w:r>
        <w:rPr>
          <w:rFonts w:ascii="宋体" w:hAnsi="宋体"/>
          <w:snapToGrid w:val="0"/>
          <w:kern w:val="0"/>
          <w:sz w:val="24"/>
          <w:szCs w:val="24"/>
          <w:u w:val="single"/>
        </w:rPr>
        <w:t>小型企业</w:t>
      </w:r>
      <w:r>
        <w:rPr>
          <w:rFonts w:hint="eastAsia" w:ascii="宋体" w:hAnsi="宋体"/>
          <w:snapToGrid w:val="0"/>
          <w:kern w:val="0"/>
          <w:sz w:val="24"/>
          <w:szCs w:val="24"/>
          <w:u w:val="single"/>
        </w:rPr>
        <w:t xml:space="preserve"> </w:t>
      </w:r>
      <w:r>
        <w:rPr>
          <w:rFonts w:ascii="宋体" w:hAnsi="宋体"/>
          <w:snapToGrid w:val="0"/>
          <w:kern w:val="0"/>
          <w:sz w:val="24"/>
          <w:szCs w:val="24"/>
          <w:u w:val="single"/>
        </w:rPr>
        <w:t xml:space="preserve">    </w:t>
      </w:r>
      <w:r>
        <w:rPr>
          <w:rFonts w:ascii="宋体" w:hAnsi="宋体"/>
          <w:snapToGrid w:val="0"/>
          <w:kern w:val="0"/>
          <w:sz w:val="24"/>
          <w:szCs w:val="24"/>
          <w:u w:val="single"/>
        </w:rPr>
        <w:sym w:font="Wingdings 2" w:char="F02A"/>
      </w:r>
      <w:r>
        <w:rPr>
          <w:rFonts w:ascii="宋体" w:hAnsi="宋体"/>
          <w:snapToGrid w:val="0"/>
          <w:kern w:val="0"/>
          <w:sz w:val="24"/>
          <w:szCs w:val="24"/>
          <w:u w:val="single"/>
        </w:rPr>
        <w:t>微型企业</w:t>
      </w:r>
      <w:r>
        <w:rPr>
          <w:rFonts w:hint="eastAsia" w:ascii="宋体" w:hAnsi="宋体"/>
          <w:snapToGrid w:val="0"/>
          <w:kern w:val="0"/>
          <w:sz w:val="24"/>
          <w:szCs w:val="24"/>
          <w:u w:val="single"/>
        </w:rPr>
        <w:t xml:space="preserve"> </w:t>
      </w:r>
      <w:r>
        <w:rPr>
          <w:rFonts w:ascii="宋体" w:hAnsi="宋体"/>
          <w:snapToGrid w:val="0"/>
          <w:kern w:val="0"/>
          <w:sz w:val="24"/>
          <w:szCs w:val="24"/>
          <w:u w:val="single"/>
        </w:rPr>
        <w:t xml:space="preserve"> </w:t>
      </w:r>
      <w:r>
        <w:rPr>
          <w:rFonts w:ascii="宋体" w:hAnsi="宋体"/>
          <w:snapToGrid w:val="0"/>
          <w:kern w:val="0"/>
          <w:sz w:val="24"/>
          <w:szCs w:val="24"/>
        </w:rPr>
        <w:t>；</w:t>
      </w:r>
    </w:p>
    <w:p w14:paraId="23A76EA9">
      <w:pPr>
        <w:pStyle w:val="12"/>
        <w:spacing w:line="360" w:lineRule="auto"/>
        <w:ind w:firstLine="480" w:firstLineChars="200"/>
        <w:rPr>
          <w:rFonts w:hint="eastAsia" w:ascii="宋体" w:hAnsi="宋体" w:eastAsia="宋体"/>
          <w:snapToGrid w:val="0"/>
          <w:kern w:val="0"/>
          <w:sz w:val="24"/>
          <w:szCs w:val="24"/>
        </w:rPr>
      </w:pPr>
      <w:r>
        <w:rPr>
          <w:rFonts w:ascii="宋体" w:hAnsi="宋体" w:eastAsia="宋体"/>
          <w:snapToGrid w:val="0"/>
          <w:kern w:val="0"/>
          <w:sz w:val="24"/>
          <w:szCs w:val="24"/>
        </w:rPr>
        <w:t>……</w:t>
      </w:r>
    </w:p>
    <w:p w14:paraId="694D0350">
      <w:pPr>
        <w:pStyle w:val="12"/>
        <w:spacing w:line="360" w:lineRule="auto"/>
        <w:ind w:firstLine="480" w:firstLineChars="200"/>
        <w:rPr>
          <w:rFonts w:hint="eastAsia" w:ascii="宋体" w:hAnsi="宋体" w:eastAsia="宋体"/>
          <w:snapToGrid w:val="0"/>
          <w:kern w:val="0"/>
          <w:sz w:val="24"/>
          <w:szCs w:val="24"/>
        </w:rPr>
      </w:pPr>
      <w:r>
        <w:rPr>
          <w:rFonts w:ascii="宋体" w:hAnsi="宋体" w:eastAsia="宋体"/>
          <w:snapToGrid w:val="0"/>
          <w:kern w:val="0"/>
          <w:sz w:val="24"/>
          <w:szCs w:val="24"/>
        </w:rPr>
        <w:t>以上企业，不属于大企业的分支机构，不存在控股股东为大企业的情形，也不存在与大企业的负责人为同一人的情形。</w:t>
      </w:r>
    </w:p>
    <w:p w14:paraId="4A84FD90">
      <w:pPr>
        <w:pStyle w:val="12"/>
        <w:spacing w:line="360" w:lineRule="auto"/>
        <w:ind w:firstLine="480" w:firstLineChars="200"/>
        <w:rPr>
          <w:rFonts w:hint="eastAsia" w:ascii="宋体" w:hAnsi="宋体" w:eastAsia="宋体"/>
          <w:snapToGrid w:val="0"/>
          <w:kern w:val="0"/>
          <w:sz w:val="24"/>
          <w:szCs w:val="24"/>
        </w:rPr>
      </w:pPr>
      <w:r>
        <w:rPr>
          <w:rFonts w:ascii="宋体" w:hAnsi="宋体" w:eastAsia="宋体"/>
          <w:snapToGrid w:val="0"/>
          <w:kern w:val="0"/>
          <w:sz w:val="24"/>
          <w:szCs w:val="24"/>
        </w:rPr>
        <w:t>本企业对上述声明内容的真实性负责。如有虚假，将依法承担相应责任。</w:t>
      </w:r>
    </w:p>
    <w:p w14:paraId="6B004D8F">
      <w:pPr>
        <w:spacing w:line="360" w:lineRule="auto"/>
        <w:ind w:firstLine="480" w:firstLineChars="200"/>
        <w:rPr>
          <w:rFonts w:hint="eastAsia" w:ascii="宋体" w:hAnsi="宋体"/>
          <w:b/>
          <w:bCs/>
          <w:sz w:val="24"/>
        </w:rPr>
      </w:pPr>
      <w:r>
        <w:rPr>
          <w:rFonts w:hint="eastAsia" w:ascii="宋体" w:hAnsi="宋体"/>
          <w:b/>
          <w:bCs/>
          <w:sz w:val="24"/>
        </w:rPr>
        <w:t>备注：</w:t>
      </w:r>
    </w:p>
    <w:p w14:paraId="05AC5566">
      <w:pPr>
        <w:pStyle w:val="12"/>
        <w:spacing w:line="360" w:lineRule="auto"/>
        <w:ind w:firstLine="480" w:firstLineChars="200"/>
        <w:rPr>
          <w:rFonts w:hint="eastAsia" w:ascii="宋体" w:hAnsi="宋体" w:eastAsia="宋体"/>
          <w:snapToGrid w:val="0"/>
          <w:kern w:val="0"/>
          <w:sz w:val="24"/>
          <w:szCs w:val="24"/>
        </w:rPr>
      </w:pPr>
      <w:r>
        <w:rPr>
          <w:rFonts w:hint="eastAsia" w:ascii="宋体" w:hAnsi="宋体" w:eastAsia="宋体"/>
          <w:snapToGrid w:val="0"/>
          <w:kern w:val="0"/>
          <w:sz w:val="24"/>
          <w:szCs w:val="24"/>
        </w:rPr>
        <w:t>（1）从业人员、营业收入、资产总额填报上一年度数据，无上一年度数据的新成立企业可不填报。</w:t>
      </w:r>
    </w:p>
    <w:p w14:paraId="3F54D3A4">
      <w:pPr>
        <w:pStyle w:val="12"/>
        <w:spacing w:line="360" w:lineRule="auto"/>
        <w:ind w:firstLine="480" w:firstLineChars="200"/>
        <w:rPr>
          <w:rFonts w:hint="eastAsia" w:ascii="宋体" w:hAnsi="宋体" w:eastAsia="宋体"/>
          <w:snapToGrid w:val="0"/>
          <w:kern w:val="0"/>
          <w:sz w:val="24"/>
          <w:szCs w:val="24"/>
        </w:rPr>
      </w:pPr>
      <w:r>
        <w:rPr>
          <w:rFonts w:hint="eastAsia" w:ascii="宋体" w:hAnsi="宋体" w:eastAsia="宋体"/>
          <w:snapToGrid w:val="0"/>
          <w:kern w:val="0"/>
          <w:sz w:val="24"/>
          <w:szCs w:val="24"/>
        </w:rPr>
        <w:t>（2）上述“相关企业”含</w:t>
      </w:r>
      <w:r>
        <w:rPr>
          <w:rFonts w:ascii="宋体" w:hAnsi="宋体" w:eastAsia="宋体"/>
          <w:snapToGrid w:val="0"/>
          <w:kern w:val="0"/>
          <w:sz w:val="24"/>
          <w:szCs w:val="24"/>
        </w:rPr>
        <w:t>联合体中的</w:t>
      </w:r>
      <w:r>
        <w:rPr>
          <w:rFonts w:hint="eastAsia" w:ascii="宋体" w:hAnsi="宋体" w:eastAsia="宋体"/>
          <w:snapToGrid w:val="0"/>
          <w:kern w:val="0"/>
          <w:sz w:val="24"/>
          <w:szCs w:val="24"/>
        </w:rPr>
        <w:t>中小</w:t>
      </w:r>
      <w:r>
        <w:rPr>
          <w:rFonts w:ascii="宋体" w:hAnsi="宋体" w:eastAsia="宋体"/>
          <w:snapToGrid w:val="0"/>
          <w:kern w:val="0"/>
          <w:sz w:val="24"/>
          <w:szCs w:val="24"/>
        </w:rPr>
        <w:t>企业、签订分包意向协议的</w:t>
      </w:r>
      <w:r>
        <w:rPr>
          <w:rFonts w:hint="eastAsia" w:ascii="宋体" w:hAnsi="宋体" w:eastAsia="宋体"/>
          <w:snapToGrid w:val="0"/>
          <w:kern w:val="0"/>
          <w:sz w:val="24"/>
          <w:szCs w:val="24"/>
        </w:rPr>
        <w:t>中小</w:t>
      </w:r>
      <w:r>
        <w:rPr>
          <w:rFonts w:ascii="宋体" w:hAnsi="宋体" w:eastAsia="宋体"/>
          <w:snapToGrid w:val="0"/>
          <w:kern w:val="0"/>
          <w:sz w:val="24"/>
          <w:szCs w:val="24"/>
        </w:rPr>
        <w:t>企业</w:t>
      </w:r>
      <w:r>
        <w:rPr>
          <w:rFonts w:hint="eastAsia" w:ascii="宋体" w:hAnsi="宋体" w:eastAsia="宋体"/>
          <w:snapToGrid w:val="0"/>
          <w:kern w:val="0"/>
          <w:sz w:val="24"/>
          <w:szCs w:val="24"/>
        </w:rPr>
        <w:t>；</w:t>
      </w:r>
    </w:p>
    <w:p w14:paraId="34480D26">
      <w:pPr>
        <w:pStyle w:val="12"/>
        <w:spacing w:line="360" w:lineRule="auto"/>
        <w:ind w:firstLine="480" w:firstLineChars="200"/>
        <w:rPr>
          <w:rFonts w:hint="eastAsia" w:ascii="宋体" w:hAnsi="宋体" w:eastAsia="宋体"/>
          <w:snapToGrid w:val="0"/>
          <w:kern w:val="0"/>
          <w:sz w:val="24"/>
          <w:szCs w:val="24"/>
        </w:rPr>
      </w:pPr>
      <w:r>
        <w:rPr>
          <w:rFonts w:hint="eastAsia" w:ascii="宋体" w:hAnsi="宋体" w:eastAsia="宋体"/>
          <w:snapToGrid w:val="0"/>
          <w:kern w:val="0"/>
          <w:sz w:val="24"/>
          <w:szCs w:val="24"/>
        </w:rPr>
        <w:t>（3）供应商如未按要求提供此声明函，报价将不做相应扣除；成交供应商如享受本项目小微企业扶持政策的，其《中小企业声明函》将随本项目的成交结果同时公告，接受社会监督；</w:t>
      </w:r>
    </w:p>
    <w:p w14:paraId="4B2D4B16">
      <w:pPr>
        <w:tabs>
          <w:tab w:val="left" w:pos="4860"/>
        </w:tabs>
        <w:spacing w:line="360" w:lineRule="auto"/>
        <w:rPr>
          <w:rFonts w:hint="eastAsia" w:ascii="宋体" w:hAnsi="宋体"/>
          <w:sz w:val="24"/>
        </w:rPr>
      </w:pPr>
    </w:p>
    <w:p w14:paraId="23A6747E">
      <w:pPr>
        <w:tabs>
          <w:tab w:val="left" w:pos="4860"/>
        </w:tabs>
        <w:spacing w:line="360" w:lineRule="auto"/>
        <w:ind w:firstLine="480" w:firstLineChars="200"/>
        <w:rPr>
          <w:rFonts w:hint="eastAsia" w:ascii="宋体" w:hAnsi="宋体"/>
          <w:sz w:val="24"/>
        </w:rPr>
      </w:pPr>
      <w:r>
        <w:rPr>
          <w:rFonts w:hint="eastAsia" w:ascii="宋体" w:hAnsi="宋体"/>
          <w:sz w:val="24"/>
        </w:rPr>
        <w:t>供应商全称（盖章）：</w:t>
      </w:r>
    </w:p>
    <w:p w14:paraId="2B0563E1">
      <w:pPr>
        <w:tabs>
          <w:tab w:val="left" w:pos="4860"/>
        </w:tabs>
        <w:spacing w:line="360" w:lineRule="auto"/>
        <w:ind w:firstLine="480" w:firstLineChars="200"/>
        <w:rPr>
          <w:rFonts w:hint="eastAsia" w:ascii="宋体" w:hAnsi="宋体"/>
          <w:sz w:val="24"/>
        </w:rPr>
      </w:pPr>
      <w:r>
        <w:rPr>
          <w:rFonts w:hint="eastAsia" w:ascii="宋体" w:hAnsi="宋体"/>
          <w:sz w:val="24"/>
        </w:rPr>
        <w:t>日  期：</w:t>
      </w:r>
    </w:p>
    <w:p w14:paraId="43CFD606">
      <w:pPr>
        <w:tabs>
          <w:tab w:val="left" w:pos="4860"/>
        </w:tabs>
        <w:spacing w:line="360" w:lineRule="auto"/>
        <w:ind w:right="2520" w:rightChars="1200"/>
        <w:rPr>
          <w:rFonts w:hint="eastAsia" w:ascii="宋体" w:hAnsi="宋体"/>
          <w:sz w:val="24"/>
        </w:rPr>
      </w:pPr>
      <w:r>
        <w:rPr>
          <w:rFonts w:ascii="宋体" w:hAnsi="宋体"/>
          <w:sz w:val="24"/>
        </w:rPr>
        <w:br w:type="page"/>
      </w:r>
    </w:p>
    <w:p w14:paraId="0B8EBD4A">
      <w:pPr>
        <w:spacing w:line="360" w:lineRule="auto"/>
        <w:jc w:val="center"/>
        <w:rPr>
          <w:b/>
          <w:bCs/>
          <w:sz w:val="28"/>
          <w:szCs w:val="36"/>
          <w:lang w:eastAsia="zh-Hans"/>
        </w:rPr>
      </w:pPr>
      <w:r>
        <w:rPr>
          <w:rFonts w:hint="eastAsia"/>
          <w:b/>
          <w:bCs/>
          <w:sz w:val="28"/>
          <w:szCs w:val="36"/>
          <w:lang w:eastAsia="zh-Hans"/>
        </w:rPr>
        <w:t>残疾人福利性单位声明函</w:t>
      </w:r>
    </w:p>
    <w:p w14:paraId="7E008962">
      <w:pPr>
        <w:pStyle w:val="4"/>
        <w:spacing w:line="360" w:lineRule="auto"/>
        <w:ind w:firstLine="0"/>
        <w:jc w:val="center"/>
      </w:pPr>
      <w:r>
        <w:rPr>
          <w:rFonts w:hint="eastAsia"/>
          <w:b/>
          <w:bCs/>
          <w:sz w:val="24"/>
          <w:szCs w:val="24"/>
        </w:rPr>
        <w:t>（非残疾人福利性单位的磋商供应商无需提供）</w:t>
      </w:r>
    </w:p>
    <w:p w14:paraId="75A37C12">
      <w:pPr>
        <w:spacing w:line="360" w:lineRule="auto"/>
        <w:ind w:firstLine="480" w:firstLineChars="200"/>
        <w:rPr>
          <w:rFonts w:hint="eastAsia" w:ascii="宋体" w:hAnsi="宋体"/>
          <w:sz w:val="24"/>
          <w:szCs w:val="21"/>
        </w:rPr>
      </w:pPr>
    </w:p>
    <w:p w14:paraId="1BDBA7F7">
      <w:pPr>
        <w:spacing w:line="360" w:lineRule="auto"/>
        <w:ind w:firstLine="480" w:firstLineChars="200"/>
        <w:rPr>
          <w:rFonts w:hint="eastAsia" w:ascii="宋体" w:hAnsi="宋体"/>
          <w:sz w:val="24"/>
          <w:szCs w:val="21"/>
        </w:rPr>
      </w:pPr>
      <w:r>
        <w:rPr>
          <w:rFonts w:hint="eastAsia" w:ascii="宋体" w:hAnsi="宋体"/>
          <w:sz w:val="24"/>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sz w:val="24"/>
          <w:szCs w:val="21"/>
          <w:u w:val="single"/>
        </w:rPr>
        <w:t xml:space="preserve"> </w:t>
      </w:r>
      <w:r>
        <w:rPr>
          <w:rFonts w:hint="eastAsia" w:ascii="宋体" w:hAnsi="宋体"/>
          <w:snapToGrid w:val="0"/>
          <w:kern w:val="0"/>
          <w:sz w:val="24"/>
          <w:u w:val="single"/>
        </w:rPr>
        <w:t>[采购人</w:t>
      </w:r>
      <w:r>
        <w:rPr>
          <w:rFonts w:ascii="宋体" w:hAnsi="宋体"/>
          <w:snapToGrid w:val="0"/>
          <w:kern w:val="0"/>
          <w:sz w:val="24"/>
          <w:u w:val="single"/>
        </w:rPr>
        <w:t>单位名称</w:t>
      </w:r>
      <w:r>
        <w:rPr>
          <w:rFonts w:hint="eastAsia" w:ascii="宋体" w:hAnsi="宋体"/>
          <w:snapToGrid w:val="0"/>
          <w:kern w:val="0"/>
          <w:sz w:val="24"/>
          <w:u w:val="single"/>
        </w:rPr>
        <w:t>]</w:t>
      </w:r>
      <w:r>
        <w:rPr>
          <w:rFonts w:ascii="宋体" w:hAnsi="宋体"/>
          <w:sz w:val="24"/>
          <w:szCs w:val="21"/>
          <w:u w:val="single"/>
        </w:rPr>
        <w:t xml:space="preserve"> </w:t>
      </w:r>
      <w:r>
        <w:rPr>
          <w:rFonts w:hint="eastAsia" w:ascii="宋体" w:hAnsi="宋体"/>
          <w:sz w:val="24"/>
          <w:szCs w:val="21"/>
        </w:rPr>
        <w:t>单位的采购文件编号为</w:t>
      </w:r>
      <w:r>
        <w:rPr>
          <w:rFonts w:ascii="宋体" w:hAnsi="宋体"/>
          <w:sz w:val="24"/>
          <w:szCs w:val="21"/>
          <w:u w:val="single"/>
        </w:rPr>
        <w:t xml:space="preserve"> </w:t>
      </w:r>
      <w:r>
        <w:rPr>
          <w:rFonts w:ascii="宋体" w:hAnsi="宋体"/>
          <w:snapToGrid w:val="0"/>
          <w:kern w:val="0"/>
          <w:sz w:val="24"/>
          <w:u w:val="single"/>
        </w:rPr>
        <w:t xml:space="preserve"> </w:t>
      </w:r>
      <w:r>
        <w:rPr>
          <w:rFonts w:hint="eastAsia" w:ascii="宋体" w:hAnsi="宋体"/>
          <w:snapToGrid w:val="0"/>
          <w:kern w:val="0"/>
          <w:sz w:val="24"/>
          <w:u w:val="single"/>
        </w:rPr>
        <w:t xml:space="preserve">[项目编号] </w:t>
      </w:r>
      <w:r>
        <w:rPr>
          <w:rFonts w:ascii="宋体" w:hAnsi="宋体"/>
          <w:sz w:val="24"/>
          <w:szCs w:val="21"/>
          <w:u w:val="single"/>
        </w:rPr>
        <w:t xml:space="preserve"> </w:t>
      </w:r>
      <w:r>
        <w:rPr>
          <w:rFonts w:hint="eastAsia" w:ascii="宋体" w:hAnsi="宋体"/>
          <w:sz w:val="24"/>
          <w:szCs w:val="21"/>
        </w:rPr>
        <w:t>的</w:t>
      </w:r>
      <w:r>
        <w:rPr>
          <w:rFonts w:hint="eastAsia" w:ascii="宋体" w:hAnsi="宋体"/>
          <w:sz w:val="24"/>
          <w:szCs w:val="21"/>
          <w:u w:val="single"/>
        </w:rPr>
        <w:t xml:space="preserve"> </w:t>
      </w:r>
      <w:r>
        <w:rPr>
          <w:rFonts w:hint="eastAsia" w:ascii="宋体" w:hAnsi="宋体"/>
          <w:snapToGrid w:val="0"/>
          <w:kern w:val="0"/>
          <w:sz w:val="24"/>
          <w:u w:val="single"/>
        </w:rPr>
        <w:t>[项目名称]</w:t>
      </w:r>
      <w:r>
        <w:rPr>
          <w:rFonts w:hint="eastAsia" w:ascii="宋体" w:hAnsi="宋体"/>
          <w:sz w:val="24"/>
          <w:szCs w:val="21"/>
          <w:u w:val="single"/>
        </w:rPr>
        <w:t xml:space="preserve"> </w:t>
      </w:r>
      <w:r>
        <w:rPr>
          <w:rFonts w:hint="eastAsia" w:ascii="宋体" w:hAnsi="宋体"/>
          <w:sz w:val="24"/>
          <w:szCs w:val="21"/>
        </w:rPr>
        <w:t>项目采购活动提供本单位制造的货物（由本单位承担工程/提供服务），或者提供其他残疾人福利性单位</w:t>
      </w:r>
      <w:r>
        <w:rPr>
          <w:rFonts w:ascii="宋体" w:hAnsi="宋体"/>
          <w:sz w:val="24"/>
          <w:u w:val="single"/>
        </w:rPr>
        <w:t xml:space="preserve"> [</w:t>
      </w:r>
      <w:r>
        <w:rPr>
          <w:rFonts w:hint="eastAsia" w:ascii="宋体" w:hAnsi="宋体"/>
          <w:sz w:val="24"/>
          <w:u w:val="single"/>
        </w:rPr>
        <w:t>残疾人福利性单位名称]</w:t>
      </w:r>
      <w:r>
        <w:rPr>
          <w:rFonts w:ascii="宋体" w:hAnsi="宋体"/>
          <w:sz w:val="24"/>
          <w:u w:val="single"/>
        </w:rPr>
        <w:t xml:space="preserve"> </w:t>
      </w:r>
      <w:r>
        <w:rPr>
          <w:rFonts w:hint="eastAsia" w:ascii="宋体" w:hAnsi="宋体"/>
          <w:sz w:val="24"/>
          <w:szCs w:val="21"/>
        </w:rPr>
        <w:t>制造的货物（不包括使用非残疾人福利性单位注册商标的货物）。</w:t>
      </w:r>
    </w:p>
    <w:p w14:paraId="54C77816">
      <w:pPr>
        <w:spacing w:line="360" w:lineRule="auto"/>
        <w:ind w:firstLine="480" w:firstLineChars="200"/>
        <w:rPr>
          <w:rFonts w:hint="eastAsia" w:ascii="宋体" w:hAnsi="宋体"/>
          <w:sz w:val="24"/>
          <w:szCs w:val="21"/>
        </w:rPr>
      </w:pPr>
      <w:r>
        <w:rPr>
          <w:rFonts w:hint="eastAsia" w:ascii="宋体" w:hAnsi="宋体"/>
          <w:sz w:val="24"/>
          <w:szCs w:val="21"/>
        </w:rPr>
        <w:t>本单位对上述声明的真实性负责。如有虚假，将依法承担相应责任。</w:t>
      </w:r>
    </w:p>
    <w:p w14:paraId="0356B72B">
      <w:pPr>
        <w:spacing w:line="360" w:lineRule="auto"/>
        <w:ind w:firstLine="480" w:firstLineChars="200"/>
        <w:rPr>
          <w:rFonts w:hint="eastAsia" w:ascii="宋体" w:hAnsi="宋体"/>
          <w:sz w:val="24"/>
          <w:szCs w:val="21"/>
        </w:rPr>
      </w:pPr>
    </w:p>
    <w:p w14:paraId="30BD9190">
      <w:pPr>
        <w:spacing w:line="360" w:lineRule="auto"/>
        <w:ind w:firstLine="480" w:firstLineChars="200"/>
        <w:rPr>
          <w:rFonts w:hint="eastAsia" w:ascii="宋体" w:hAnsi="宋体"/>
          <w:sz w:val="24"/>
          <w:szCs w:val="21"/>
        </w:rPr>
      </w:pPr>
      <w:r>
        <w:rPr>
          <w:rFonts w:hint="eastAsia" w:ascii="宋体" w:hAnsi="宋体"/>
          <w:sz w:val="24"/>
          <w:szCs w:val="21"/>
        </w:rPr>
        <w:t>备注：供应商如未按要求提供此声明函，报价将不做相应扣除；中标供应商如享受本项目残疾人福利单位扶持政策的，其《残疾人福利性单位声明函》将随本项目的中标结果同时公告，接受社会监督；</w:t>
      </w:r>
    </w:p>
    <w:p w14:paraId="738609D7">
      <w:pPr>
        <w:spacing w:line="360" w:lineRule="auto"/>
        <w:rPr>
          <w:rFonts w:hint="eastAsia" w:ascii="宋体" w:hAnsi="宋体"/>
          <w:sz w:val="24"/>
          <w:szCs w:val="21"/>
        </w:rPr>
      </w:pPr>
    </w:p>
    <w:p w14:paraId="783476B6">
      <w:pPr>
        <w:spacing w:line="360" w:lineRule="auto"/>
        <w:rPr>
          <w:rFonts w:hint="eastAsia" w:ascii="宋体" w:hAnsi="宋体"/>
          <w:sz w:val="24"/>
          <w:szCs w:val="21"/>
        </w:rPr>
      </w:pPr>
    </w:p>
    <w:p w14:paraId="0FBB1CD4">
      <w:pPr>
        <w:tabs>
          <w:tab w:val="left" w:pos="4860"/>
        </w:tabs>
        <w:spacing w:line="360" w:lineRule="auto"/>
        <w:ind w:right="2520" w:rightChars="1200" w:firstLine="480" w:firstLineChars="200"/>
        <w:rPr>
          <w:rFonts w:hint="eastAsia" w:ascii="宋体" w:hAnsi="宋体"/>
          <w:sz w:val="24"/>
          <w:szCs w:val="21"/>
        </w:rPr>
      </w:pPr>
      <w:bookmarkStart w:id="97" w:name="_Hlk14868662"/>
      <w:r>
        <w:rPr>
          <w:rFonts w:hint="eastAsia" w:ascii="宋体" w:hAnsi="宋体"/>
          <w:sz w:val="24"/>
          <w:szCs w:val="21"/>
        </w:rPr>
        <w:t>供应商全称</w:t>
      </w:r>
      <w:bookmarkEnd w:id="97"/>
      <w:r>
        <w:rPr>
          <w:rFonts w:hint="eastAsia" w:ascii="宋体" w:hAnsi="宋体"/>
          <w:sz w:val="24"/>
          <w:szCs w:val="21"/>
        </w:rPr>
        <w:t>（盖章）：</w:t>
      </w:r>
    </w:p>
    <w:p w14:paraId="2FF3A641">
      <w:pPr>
        <w:tabs>
          <w:tab w:val="left" w:pos="4860"/>
        </w:tabs>
        <w:spacing w:line="360" w:lineRule="auto"/>
        <w:ind w:right="2520" w:rightChars="1200" w:firstLine="480" w:firstLineChars="200"/>
        <w:rPr>
          <w:rFonts w:hint="eastAsia" w:ascii="宋体" w:hAnsi="宋体"/>
          <w:sz w:val="24"/>
          <w:szCs w:val="21"/>
        </w:rPr>
      </w:pPr>
      <w:r>
        <w:rPr>
          <w:rFonts w:hint="eastAsia" w:ascii="宋体" w:hAnsi="宋体"/>
          <w:sz w:val="24"/>
          <w:szCs w:val="21"/>
        </w:rPr>
        <w:t>日  期：</w:t>
      </w:r>
    </w:p>
    <w:sectPr>
      <w:headerReference r:id="rId3" w:type="default"/>
      <w:footerReference r:id="rId4" w:type="default"/>
      <w:footerReference r:id="rId5" w:type="even"/>
      <w:pgSz w:w="11906" w:h="16838"/>
      <w:pgMar w:top="1702" w:right="1196" w:bottom="868" w:left="1259" w:header="992" w:footer="737" w:gutter="0"/>
      <w:pgNumType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Book Antiqua">
    <w:panose1 w:val="02040602050305030304"/>
    <w:charset w:val="00"/>
    <w:family w:val="roman"/>
    <w:pitch w:val="default"/>
    <w:sig w:usb0="00000287"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6FF" w:usb1="420024FF" w:usb2="02000000" w:usb3="00000000" w:csb0="2000019F" w:csb1="00000000"/>
  </w:font>
  <w:font w:name="Times New Roman Regular">
    <w:altName w:val="Times New Roman"/>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9263589"/>
      <w:docPartObj>
        <w:docPartGallery w:val="AutoText"/>
      </w:docPartObj>
    </w:sdtPr>
    <w:sdtEndPr>
      <w:rPr>
        <w:rFonts w:ascii="Times New Roman" w:hAnsi="Times New Roman"/>
        <w:sz w:val="21"/>
        <w:szCs w:val="21"/>
      </w:rPr>
    </w:sdtEndPr>
    <w:sdtContent>
      <w:p w14:paraId="47BC5427">
        <w:pPr>
          <w:pStyle w:val="22"/>
          <w:jc w:val="center"/>
          <w:rPr>
            <w:rFonts w:ascii="Times New Roman" w:hAnsi="Times New Roman"/>
            <w:sz w:val="21"/>
            <w:szCs w:val="21"/>
          </w:rPr>
        </w:pPr>
        <w:sdt>
          <w:sdtPr>
            <w:id w:val="1728636285"/>
            <w:docPartObj>
              <w:docPartGallery w:val="AutoText"/>
            </w:docPartObj>
          </w:sdtPr>
          <w:sdtEndPr>
            <w:rPr>
              <w:rFonts w:ascii="Times New Roman" w:hAnsi="Times New Roman"/>
              <w:sz w:val="21"/>
              <w:szCs w:val="21"/>
            </w:rPr>
          </w:sdtEndPr>
          <w:sdtContent>
            <w:r>
              <w:rPr>
                <w:rFonts w:ascii="Times New Roman" w:hAnsi="Times New Roman"/>
                <w:sz w:val="21"/>
                <w:szCs w:val="21"/>
              </w:rPr>
              <w:t>第</w:t>
            </w:r>
            <w:r>
              <w:rPr>
                <w:rFonts w:ascii="Times New Roman" w:hAnsi="Times New Roman"/>
                <w:sz w:val="21"/>
                <w:szCs w:val="21"/>
                <w:lang w:val="zh-CN"/>
              </w:rPr>
              <w:t xml:space="preserve"> </w:t>
            </w:r>
            <w:r>
              <w:rPr>
                <w:rFonts w:ascii="Times New Roman" w:hAnsi="Times New Roman"/>
                <w:sz w:val="21"/>
                <w:szCs w:val="21"/>
              </w:rPr>
              <w:fldChar w:fldCharType="begin"/>
            </w:r>
            <w:r>
              <w:rPr>
                <w:rFonts w:ascii="Times New Roman" w:hAnsi="Times New Roman"/>
                <w:sz w:val="21"/>
                <w:szCs w:val="21"/>
              </w:rPr>
              <w:instrText xml:space="preserve">PAGE</w:instrText>
            </w:r>
            <w:r>
              <w:rPr>
                <w:rFonts w:ascii="Times New Roman" w:hAnsi="Times New Roman"/>
                <w:sz w:val="21"/>
                <w:szCs w:val="21"/>
              </w:rPr>
              <w:fldChar w:fldCharType="separate"/>
            </w:r>
            <w:r>
              <w:rPr>
                <w:rFonts w:ascii="Times New Roman" w:hAnsi="Times New Roman"/>
                <w:sz w:val="21"/>
                <w:szCs w:val="21"/>
                <w:lang w:val="zh-CN"/>
              </w:rPr>
              <w:t>2</w:t>
            </w:r>
            <w:r>
              <w:rPr>
                <w:rFonts w:ascii="Times New Roman" w:hAnsi="Times New Roman"/>
                <w:sz w:val="21"/>
                <w:szCs w:val="21"/>
              </w:rPr>
              <w:fldChar w:fldCharType="end"/>
            </w:r>
            <w:r>
              <w:rPr>
                <w:rFonts w:ascii="Times New Roman" w:hAnsi="Times New Roman"/>
                <w:sz w:val="21"/>
                <w:szCs w:val="21"/>
                <w:lang w:val="zh-CN"/>
              </w:rPr>
              <w:t xml:space="preserve"> 页 共 </w:t>
            </w:r>
            <w:r>
              <w:rPr>
                <w:rFonts w:ascii="Times New Roman" w:hAnsi="Times New Roman"/>
                <w:sz w:val="21"/>
                <w:szCs w:val="21"/>
              </w:rPr>
              <w:fldChar w:fldCharType="begin"/>
            </w:r>
            <w:r>
              <w:rPr>
                <w:rFonts w:ascii="Times New Roman" w:hAnsi="Times New Roman"/>
                <w:sz w:val="21"/>
                <w:szCs w:val="21"/>
              </w:rPr>
              <w:instrText xml:space="preserve">NUMPAGES</w:instrText>
            </w:r>
            <w:r>
              <w:rPr>
                <w:rFonts w:ascii="Times New Roman" w:hAnsi="Times New Roman"/>
                <w:sz w:val="21"/>
                <w:szCs w:val="21"/>
              </w:rPr>
              <w:fldChar w:fldCharType="separate"/>
            </w:r>
            <w:r>
              <w:rPr>
                <w:rFonts w:ascii="Times New Roman" w:hAnsi="Times New Roman"/>
                <w:sz w:val="21"/>
                <w:szCs w:val="21"/>
                <w:lang w:val="zh-CN"/>
              </w:rPr>
              <w:t>2</w:t>
            </w:r>
            <w:r>
              <w:rPr>
                <w:rFonts w:ascii="Times New Roman" w:hAnsi="Times New Roman"/>
                <w:sz w:val="21"/>
                <w:szCs w:val="21"/>
              </w:rPr>
              <w:fldChar w:fldCharType="end"/>
            </w:r>
          </w:sdtContent>
        </w:sdt>
        <w:r>
          <w:rPr>
            <w:rFonts w:ascii="Times New Roman" w:hAnsi="Times New Roman"/>
            <w:sz w:val="21"/>
            <w:szCs w:val="21"/>
          </w:rPr>
          <w:t xml:space="preserve"> 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52804">
    <w:pPr>
      <w:pStyle w:val="22"/>
      <w:framePr w:wrap="around" w:vAnchor="text" w:hAnchor="margin" w:xAlign="center" w:y="1"/>
      <w:rPr>
        <w:rStyle w:val="39"/>
      </w:rPr>
    </w:pPr>
    <w:r>
      <w:fldChar w:fldCharType="begin"/>
    </w:r>
    <w:r>
      <w:rPr>
        <w:rStyle w:val="39"/>
      </w:rPr>
      <w:instrText xml:space="preserve">PAGE  </w:instrText>
    </w:r>
    <w:r>
      <w:fldChar w:fldCharType="separate"/>
    </w:r>
    <w:r>
      <w:rPr>
        <w:rStyle w:val="39"/>
      </w:rPr>
      <w:t>1</w:t>
    </w:r>
    <w:r>
      <w:fldChar w:fldCharType="end"/>
    </w:r>
  </w:p>
  <w:p w14:paraId="151CEC16">
    <w:pPr>
      <w:pStyle w:val="22"/>
    </w:pPr>
  </w:p>
  <w:p w14:paraId="76DFC43A"/>
  <w:p w14:paraId="2FA3B9B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F8B9E">
    <w:pPr>
      <w:pStyle w:val="23"/>
      <w:tabs>
        <w:tab w:val="left" w:pos="3565"/>
        <w:tab w:val="clear" w:pos="4153"/>
        <w:tab w:val="clear" w:pos="8306"/>
      </w:tabs>
      <w:jc w:val="right"/>
      <w:rPr>
        <w:rFonts w:hint="eastAsia" w:ascii="华文中宋" w:hAnsi="华文中宋" w:eastAsia="华文中宋"/>
      </w:rPr>
    </w:pPr>
    <w:r>
      <w:rPr>
        <w:rFonts w:hint="eastAsia" w:ascii="华文中宋" w:hAnsi="华文中宋" w:eastAsia="华文中宋"/>
        <w:sz w:val="20"/>
      </w:rPr>
      <mc:AlternateContent>
        <mc:Choice Requires="wps">
          <w:drawing>
            <wp:anchor distT="45720" distB="45720" distL="114300" distR="114300" simplePos="0" relativeHeight="251660288" behindDoc="0" locked="0" layoutInCell="1" allowOverlap="1">
              <wp:simplePos x="0" y="0"/>
              <wp:positionH relativeFrom="column">
                <wp:posOffset>4855210</wp:posOffset>
              </wp:positionH>
              <wp:positionV relativeFrom="paragraph">
                <wp:posOffset>-153670</wp:posOffset>
              </wp:positionV>
              <wp:extent cx="1139190" cy="320040"/>
              <wp:effectExtent l="0" t="0" r="0" b="762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139190" cy="320040"/>
                      </a:xfrm>
                      <a:prstGeom prst="rect">
                        <a:avLst/>
                      </a:prstGeom>
                      <a:noFill/>
                      <a:ln>
                        <a:noFill/>
                      </a:ln>
                    </wps:spPr>
                    <wps:txbx>
                      <w:txbxContent>
                        <w:p w14:paraId="3ACB5FAF">
                          <w:pPr>
                            <w:spacing w:line="276" w:lineRule="auto"/>
                            <w:jc w:val="distribute"/>
                            <w:rPr>
                              <w:rFonts w:hint="eastAsia" w:ascii="微软雅黑" w:hAnsi="微软雅黑" w:eastAsia="微软雅黑"/>
                              <w:b/>
                              <w:bCs/>
                              <w:color w:val="595959"/>
                            </w:rPr>
                          </w:pPr>
                          <w:r>
                            <w:rPr>
                              <w:rFonts w:hint="eastAsia" w:ascii="微软雅黑" w:hAnsi="微软雅黑" w:eastAsia="微软雅黑"/>
                              <w:b/>
                              <w:bCs/>
                              <w:color w:val="595959"/>
                            </w:rPr>
                            <w:t>竞争性磋商文件</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82.3pt;margin-top:-12.1pt;height:25.2pt;width:89.7pt;z-index:251660288;mso-width-relative:page;mso-height-relative:margin;mso-height-percent:200;" filled="f" stroked="f" coordsize="21600,21600" o:gfxdata="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vgawz2AAAAAoBAAAPAAAA&#10;AAAAAAEAIAAAACIAAABkcnMvZG93bnJldi54bWxQSwECFAAUAAAACACHTuJAbKTSixUCAAAXBAAA&#10;DgAAAAAAAAABACAAAAAnAQAAZHJzL2Uyb0RvYy54bWxQSwUGAAAAAAYABgBZAQAArgUAAAAA&#10;">
              <v:fill on="f" focussize="0,0"/>
              <v:stroke on="f"/>
              <v:imagedata o:title=""/>
              <o:lock v:ext="edit" aspectratio="f"/>
              <v:textbox style="mso-fit-shape-to-text:t;">
                <w:txbxContent>
                  <w:p w14:paraId="3ACB5FAF">
                    <w:pPr>
                      <w:spacing w:line="276" w:lineRule="auto"/>
                      <w:jc w:val="distribute"/>
                      <w:rPr>
                        <w:rFonts w:hint="eastAsia" w:ascii="微软雅黑" w:hAnsi="微软雅黑" w:eastAsia="微软雅黑"/>
                        <w:b/>
                        <w:bCs/>
                        <w:color w:val="595959"/>
                      </w:rPr>
                    </w:pPr>
                    <w:r>
                      <w:rPr>
                        <w:rFonts w:hint="eastAsia" w:ascii="微软雅黑" w:hAnsi="微软雅黑" w:eastAsia="微软雅黑"/>
                        <w:b/>
                        <w:bCs/>
                        <w:color w:val="595959"/>
                      </w:rPr>
                      <w:t>竞争性磋商文件</w:t>
                    </w:r>
                  </w:p>
                </w:txbxContent>
              </v:textbox>
            </v:shape>
          </w:pict>
        </mc:Fallback>
      </mc:AlternateContent>
    </w:r>
  </w:p>
  <w:p w14:paraId="423BFDD8">
    <w:pPr>
      <w:pStyle w:val="23"/>
      <w:tabs>
        <w:tab w:val="left" w:pos="3565"/>
        <w:tab w:val="clear" w:pos="4153"/>
        <w:tab w:val="clear" w:pos="8306"/>
      </w:tabs>
      <w:spacing w:line="60" w:lineRule="exact"/>
      <w:jc w:val="right"/>
      <w:rPr>
        <w:rFonts w:hint="eastAsia" w:ascii="华文中宋" w:hAnsi="华文中宋" w:eastAsia="华文中宋"/>
        <w:color w:val="000000"/>
      </w:rPr>
    </w:pPr>
  </w:p>
  <w:p w14:paraId="458A2E8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51"/>
      <w:lvlText w:val="附录%1."/>
      <w:lvlJc w:val="left"/>
      <w:pPr>
        <w:tabs>
          <w:tab w:val="left" w:pos="907"/>
        </w:tabs>
        <w:ind w:left="907" w:hanging="907"/>
      </w:pPr>
      <w:rPr>
        <w:rFonts w:hint="eastAsia"/>
      </w:rPr>
    </w:lvl>
  </w:abstractNum>
  <w:abstractNum w:abstractNumId="1">
    <w:nsid w:val="237E4D61"/>
    <w:multiLevelType w:val="multilevel"/>
    <w:tmpl w:val="237E4D61"/>
    <w:lvl w:ilvl="0" w:tentative="0">
      <w:start w:val="1"/>
      <w:numFmt w:val="japaneseCounting"/>
      <w:pStyle w:val="54"/>
      <w:lvlText w:val="第%1章"/>
      <w:lvlJc w:val="left"/>
      <w:pPr>
        <w:ind w:left="9351" w:hanging="420"/>
      </w:pPr>
      <w:rPr>
        <w:rFonts w:hint="eastAsia" w:ascii="黑体" w:eastAsia="黑体"/>
        <w:b w:val="0"/>
        <w:sz w:val="36"/>
        <w:lang w:val="en-US"/>
      </w:rPr>
    </w:lvl>
    <w:lvl w:ilvl="1" w:tentative="0">
      <w:start w:val="1"/>
      <w:numFmt w:val="decimal"/>
      <w:pStyle w:val="47"/>
      <w:isLgl/>
      <w:lvlText w:val="%1.%2"/>
      <w:lvlJc w:val="left"/>
      <w:pPr>
        <w:tabs>
          <w:tab w:val="left" w:pos="851"/>
        </w:tabs>
        <w:ind w:left="0" w:firstLine="0"/>
      </w:pPr>
      <w:rPr>
        <w:rFonts w:cs="Times New Roman"/>
        <w:b w:val="0"/>
        <w:bCs w:val="0"/>
        <w:i w:val="0"/>
        <w:iCs w:val="0"/>
        <w:caps w:val="0"/>
        <w:smallCaps w:val="0"/>
        <w:strike w:val="0"/>
        <w:dstrike w:val="0"/>
        <w:vanish w:val="0"/>
        <w:spacing w:val="0"/>
        <w:kern w:val="0"/>
        <w:position w:val="0"/>
        <w:u w:val="none"/>
        <w:vertAlign w:val="baseline"/>
      </w:rPr>
    </w:lvl>
    <w:lvl w:ilvl="2" w:tentative="0">
      <w:start w:val="1"/>
      <w:numFmt w:val="decimal"/>
      <w:pStyle w:val="48"/>
      <w:isLgl/>
      <w:lvlText w:val="%1.%2.%3"/>
      <w:lvlJc w:val="left"/>
      <w:pPr>
        <w:tabs>
          <w:tab w:val="left" w:pos="851"/>
        </w:tabs>
        <w:ind w:left="0" w:firstLine="0"/>
      </w:pPr>
      <w:rPr>
        <w:rFonts w:cs="Times New Roman"/>
        <w:b w:val="0"/>
        <w:bCs w:val="0"/>
        <w:i w:val="0"/>
        <w:iCs w:val="0"/>
        <w:caps w:val="0"/>
        <w:smallCaps w:val="0"/>
        <w:strike w:val="0"/>
        <w:dstrike w:val="0"/>
        <w:vanish w:val="0"/>
        <w:color w:val="000000"/>
        <w:spacing w:val="0"/>
        <w:kern w:val="0"/>
        <w:position w:val="0"/>
        <w:u w:val="none"/>
        <w:vertAlign w:val="baseline"/>
      </w:rPr>
    </w:lvl>
    <w:lvl w:ilvl="3" w:tentative="0">
      <w:start w:val="1"/>
      <w:numFmt w:val="decimal"/>
      <w:pStyle w:val="56"/>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726"/>
    <w:rsid w:val="00002209"/>
    <w:rsid w:val="00002995"/>
    <w:rsid w:val="00002F19"/>
    <w:rsid w:val="00003B42"/>
    <w:rsid w:val="00005A19"/>
    <w:rsid w:val="00006652"/>
    <w:rsid w:val="00006DD7"/>
    <w:rsid w:val="00007798"/>
    <w:rsid w:val="0001177F"/>
    <w:rsid w:val="00011EA0"/>
    <w:rsid w:val="00012BB8"/>
    <w:rsid w:val="0001342B"/>
    <w:rsid w:val="000136F0"/>
    <w:rsid w:val="00013F45"/>
    <w:rsid w:val="0001669E"/>
    <w:rsid w:val="00016F37"/>
    <w:rsid w:val="00017387"/>
    <w:rsid w:val="00017DAC"/>
    <w:rsid w:val="00020761"/>
    <w:rsid w:val="000217AF"/>
    <w:rsid w:val="0002258C"/>
    <w:rsid w:val="0002341D"/>
    <w:rsid w:val="000247C1"/>
    <w:rsid w:val="00027E36"/>
    <w:rsid w:val="000301F8"/>
    <w:rsid w:val="00030A86"/>
    <w:rsid w:val="00031E66"/>
    <w:rsid w:val="00031F03"/>
    <w:rsid w:val="00032769"/>
    <w:rsid w:val="000336E2"/>
    <w:rsid w:val="00033910"/>
    <w:rsid w:val="00034B5E"/>
    <w:rsid w:val="00035E23"/>
    <w:rsid w:val="000363AB"/>
    <w:rsid w:val="000375C7"/>
    <w:rsid w:val="0004002C"/>
    <w:rsid w:val="0004077C"/>
    <w:rsid w:val="000408B2"/>
    <w:rsid w:val="00040D8B"/>
    <w:rsid w:val="00042C60"/>
    <w:rsid w:val="00042D59"/>
    <w:rsid w:val="000436DE"/>
    <w:rsid w:val="00043EC6"/>
    <w:rsid w:val="00044140"/>
    <w:rsid w:val="00044289"/>
    <w:rsid w:val="000445AC"/>
    <w:rsid w:val="000445B5"/>
    <w:rsid w:val="0004532E"/>
    <w:rsid w:val="00047717"/>
    <w:rsid w:val="0005103C"/>
    <w:rsid w:val="0005217D"/>
    <w:rsid w:val="0005265C"/>
    <w:rsid w:val="00054DE8"/>
    <w:rsid w:val="00055173"/>
    <w:rsid w:val="00055334"/>
    <w:rsid w:val="000562C0"/>
    <w:rsid w:val="00057478"/>
    <w:rsid w:val="000600DE"/>
    <w:rsid w:val="0006058F"/>
    <w:rsid w:val="0006186C"/>
    <w:rsid w:val="0006240C"/>
    <w:rsid w:val="00062A5D"/>
    <w:rsid w:val="00062CD4"/>
    <w:rsid w:val="00062E06"/>
    <w:rsid w:val="00063EEB"/>
    <w:rsid w:val="0006479E"/>
    <w:rsid w:val="00064D54"/>
    <w:rsid w:val="00065787"/>
    <w:rsid w:val="00065D83"/>
    <w:rsid w:val="00066023"/>
    <w:rsid w:val="00066782"/>
    <w:rsid w:val="00066E1C"/>
    <w:rsid w:val="00067187"/>
    <w:rsid w:val="000673B6"/>
    <w:rsid w:val="00067530"/>
    <w:rsid w:val="00070095"/>
    <w:rsid w:val="000719A1"/>
    <w:rsid w:val="00072F55"/>
    <w:rsid w:val="0007539D"/>
    <w:rsid w:val="00075BB0"/>
    <w:rsid w:val="00076A9E"/>
    <w:rsid w:val="000775B1"/>
    <w:rsid w:val="00080BF6"/>
    <w:rsid w:val="00080E3B"/>
    <w:rsid w:val="000818CD"/>
    <w:rsid w:val="00082802"/>
    <w:rsid w:val="0008297B"/>
    <w:rsid w:val="000842C8"/>
    <w:rsid w:val="00084C20"/>
    <w:rsid w:val="000853EF"/>
    <w:rsid w:val="00085B15"/>
    <w:rsid w:val="00087456"/>
    <w:rsid w:val="000874DF"/>
    <w:rsid w:val="00087690"/>
    <w:rsid w:val="00087E39"/>
    <w:rsid w:val="00090366"/>
    <w:rsid w:val="0009050E"/>
    <w:rsid w:val="000917FE"/>
    <w:rsid w:val="00091EE6"/>
    <w:rsid w:val="0009200E"/>
    <w:rsid w:val="000920C3"/>
    <w:rsid w:val="00092321"/>
    <w:rsid w:val="00092AC7"/>
    <w:rsid w:val="00093011"/>
    <w:rsid w:val="00093560"/>
    <w:rsid w:val="00094791"/>
    <w:rsid w:val="00094BBB"/>
    <w:rsid w:val="0009545E"/>
    <w:rsid w:val="00095530"/>
    <w:rsid w:val="000957E8"/>
    <w:rsid w:val="00095B29"/>
    <w:rsid w:val="00095F44"/>
    <w:rsid w:val="000960F8"/>
    <w:rsid w:val="000968C0"/>
    <w:rsid w:val="0009779B"/>
    <w:rsid w:val="00097AFA"/>
    <w:rsid w:val="000A0C03"/>
    <w:rsid w:val="000A1CE3"/>
    <w:rsid w:val="000A4069"/>
    <w:rsid w:val="000A7C64"/>
    <w:rsid w:val="000B2BF0"/>
    <w:rsid w:val="000B40D4"/>
    <w:rsid w:val="000B40EA"/>
    <w:rsid w:val="000B57ED"/>
    <w:rsid w:val="000B5FD6"/>
    <w:rsid w:val="000B6ADD"/>
    <w:rsid w:val="000B6B84"/>
    <w:rsid w:val="000B7353"/>
    <w:rsid w:val="000B7DBA"/>
    <w:rsid w:val="000C0811"/>
    <w:rsid w:val="000C165D"/>
    <w:rsid w:val="000C1E90"/>
    <w:rsid w:val="000C1FA0"/>
    <w:rsid w:val="000C2F4F"/>
    <w:rsid w:val="000C2F64"/>
    <w:rsid w:val="000C37CB"/>
    <w:rsid w:val="000C399B"/>
    <w:rsid w:val="000C404C"/>
    <w:rsid w:val="000C4739"/>
    <w:rsid w:val="000C480A"/>
    <w:rsid w:val="000C602A"/>
    <w:rsid w:val="000C61E3"/>
    <w:rsid w:val="000C6A2B"/>
    <w:rsid w:val="000C6FEA"/>
    <w:rsid w:val="000C7D3B"/>
    <w:rsid w:val="000D0069"/>
    <w:rsid w:val="000D0A9B"/>
    <w:rsid w:val="000D3F30"/>
    <w:rsid w:val="000D4567"/>
    <w:rsid w:val="000D5147"/>
    <w:rsid w:val="000D58C3"/>
    <w:rsid w:val="000D5D52"/>
    <w:rsid w:val="000D5EA8"/>
    <w:rsid w:val="000D62DE"/>
    <w:rsid w:val="000D6E87"/>
    <w:rsid w:val="000D7F34"/>
    <w:rsid w:val="000D7F45"/>
    <w:rsid w:val="000E0759"/>
    <w:rsid w:val="000E20A6"/>
    <w:rsid w:val="000E2C12"/>
    <w:rsid w:val="000E3510"/>
    <w:rsid w:val="000E4089"/>
    <w:rsid w:val="000E4514"/>
    <w:rsid w:val="000E575C"/>
    <w:rsid w:val="000E5E96"/>
    <w:rsid w:val="000E7BF1"/>
    <w:rsid w:val="000F10CA"/>
    <w:rsid w:val="000F1672"/>
    <w:rsid w:val="000F424B"/>
    <w:rsid w:val="000F5062"/>
    <w:rsid w:val="001000CA"/>
    <w:rsid w:val="00100B0C"/>
    <w:rsid w:val="00101D75"/>
    <w:rsid w:val="001023D0"/>
    <w:rsid w:val="00103DAD"/>
    <w:rsid w:val="00105CFB"/>
    <w:rsid w:val="00105F91"/>
    <w:rsid w:val="00106AFE"/>
    <w:rsid w:val="00106C25"/>
    <w:rsid w:val="00106C7F"/>
    <w:rsid w:val="001071F5"/>
    <w:rsid w:val="00107350"/>
    <w:rsid w:val="00110789"/>
    <w:rsid w:val="0011098B"/>
    <w:rsid w:val="001113E1"/>
    <w:rsid w:val="001139D0"/>
    <w:rsid w:val="00113CC3"/>
    <w:rsid w:val="00113EC0"/>
    <w:rsid w:val="00115F64"/>
    <w:rsid w:val="00116198"/>
    <w:rsid w:val="00116855"/>
    <w:rsid w:val="001168FD"/>
    <w:rsid w:val="001173A2"/>
    <w:rsid w:val="00117892"/>
    <w:rsid w:val="00117A85"/>
    <w:rsid w:val="00117FE8"/>
    <w:rsid w:val="0012207A"/>
    <w:rsid w:val="001224B9"/>
    <w:rsid w:val="001229A7"/>
    <w:rsid w:val="00123645"/>
    <w:rsid w:val="0012411B"/>
    <w:rsid w:val="00124E53"/>
    <w:rsid w:val="00124EDB"/>
    <w:rsid w:val="001263AD"/>
    <w:rsid w:val="0012707B"/>
    <w:rsid w:val="00127E85"/>
    <w:rsid w:val="00127EDB"/>
    <w:rsid w:val="00130006"/>
    <w:rsid w:val="001302DF"/>
    <w:rsid w:val="00130AC3"/>
    <w:rsid w:val="00131DF8"/>
    <w:rsid w:val="00131FC6"/>
    <w:rsid w:val="00132253"/>
    <w:rsid w:val="00133AD0"/>
    <w:rsid w:val="00133E40"/>
    <w:rsid w:val="001342F9"/>
    <w:rsid w:val="00134FC9"/>
    <w:rsid w:val="00136534"/>
    <w:rsid w:val="00137BF5"/>
    <w:rsid w:val="001413E8"/>
    <w:rsid w:val="00141ED2"/>
    <w:rsid w:val="001423BE"/>
    <w:rsid w:val="0014241A"/>
    <w:rsid w:val="00143649"/>
    <w:rsid w:val="001441D9"/>
    <w:rsid w:val="0014512A"/>
    <w:rsid w:val="001453C1"/>
    <w:rsid w:val="001454D0"/>
    <w:rsid w:val="00147FFE"/>
    <w:rsid w:val="001500FD"/>
    <w:rsid w:val="001520E4"/>
    <w:rsid w:val="00153444"/>
    <w:rsid w:val="0015352F"/>
    <w:rsid w:val="001536BA"/>
    <w:rsid w:val="0015380C"/>
    <w:rsid w:val="00154766"/>
    <w:rsid w:val="00157AC2"/>
    <w:rsid w:val="00157F58"/>
    <w:rsid w:val="001603BA"/>
    <w:rsid w:val="00160447"/>
    <w:rsid w:val="001619DB"/>
    <w:rsid w:val="00161A22"/>
    <w:rsid w:val="00161E5A"/>
    <w:rsid w:val="00162AA7"/>
    <w:rsid w:val="00162B8F"/>
    <w:rsid w:val="0016322B"/>
    <w:rsid w:val="001634EA"/>
    <w:rsid w:val="001652AF"/>
    <w:rsid w:val="00165499"/>
    <w:rsid w:val="001659C1"/>
    <w:rsid w:val="00165CBA"/>
    <w:rsid w:val="001661CD"/>
    <w:rsid w:val="001666A1"/>
    <w:rsid w:val="00166C1A"/>
    <w:rsid w:val="00166D37"/>
    <w:rsid w:val="00167437"/>
    <w:rsid w:val="001678DE"/>
    <w:rsid w:val="00167B75"/>
    <w:rsid w:val="00167F4D"/>
    <w:rsid w:val="001704C1"/>
    <w:rsid w:val="00170683"/>
    <w:rsid w:val="00170E00"/>
    <w:rsid w:val="001738E5"/>
    <w:rsid w:val="00173B78"/>
    <w:rsid w:val="0017441D"/>
    <w:rsid w:val="0017456D"/>
    <w:rsid w:val="00175616"/>
    <w:rsid w:val="00176EC7"/>
    <w:rsid w:val="00177459"/>
    <w:rsid w:val="001801C6"/>
    <w:rsid w:val="001809CA"/>
    <w:rsid w:val="00180F36"/>
    <w:rsid w:val="001814E8"/>
    <w:rsid w:val="00181C74"/>
    <w:rsid w:val="0018275A"/>
    <w:rsid w:val="001852E0"/>
    <w:rsid w:val="001857FA"/>
    <w:rsid w:val="00185ADC"/>
    <w:rsid w:val="00185E93"/>
    <w:rsid w:val="00185EBC"/>
    <w:rsid w:val="00187831"/>
    <w:rsid w:val="0018783C"/>
    <w:rsid w:val="00190AC6"/>
    <w:rsid w:val="00190DC9"/>
    <w:rsid w:val="001911DD"/>
    <w:rsid w:val="00192124"/>
    <w:rsid w:val="001927E4"/>
    <w:rsid w:val="00192C00"/>
    <w:rsid w:val="00194423"/>
    <w:rsid w:val="001945E2"/>
    <w:rsid w:val="00194D15"/>
    <w:rsid w:val="00194F30"/>
    <w:rsid w:val="001963CA"/>
    <w:rsid w:val="001969F0"/>
    <w:rsid w:val="00196AC7"/>
    <w:rsid w:val="001978D3"/>
    <w:rsid w:val="001A0B02"/>
    <w:rsid w:val="001A271D"/>
    <w:rsid w:val="001A2A85"/>
    <w:rsid w:val="001A2E80"/>
    <w:rsid w:val="001A3F34"/>
    <w:rsid w:val="001A62B4"/>
    <w:rsid w:val="001A7923"/>
    <w:rsid w:val="001A7E8C"/>
    <w:rsid w:val="001B01DD"/>
    <w:rsid w:val="001B0963"/>
    <w:rsid w:val="001B0E12"/>
    <w:rsid w:val="001B1019"/>
    <w:rsid w:val="001B19C6"/>
    <w:rsid w:val="001B2341"/>
    <w:rsid w:val="001B2D0A"/>
    <w:rsid w:val="001B2DD2"/>
    <w:rsid w:val="001B2FE2"/>
    <w:rsid w:val="001B390A"/>
    <w:rsid w:val="001B4656"/>
    <w:rsid w:val="001B54E0"/>
    <w:rsid w:val="001B5888"/>
    <w:rsid w:val="001B62D2"/>
    <w:rsid w:val="001B66DD"/>
    <w:rsid w:val="001B67A3"/>
    <w:rsid w:val="001B6871"/>
    <w:rsid w:val="001B68A6"/>
    <w:rsid w:val="001B7F6B"/>
    <w:rsid w:val="001C0759"/>
    <w:rsid w:val="001C0E6D"/>
    <w:rsid w:val="001C19F1"/>
    <w:rsid w:val="001C1B45"/>
    <w:rsid w:val="001C28C7"/>
    <w:rsid w:val="001C2902"/>
    <w:rsid w:val="001C3279"/>
    <w:rsid w:val="001C367B"/>
    <w:rsid w:val="001C73C5"/>
    <w:rsid w:val="001D34FA"/>
    <w:rsid w:val="001D4376"/>
    <w:rsid w:val="001D4DAD"/>
    <w:rsid w:val="001D53B7"/>
    <w:rsid w:val="001D5B9A"/>
    <w:rsid w:val="001D64CC"/>
    <w:rsid w:val="001D78A2"/>
    <w:rsid w:val="001E0272"/>
    <w:rsid w:val="001E02FF"/>
    <w:rsid w:val="001E06B0"/>
    <w:rsid w:val="001E0B1C"/>
    <w:rsid w:val="001E0CC5"/>
    <w:rsid w:val="001E2079"/>
    <w:rsid w:val="001E2C89"/>
    <w:rsid w:val="001E3937"/>
    <w:rsid w:val="001E5368"/>
    <w:rsid w:val="001E6996"/>
    <w:rsid w:val="001E71BA"/>
    <w:rsid w:val="001E72DC"/>
    <w:rsid w:val="001E7558"/>
    <w:rsid w:val="001E79C4"/>
    <w:rsid w:val="001F076C"/>
    <w:rsid w:val="001F1D60"/>
    <w:rsid w:val="001F1E14"/>
    <w:rsid w:val="001F2853"/>
    <w:rsid w:val="001F2FC3"/>
    <w:rsid w:val="001F6E38"/>
    <w:rsid w:val="001F7099"/>
    <w:rsid w:val="002000D2"/>
    <w:rsid w:val="00200D62"/>
    <w:rsid w:val="00201353"/>
    <w:rsid w:val="002023F9"/>
    <w:rsid w:val="00202D5A"/>
    <w:rsid w:val="00203C51"/>
    <w:rsid w:val="002043FB"/>
    <w:rsid w:val="00204438"/>
    <w:rsid w:val="0020498C"/>
    <w:rsid w:val="00205770"/>
    <w:rsid w:val="00206370"/>
    <w:rsid w:val="002064DA"/>
    <w:rsid w:val="00207423"/>
    <w:rsid w:val="00210843"/>
    <w:rsid w:val="0021089D"/>
    <w:rsid w:val="00210D9A"/>
    <w:rsid w:val="00210DB7"/>
    <w:rsid w:val="00214AA2"/>
    <w:rsid w:val="00215792"/>
    <w:rsid w:val="00216578"/>
    <w:rsid w:val="00216CBC"/>
    <w:rsid w:val="00216F7C"/>
    <w:rsid w:val="002172E1"/>
    <w:rsid w:val="00217618"/>
    <w:rsid w:val="002200CD"/>
    <w:rsid w:val="0022042C"/>
    <w:rsid w:val="00222B72"/>
    <w:rsid w:val="00222FB1"/>
    <w:rsid w:val="00224F03"/>
    <w:rsid w:val="00225887"/>
    <w:rsid w:val="002260D7"/>
    <w:rsid w:val="00226596"/>
    <w:rsid w:val="00226599"/>
    <w:rsid w:val="002266CF"/>
    <w:rsid w:val="0022695B"/>
    <w:rsid w:val="0022700E"/>
    <w:rsid w:val="002272E1"/>
    <w:rsid w:val="0022736B"/>
    <w:rsid w:val="00227C37"/>
    <w:rsid w:val="00227F94"/>
    <w:rsid w:val="00230DFC"/>
    <w:rsid w:val="00232582"/>
    <w:rsid w:val="00233AB9"/>
    <w:rsid w:val="00233E73"/>
    <w:rsid w:val="00235204"/>
    <w:rsid w:val="00235518"/>
    <w:rsid w:val="002358C3"/>
    <w:rsid w:val="00237EDB"/>
    <w:rsid w:val="002408B3"/>
    <w:rsid w:val="00241DC8"/>
    <w:rsid w:val="00241EE9"/>
    <w:rsid w:val="00242205"/>
    <w:rsid w:val="0024327A"/>
    <w:rsid w:val="00244E4C"/>
    <w:rsid w:val="002452F7"/>
    <w:rsid w:val="00246334"/>
    <w:rsid w:val="002500BE"/>
    <w:rsid w:val="00250C6F"/>
    <w:rsid w:val="0025186C"/>
    <w:rsid w:val="002525E2"/>
    <w:rsid w:val="00253AB8"/>
    <w:rsid w:val="00253B12"/>
    <w:rsid w:val="002540A3"/>
    <w:rsid w:val="00254113"/>
    <w:rsid w:val="00255140"/>
    <w:rsid w:val="00255236"/>
    <w:rsid w:val="00255FD0"/>
    <w:rsid w:val="00256074"/>
    <w:rsid w:val="0025720B"/>
    <w:rsid w:val="002575BE"/>
    <w:rsid w:val="00261DAA"/>
    <w:rsid w:val="00263C95"/>
    <w:rsid w:val="0026504C"/>
    <w:rsid w:val="002658AC"/>
    <w:rsid w:val="0026604C"/>
    <w:rsid w:val="00266291"/>
    <w:rsid w:val="00266A15"/>
    <w:rsid w:val="00267035"/>
    <w:rsid w:val="00267053"/>
    <w:rsid w:val="002678B4"/>
    <w:rsid w:val="002679E8"/>
    <w:rsid w:val="00267A88"/>
    <w:rsid w:val="00267BA7"/>
    <w:rsid w:val="00267FA8"/>
    <w:rsid w:val="00270845"/>
    <w:rsid w:val="00271284"/>
    <w:rsid w:val="00271503"/>
    <w:rsid w:val="00272DB9"/>
    <w:rsid w:val="00274DB6"/>
    <w:rsid w:val="00274EFA"/>
    <w:rsid w:val="00275877"/>
    <w:rsid w:val="00275AC8"/>
    <w:rsid w:val="00275F57"/>
    <w:rsid w:val="002766DF"/>
    <w:rsid w:val="00280EB5"/>
    <w:rsid w:val="00283350"/>
    <w:rsid w:val="00284779"/>
    <w:rsid w:val="0028541C"/>
    <w:rsid w:val="00286427"/>
    <w:rsid w:val="00290386"/>
    <w:rsid w:val="00292891"/>
    <w:rsid w:val="00292E01"/>
    <w:rsid w:val="002932BA"/>
    <w:rsid w:val="002932D1"/>
    <w:rsid w:val="002937AC"/>
    <w:rsid w:val="002941CC"/>
    <w:rsid w:val="002950B5"/>
    <w:rsid w:val="00295E2A"/>
    <w:rsid w:val="0029615A"/>
    <w:rsid w:val="002962EF"/>
    <w:rsid w:val="002973EE"/>
    <w:rsid w:val="002978B9"/>
    <w:rsid w:val="002A26D0"/>
    <w:rsid w:val="002A30A1"/>
    <w:rsid w:val="002A3749"/>
    <w:rsid w:val="002A4386"/>
    <w:rsid w:val="002A5190"/>
    <w:rsid w:val="002A53E9"/>
    <w:rsid w:val="002A557E"/>
    <w:rsid w:val="002A5D51"/>
    <w:rsid w:val="002A5FEB"/>
    <w:rsid w:val="002A77D2"/>
    <w:rsid w:val="002B056B"/>
    <w:rsid w:val="002B0FCA"/>
    <w:rsid w:val="002B1DE1"/>
    <w:rsid w:val="002B2B72"/>
    <w:rsid w:val="002B3275"/>
    <w:rsid w:val="002B4258"/>
    <w:rsid w:val="002B452D"/>
    <w:rsid w:val="002B4FC9"/>
    <w:rsid w:val="002B557E"/>
    <w:rsid w:val="002B635B"/>
    <w:rsid w:val="002B67A8"/>
    <w:rsid w:val="002B6EF1"/>
    <w:rsid w:val="002C103E"/>
    <w:rsid w:val="002C1A27"/>
    <w:rsid w:val="002C1D16"/>
    <w:rsid w:val="002C1DA2"/>
    <w:rsid w:val="002C214E"/>
    <w:rsid w:val="002C27D5"/>
    <w:rsid w:val="002C2DDF"/>
    <w:rsid w:val="002C3301"/>
    <w:rsid w:val="002C384A"/>
    <w:rsid w:val="002C4156"/>
    <w:rsid w:val="002C481F"/>
    <w:rsid w:val="002C5DF1"/>
    <w:rsid w:val="002C6558"/>
    <w:rsid w:val="002C7E15"/>
    <w:rsid w:val="002D02AD"/>
    <w:rsid w:val="002D0FDC"/>
    <w:rsid w:val="002D1DAC"/>
    <w:rsid w:val="002D2092"/>
    <w:rsid w:val="002D231B"/>
    <w:rsid w:val="002D2E67"/>
    <w:rsid w:val="002D31C3"/>
    <w:rsid w:val="002D3DE3"/>
    <w:rsid w:val="002D4E37"/>
    <w:rsid w:val="002D5068"/>
    <w:rsid w:val="002D5241"/>
    <w:rsid w:val="002D6990"/>
    <w:rsid w:val="002D69A8"/>
    <w:rsid w:val="002D7108"/>
    <w:rsid w:val="002D74A9"/>
    <w:rsid w:val="002E29E8"/>
    <w:rsid w:val="002E5BA0"/>
    <w:rsid w:val="002F0BAB"/>
    <w:rsid w:val="002F4288"/>
    <w:rsid w:val="002F5DD5"/>
    <w:rsid w:val="002F5F0B"/>
    <w:rsid w:val="002F6156"/>
    <w:rsid w:val="002F6336"/>
    <w:rsid w:val="002F6648"/>
    <w:rsid w:val="00301989"/>
    <w:rsid w:val="00301D65"/>
    <w:rsid w:val="00302327"/>
    <w:rsid w:val="00302DB1"/>
    <w:rsid w:val="00302F5C"/>
    <w:rsid w:val="0030313F"/>
    <w:rsid w:val="003031A4"/>
    <w:rsid w:val="003043F6"/>
    <w:rsid w:val="00304508"/>
    <w:rsid w:val="003047DF"/>
    <w:rsid w:val="00305121"/>
    <w:rsid w:val="00306184"/>
    <w:rsid w:val="0030671A"/>
    <w:rsid w:val="00310118"/>
    <w:rsid w:val="00310266"/>
    <w:rsid w:val="00310CEA"/>
    <w:rsid w:val="0031172F"/>
    <w:rsid w:val="00311D5B"/>
    <w:rsid w:val="00312482"/>
    <w:rsid w:val="00312D67"/>
    <w:rsid w:val="00312F22"/>
    <w:rsid w:val="00315432"/>
    <w:rsid w:val="003178B9"/>
    <w:rsid w:val="00317AAC"/>
    <w:rsid w:val="00321423"/>
    <w:rsid w:val="003226B4"/>
    <w:rsid w:val="003236A7"/>
    <w:rsid w:val="00323BC3"/>
    <w:rsid w:val="00325C8F"/>
    <w:rsid w:val="00326DC2"/>
    <w:rsid w:val="00330BD2"/>
    <w:rsid w:val="003322B6"/>
    <w:rsid w:val="0033299D"/>
    <w:rsid w:val="00332FA1"/>
    <w:rsid w:val="00334194"/>
    <w:rsid w:val="003344E4"/>
    <w:rsid w:val="00334C5D"/>
    <w:rsid w:val="0033560A"/>
    <w:rsid w:val="00336CAE"/>
    <w:rsid w:val="00336E84"/>
    <w:rsid w:val="003372C1"/>
    <w:rsid w:val="003378C4"/>
    <w:rsid w:val="00342AA7"/>
    <w:rsid w:val="00342F43"/>
    <w:rsid w:val="00343309"/>
    <w:rsid w:val="0034373F"/>
    <w:rsid w:val="00343A98"/>
    <w:rsid w:val="003445E5"/>
    <w:rsid w:val="003446E4"/>
    <w:rsid w:val="003447F1"/>
    <w:rsid w:val="00345CA1"/>
    <w:rsid w:val="0034654D"/>
    <w:rsid w:val="00347765"/>
    <w:rsid w:val="00347A82"/>
    <w:rsid w:val="00347D87"/>
    <w:rsid w:val="0035029B"/>
    <w:rsid w:val="00351415"/>
    <w:rsid w:val="00351AB1"/>
    <w:rsid w:val="00351D59"/>
    <w:rsid w:val="003539A2"/>
    <w:rsid w:val="00353DBE"/>
    <w:rsid w:val="00354E1F"/>
    <w:rsid w:val="00356BAC"/>
    <w:rsid w:val="00356C1F"/>
    <w:rsid w:val="00356CF8"/>
    <w:rsid w:val="0035723A"/>
    <w:rsid w:val="003573C6"/>
    <w:rsid w:val="0035740F"/>
    <w:rsid w:val="00357D8B"/>
    <w:rsid w:val="00360189"/>
    <w:rsid w:val="003607AE"/>
    <w:rsid w:val="00361B27"/>
    <w:rsid w:val="00361C51"/>
    <w:rsid w:val="00361EB0"/>
    <w:rsid w:val="00363078"/>
    <w:rsid w:val="00364369"/>
    <w:rsid w:val="003643AB"/>
    <w:rsid w:val="00364E19"/>
    <w:rsid w:val="003664EB"/>
    <w:rsid w:val="003672EA"/>
    <w:rsid w:val="0036745C"/>
    <w:rsid w:val="00370FCD"/>
    <w:rsid w:val="003714A1"/>
    <w:rsid w:val="003715EC"/>
    <w:rsid w:val="00371D58"/>
    <w:rsid w:val="003724FB"/>
    <w:rsid w:val="00372C94"/>
    <w:rsid w:val="003731E5"/>
    <w:rsid w:val="00373244"/>
    <w:rsid w:val="00373471"/>
    <w:rsid w:val="003734BA"/>
    <w:rsid w:val="003747AF"/>
    <w:rsid w:val="00374BE7"/>
    <w:rsid w:val="003754BB"/>
    <w:rsid w:val="0037582C"/>
    <w:rsid w:val="00375A16"/>
    <w:rsid w:val="00376F2B"/>
    <w:rsid w:val="0037772D"/>
    <w:rsid w:val="00377815"/>
    <w:rsid w:val="00377BC6"/>
    <w:rsid w:val="00380C17"/>
    <w:rsid w:val="00381624"/>
    <w:rsid w:val="00382D24"/>
    <w:rsid w:val="0038356A"/>
    <w:rsid w:val="003841EC"/>
    <w:rsid w:val="003853E7"/>
    <w:rsid w:val="003859D2"/>
    <w:rsid w:val="00386F1E"/>
    <w:rsid w:val="0038744D"/>
    <w:rsid w:val="00387560"/>
    <w:rsid w:val="00387EA9"/>
    <w:rsid w:val="003906FF"/>
    <w:rsid w:val="0039077C"/>
    <w:rsid w:val="0039155A"/>
    <w:rsid w:val="00393043"/>
    <w:rsid w:val="0039392D"/>
    <w:rsid w:val="003939A5"/>
    <w:rsid w:val="00393FCC"/>
    <w:rsid w:val="003943F1"/>
    <w:rsid w:val="003958F9"/>
    <w:rsid w:val="0039595F"/>
    <w:rsid w:val="0039631B"/>
    <w:rsid w:val="00396D1C"/>
    <w:rsid w:val="00397BBB"/>
    <w:rsid w:val="00397E2C"/>
    <w:rsid w:val="00397F90"/>
    <w:rsid w:val="003A14D3"/>
    <w:rsid w:val="003A1D61"/>
    <w:rsid w:val="003A288A"/>
    <w:rsid w:val="003A28BF"/>
    <w:rsid w:val="003A3356"/>
    <w:rsid w:val="003A3C2C"/>
    <w:rsid w:val="003A4589"/>
    <w:rsid w:val="003A535F"/>
    <w:rsid w:val="003A62C6"/>
    <w:rsid w:val="003A65DE"/>
    <w:rsid w:val="003A6A8B"/>
    <w:rsid w:val="003A7C2A"/>
    <w:rsid w:val="003A7FEE"/>
    <w:rsid w:val="003B0806"/>
    <w:rsid w:val="003B146F"/>
    <w:rsid w:val="003B17D9"/>
    <w:rsid w:val="003B1E62"/>
    <w:rsid w:val="003B261D"/>
    <w:rsid w:val="003B3304"/>
    <w:rsid w:val="003B3A2D"/>
    <w:rsid w:val="003B3E94"/>
    <w:rsid w:val="003B4FD2"/>
    <w:rsid w:val="003B6251"/>
    <w:rsid w:val="003B6367"/>
    <w:rsid w:val="003B688A"/>
    <w:rsid w:val="003B6F9A"/>
    <w:rsid w:val="003C039B"/>
    <w:rsid w:val="003C18B0"/>
    <w:rsid w:val="003C1A00"/>
    <w:rsid w:val="003C3750"/>
    <w:rsid w:val="003C3814"/>
    <w:rsid w:val="003C4717"/>
    <w:rsid w:val="003C486C"/>
    <w:rsid w:val="003C4A2D"/>
    <w:rsid w:val="003C4BDC"/>
    <w:rsid w:val="003C4D0E"/>
    <w:rsid w:val="003C502A"/>
    <w:rsid w:val="003C53F9"/>
    <w:rsid w:val="003C6E00"/>
    <w:rsid w:val="003C79A5"/>
    <w:rsid w:val="003D08B7"/>
    <w:rsid w:val="003D0AFD"/>
    <w:rsid w:val="003D1264"/>
    <w:rsid w:val="003D15B1"/>
    <w:rsid w:val="003D3E98"/>
    <w:rsid w:val="003D3EE4"/>
    <w:rsid w:val="003D3F19"/>
    <w:rsid w:val="003D5538"/>
    <w:rsid w:val="003D56F3"/>
    <w:rsid w:val="003D694A"/>
    <w:rsid w:val="003D6CB5"/>
    <w:rsid w:val="003D743C"/>
    <w:rsid w:val="003D76D6"/>
    <w:rsid w:val="003D7B7E"/>
    <w:rsid w:val="003D7D80"/>
    <w:rsid w:val="003E04DE"/>
    <w:rsid w:val="003E11A4"/>
    <w:rsid w:val="003E2035"/>
    <w:rsid w:val="003E33CB"/>
    <w:rsid w:val="003E3804"/>
    <w:rsid w:val="003E4184"/>
    <w:rsid w:val="003E41F3"/>
    <w:rsid w:val="003E5CBF"/>
    <w:rsid w:val="003E6CAE"/>
    <w:rsid w:val="003E7474"/>
    <w:rsid w:val="003E770F"/>
    <w:rsid w:val="003F0A82"/>
    <w:rsid w:val="003F140F"/>
    <w:rsid w:val="003F15F6"/>
    <w:rsid w:val="003F15F8"/>
    <w:rsid w:val="003F27C9"/>
    <w:rsid w:val="003F2FAB"/>
    <w:rsid w:val="003F3990"/>
    <w:rsid w:val="003F56E6"/>
    <w:rsid w:val="003F60F5"/>
    <w:rsid w:val="003F6603"/>
    <w:rsid w:val="003F7A76"/>
    <w:rsid w:val="004007EE"/>
    <w:rsid w:val="004011A6"/>
    <w:rsid w:val="00401BE9"/>
    <w:rsid w:val="004034A6"/>
    <w:rsid w:val="00404398"/>
    <w:rsid w:val="004043FE"/>
    <w:rsid w:val="004058C3"/>
    <w:rsid w:val="00406267"/>
    <w:rsid w:val="004114D6"/>
    <w:rsid w:val="00411540"/>
    <w:rsid w:val="004115C8"/>
    <w:rsid w:val="0041160A"/>
    <w:rsid w:val="004117E7"/>
    <w:rsid w:val="0041207E"/>
    <w:rsid w:val="0041358B"/>
    <w:rsid w:val="004139F0"/>
    <w:rsid w:val="00413CAC"/>
    <w:rsid w:val="00413DD2"/>
    <w:rsid w:val="00414552"/>
    <w:rsid w:val="00414C0A"/>
    <w:rsid w:val="00415004"/>
    <w:rsid w:val="004161BE"/>
    <w:rsid w:val="004173F2"/>
    <w:rsid w:val="00417779"/>
    <w:rsid w:val="00417A62"/>
    <w:rsid w:val="004207B8"/>
    <w:rsid w:val="00420E65"/>
    <w:rsid w:val="00420FD1"/>
    <w:rsid w:val="0042104C"/>
    <w:rsid w:val="004210EA"/>
    <w:rsid w:val="00421A05"/>
    <w:rsid w:val="004235A3"/>
    <w:rsid w:val="00423858"/>
    <w:rsid w:val="00424C84"/>
    <w:rsid w:val="00424EEA"/>
    <w:rsid w:val="00424F99"/>
    <w:rsid w:val="0042523A"/>
    <w:rsid w:val="00425881"/>
    <w:rsid w:val="00427AEE"/>
    <w:rsid w:val="00427BED"/>
    <w:rsid w:val="00431492"/>
    <w:rsid w:val="0043161C"/>
    <w:rsid w:val="00432E03"/>
    <w:rsid w:val="004341D4"/>
    <w:rsid w:val="004342D5"/>
    <w:rsid w:val="00435A5D"/>
    <w:rsid w:val="00435CE6"/>
    <w:rsid w:val="0043683F"/>
    <w:rsid w:val="00436D24"/>
    <w:rsid w:val="00437F16"/>
    <w:rsid w:val="00440801"/>
    <w:rsid w:val="00441B8C"/>
    <w:rsid w:val="0044315C"/>
    <w:rsid w:val="00443535"/>
    <w:rsid w:val="00443690"/>
    <w:rsid w:val="004438D5"/>
    <w:rsid w:val="00443F9E"/>
    <w:rsid w:val="004463B1"/>
    <w:rsid w:val="0044655D"/>
    <w:rsid w:val="00451DEB"/>
    <w:rsid w:val="00452340"/>
    <w:rsid w:val="004526CC"/>
    <w:rsid w:val="00452FC0"/>
    <w:rsid w:val="00453710"/>
    <w:rsid w:val="00454915"/>
    <w:rsid w:val="0045684D"/>
    <w:rsid w:val="0045688F"/>
    <w:rsid w:val="004568B5"/>
    <w:rsid w:val="00456D07"/>
    <w:rsid w:val="0045728F"/>
    <w:rsid w:val="004578F4"/>
    <w:rsid w:val="00460469"/>
    <w:rsid w:val="00460C99"/>
    <w:rsid w:val="00462678"/>
    <w:rsid w:val="00462E5E"/>
    <w:rsid w:val="00462FDB"/>
    <w:rsid w:val="00462FEC"/>
    <w:rsid w:val="00464328"/>
    <w:rsid w:val="0046432B"/>
    <w:rsid w:val="0046455A"/>
    <w:rsid w:val="00464631"/>
    <w:rsid w:val="00464EAB"/>
    <w:rsid w:val="00465ADE"/>
    <w:rsid w:val="00465B86"/>
    <w:rsid w:val="004660D9"/>
    <w:rsid w:val="00472F69"/>
    <w:rsid w:val="004742C1"/>
    <w:rsid w:val="004755B8"/>
    <w:rsid w:val="00475DCB"/>
    <w:rsid w:val="00476D77"/>
    <w:rsid w:val="00476E90"/>
    <w:rsid w:val="004775DA"/>
    <w:rsid w:val="00477AD8"/>
    <w:rsid w:val="00480306"/>
    <w:rsid w:val="004805B1"/>
    <w:rsid w:val="00480741"/>
    <w:rsid w:val="0048075D"/>
    <w:rsid w:val="004807F2"/>
    <w:rsid w:val="00481184"/>
    <w:rsid w:val="00482D48"/>
    <w:rsid w:val="004841F9"/>
    <w:rsid w:val="00484258"/>
    <w:rsid w:val="004851E3"/>
    <w:rsid w:val="00485247"/>
    <w:rsid w:val="004860C9"/>
    <w:rsid w:val="004873F8"/>
    <w:rsid w:val="00487703"/>
    <w:rsid w:val="00490893"/>
    <w:rsid w:val="004922BE"/>
    <w:rsid w:val="00492A8E"/>
    <w:rsid w:val="00492D0F"/>
    <w:rsid w:val="004940FA"/>
    <w:rsid w:val="004940FF"/>
    <w:rsid w:val="004946A2"/>
    <w:rsid w:val="00496FB5"/>
    <w:rsid w:val="0049713B"/>
    <w:rsid w:val="004A11F7"/>
    <w:rsid w:val="004A16B5"/>
    <w:rsid w:val="004A1755"/>
    <w:rsid w:val="004A1986"/>
    <w:rsid w:val="004A1EBD"/>
    <w:rsid w:val="004A2667"/>
    <w:rsid w:val="004A2F6E"/>
    <w:rsid w:val="004A39AF"/>
    <w:rsid w:val="004A447F"/>
    <w:rsid w:val="004A522C"/>
    <w:rsid w:val="004A66A0"/>
    <w:rsid w:val="004A6999"/>
    <w:rsid w:val="004A762D"/>
    <w:rsid w:val="004A7B06"/>
    <w:rsid w:val="004B0455"/>
    <w:rsid w:val="004B055B"/>
    <w:rsid w:val="004B0A4F"/>
    <w:rsid w:val="004B1FC6"/>
    <w:rsid w:val="004B2EB1"/>
    <w:rsid w:val="004B4104"/>
    <w:rsid w:val="004B42E3"/>
    <w:rsid w:val="004B471A"/>
    <w:rsid w:val="004B58A6"/>
    <w:rsid w:val="004C0FA6"/>
    <w:rsid w:val="004C1DBA"/>
    <w:rsid w:val="004C2544"/>
    <w:rsid w:val="004C2890"/>
    <w:rsid w:val="004C3E37"/>
    <w:rsid w:val="004C4B86"/>
    <w:rsid w:val="004C4F86"/>
    <w:rsid w:val="004C62C0"/>
    <w:rsid w:val="004C6721"/>
    <w:rsid w:val="004C6ACE"/>
    <w:rsid w:val="004C725D"/>
    <w:rsid w:val="004D033F"/>
    <w:rsid w:val="004D0CB4"/>
    <w:rsid w:val="004D15E0"/>
    <w:rsid w:val="004D1EA1"/>
    <w:rsid w:val="004D4F43"/>
    <w:rsid w:val="004D5202"/>
    <w:rsid w:val="004D55D1"/>
    <w:rsid w:val="004D5990"/>
    <w:rsid w:val="004D61BC"/>
    <w:rsid w:val="004D6C82"/>
    <w:rsid w:val="004E02C5"/>
    <w:rsid w:val="004E03F7"/>
    <w:rsid w:val="004E07D8"/>
    <w:rsid w:val="004E0BA6"/>
    <w:rsid w:val="004E1AFB"/>
    <w:rsid w:val="004E2B59"/>
    <w:rsid w:val="004E2F24"/>
    <w:rsid w:val="004E3099"/>
    <w:rsid w:val="004E4AD0"/>
    <w:rsid w:val="004E5771"/>
    <w:rsid w:val="004E5FC7"/>
    <w:rsid w:val="004E6500"/>
    <w:rsid w:val="004E68DE"/>
    <w:rsid w:val="004E6C32"/>
    <w:rsid w:val="004E755E"/>
    <w:rsid w:val="004F0FDE"/>
    <w:rsid w:val="004F165A"/>
    <w:rsid w:val="004F1872"/>
    <w:rsid w:val="004F47B3"/>
    <w:rsid w:val="004F578D"/>
    <w:rsid w:val="004F7488"/>
    <w:rsid w:val="00500594"/>
    <w:rsid w:val="00500B91"/>
    <w:rsid w:val="00501554"/>
    <w:rsid w:val="005044EC"/>
    <w:rsid w:val="00505A31"/>
    <w:rsid w:val="0050648E"/>
    <w:rsid w:val="00507C2F"/>
    <w:rsid w:val="005100AF"/>
    <w:rsid w:val="005110C4"/>
    <w:rsid w:val="005118B6"/>
    <w:rsid w:val="005131C0"/>
    <w:rsid w:val="00513CB8"/>
    <w:rsid w:val="00515303"/>
    <w:rsid w:val="00515331"/>
    <w:rsid w:val="00517C9B"/>
    <w:rsid w:val="00520A23"/>
    <w:rsid w:val="00520E1E"/>
    <w:rsid w:val="00521689"/>
    <w:rsid w:val="0052203A"/>
    <w:rsid w:val="00522AB6"/>
    <w:rsid w:val="00523165"/>
    <w:rsid w:val="00524139"/>
    <w:rsid w:val="005243E3"/>
    <w:rsid w:val="00524CEC"/>
    <w:rsid w:val="0052548E"/>
    <w:rsid w:val="00526556"/>
    <w:rsid w:val="00526F6C"/>
    <w:rsid w:val="00527535"/>
    <w:rsid w:val="00527ABD"/>
    <w:rsid w:val="00527D28"/>
    <w:rsid w:val="00530403"/>
    <w:rsid w:val="00530849"/>
    <w:rsid w:val="00530EA1"/>
    <w:rsid w:val="00531935"/>
    <w:rsid w:val="00531D06"/>
    <w:rsid w:val="00532668"/>
    <w:rsid w:val="005327FF"/>
    <w:rsid w:val="00534458"/>
    <w:rsid w:val="00534583"/>
    <w:rsid w:val="00534794"/>
    <w:rsid w:val="00537833"/>
    <w:rsid w:val="00537C06"/>
    <w:rsid w:val="00537CBD"/>
    <w:rsid w:val="00540432"/>
    <w:rsid w:val="005429B5"/>
    <w:rsid w:val="00544223"/>
    <w:rsid w:val="00545168"/>
    <w:rsid w:val="005457DA"/>
    <w:rsid w:val="00547AE1"/>
    <w:rsid w:val="005516D0"/>
    <w:rsid w:val="00551AE2"/>
    <w:rsid w:val="00551B11"/>
    <w:rsid w:val="00551E1A"/>
    <w:rsid w:val="0055248C"/>
    <w:rsid w:val="0055329D"/>
    <w:rsid w:val="0055356F"/>
    <w:rsid w:val="0055409B"/>
    <w:rsid w:val="0055481A"/>
    <w:rsid w:val="00554B99"/>
    <w:rsid w:val="00555428"/>
    <w:rsid w:val="005555E0"/>
    <w:rsid w:val="005558E4"/>
    <w:rsid w:val="00557959"/>
    <w:rsid w:val="00561878"/>
    <w:rsid w:val="00561CC4"/>
    <w:rsid w:val="00562262"/>
    <w:rsid w:val="005633A4"/>
    <w:rsid w:val="00563521"/>
    <w:rsid w:val="0056375E"/>
    <w:rsid w:val="005663BE"/>
    <w:rsid w:val="005671FA"/>
    <w:rsid w:val="005707E7"/>
    <w:rsid w:val="005710D6"/>
    <w:rsid w:val="005718B4"/>
    <w:rsid w:val="00572214"/>
    <w:rsid w:val="00572E4A"/>
    <w:rsid w:val="005730E1"/>
    <w:rsid w:val="00574C39"/>
    <w:rsid w:val="005753D7"/>
    <w:rsid w:val="00577848"/>
    <w:rsid w:val="005808F4"/>
    <w:rsid w:val="0058099E"/>
    <w:rsid w:val="00580F02"/>
    <w:rsid w:val="00581214"/>
    <w:rsid w:val="005816EC"/>
    <w:rsid w:val="00581B3E"/>
    <w:rsid w:val="00582B39"/>
    <w:rsid w:val="00582E3A"/>
    <w:rsid w:val="005831DC"/>
    <w:rsid w:val="00584723"/>
    <w:rsid w:val="0058498D"/>
    <w:rsid w:val="00585A99"/>
    <w:rsid w:val="00586258"/>
    <w:rsid w:val="00586E84"/>
    <w:rsid w:val="00587EDC"/>
    <w:rsid w:val="005901BA"/>
    <w:rsid w:val="00591E27"/>
    <w:rsid w:val="00592EFC"/>
    <w:rsid w:val="00594062"/>
    <w:rsid w:val="00594B30"/>
    <w:rsid w:val="00594DFE"/>
    <w:rsid w:val="00595080"/>
    <w:rsid w:val="0059579B"/>
    <w:rsid w:val="005958A2"/>
    <w:rsid w:val="005959A9"/>
    <w:rsid w:val="00595A9E"/>
    <w:rsid w:val="005963C7"/>
    <w:rsid w:val="005973BC"/>
    <w:rsid w:val="00597D65"/>
    <w:rsid w:val="005A014E"/>
    <w:rsid w:val="005A0910"/>
    <w:rsid w:val="005A187F"/>
    <w:rsid w:val="005A283A"/>
    <w:rsid w:val="005A2F51"/>
    <w:rsid w:val="005A3EBC"/>
    <w:rsid w:val="005A4892"/>
    <w:rsid w:val="005A686E"/>
    <w:rsid w:val="005A7180"/>
    <w:rsid w:val="005A78AC"/>
    <w:rsid w:val="005A797B"/>
    <w:rsid w:val="005A7D2B"/>
    <w:rsid w:val="005B0BE4"/>
    <w:rsid w:val="005B0D38"/>
    <w:rsid w:val="005B0DD9"/>
    <w:rsid w:val="005B18C2"/>
    <w:rsid w:val="005B2800"/>
    <w:rsid w:val="005B2C35"/>
    <w:rsid w:val="005B324D"/>
    <w:rsid w:val="005B3E9E"/>
    <w:rsid w:val="005B4035"/>
    <w:rsid w:val="005B6E0B"/>
    <w:rsid w:val="005B6EF2"/>
    <w:rsid w:val="005B73C6"/>
    <w:rsid w:val="005B777B"/>
    <w:rsid w:val="005C09B7"/>
    <w:rsid w:val="005C1A3F"/>
    <w:rsid w:val="005C1E07"/>
    <w:rsid w:val="005C3AF5"/>
    <w:rsid w:val="005C3CC9"/>
    <w:rsid w:val="005C3E2F"/>
    <w:rsid w:val="005C68CE"/>
    <w:rsid w:val="005D0522"/>
    <w:rsid w:val="005D0BD1"/>
    <w:rsid w:val="005D0C47"/>
    <w:rsid w:val="005D0EF6"/>
    <w:rsid w:val="005D1362"/>
    <w:rsid w:val="005D1493"/>
    <w:rsid w:val="005D21CD"/>
    <w:rsid w:val="005D2FAA"/>
    <w:rsid w:val="005D3416"/>
    <w:rsid w:val="005D3D97"/>
    <w:rsid w:val="005D3F09"/>
    <w:rsid w:val="005D436D"/>
    <w:rsid w:val="005D52FE"/>
    <w:rsid w:val="005D5EE3"/>
    <w:rsid w:val="005D5FF4"/>
    <w:rsid w:val="005D60CC"/>
    <w:rsid w:val="005D6167"/>
    <w:rsid w:val="005D61A5"/>
    <w:rsid w:val="005D631C"/>
    <w:rsid w:val="005D6806"/>
    <w:rsid w:val="005D6E94"/>
    <w:rsid w:val="005D7294"/>
    <w:rsid w:val="005D7BAA"/>
    <w:rsid w:val="005E1D74"/>
    <w:rsid w:val="005E2889"/>
    <w:rsid w:val="005E2C1E"/>
    <w:rsid w:val="005E2CF0"/>
    <w:rsid w:val="005E32AE"/>
    <w:rsid w:val="005E36DC"/>
    <w:rsid w:val="005E5272"/>
    <w:rsid w:val="005E5697"/>
    <w:rsid w:val="005E61E4"/>
    <w:rsid w:val="005E62E5"/>
    <w:rsid w:val="005E6802"/>
    <w:rsid w:val="005E6830"/>
    <w:rsid w:val="005F02A3"/>
    <w:rsid w:val="005F0EFA"/>
    <w:rsid w:val="005F2C61"/>
    <w:rsid w:val="005F2C79"/>
    <w:rsid w:val="005F34AD"/>
    <w:rsid w:val="005F376A"/>
    <w:rsid w:val="005F41A9"/>
    <w:rsid w:val="005F423E"/>
    <w:rsid w:val="005F482C"/>
    <w:rsid w:val="005F5701"/>
    <w:rsid w:val="005F66A6"/>
    <w:rsid w:val="005F6BF5"/>
    <w:rsid w:val="005F6DFE"/>
    <w:rsid w:val="005F7875"/>
    <w:rsid w:val="0060059F"/>
    <w:rsid w:val="00600662"/>
    <w:rsid w:val="00600678"/>
    <w:rsid w:val="006018BE"/>
    <w:rsid w:val="0060266B"/>
    <w:rsid w:val="00602DB1"/>
    <w:rsid w:val="00602F2A"/>
    <w:rsid w:val="00603214"/>
    <w:rsid w:val="00603519"/>
    <w:rsid w:val="00603CAE"/>
    <w:rsid w:val="006047D8"/>
    <w:rsid w:val="006049D2"/>
    <w:rsid w:val="00605672"/>
    <w:rsid w:val="00606773"/>
    <w:rsid w:val="00606F51"/>
    <w:rsid w:val="00607240"/>
    <w:rsid w:val="00607321"/>
    <w:rsid w:val="00607A07"/>
    <w:rsid w:val="0061003A"/>
    <w:rsid w:val="0061310A"/>
    <w:rsid w:val="006151B9"/>
    <w:rsid w:val="00615209"/>
    <w:rsid w:val="006156DC"/>
    <w:rsid w:val="00615BF8"/>
    <w:rsid w:val="00615E46"/>
    <w:rsid w:val="00616C9A"/>
    <w:rsid w:val="0061799E"/>
    <w:rsid w:val="00617AAB"/>
    <w:rsid w:val="00617E6A"/>
    <w:rsid w:val="006207B0"/>
    <w:rsid w:val="00621698"/>
    <w:rsid w:val="0062237B"/>
    <w:rsid w:val="00622816"/>
    <w:rsid w:val="00622B0D"/>
    <w:rsid w:val="00623055"/>
    <w:rsid w:val="00623799"/>
    <w:rsid w:val="00624643"/>
    <w:rsid w:val="006248A6"/>
    <w:rsid w:val="00626983"/>
    <w:rsid w:val="00626CA6"/>
    <w:rsid w:val="006278B1"/>
    <w:rsid w:val="00627C83"/>
    <w:rsid w:val="006300BD"/>
    <w:rsid w:val="006304B1"/>
    <w:rsid w:val="006304FA"/>
    <w:rsid w:val="0063353D"/>
    <w:rsid w:val="00633ED9"/>
    <w:rsid w:val="00635CA1"/>
    <w:rsid w:val="00640744"/>
    <w:rsid w:val="00640A64"/>
    <w:rsid w:val="00642254"/>
    <w:rsid w:val="00643968"/>
    <w:rsid w:val="00644499"/>
    <w:rsid w:val="00645C14"/>
    <w:rsid w:val="00645D77"/>
    <w:rsid w:val="0064652C"/>
    <w:rsid w:val="0064679A"/>
    <w:rsid w:val="00647736"/>
    <w:rsid w:val="006513B8"/>
    <w:rsid w:val="00651592"/>
    <w:rsid w:val="00651B10"/>
    <w:rsid w:val="006520F1"/>
    <w:rsid w:val="00652A30"/>
    <w:rsid w:val="006530B5"/>
    <w:rsid w:val="00653AB2"/>
    <w:rsid w:val="0065540C"/>
    <w:rsid w:val="00655429"/>
    <w:rsid w:val="0065596D"/>
    <w:rsid w:val="006566C3"/>
    <w:rsid w:val="0065700B"/>
    <w:rsid w:val="006578C3"/>
    <w:rsid w:val="006578D0"/>
    <w:rsid w:val="00657B66"/>
    <w:rsid w:val="0066107A"/>
    <w:rsid w:val="00661637"/>
    <w:rsid w:val="00662162"/>
    <w:rsid w:val="00662D5B"/>
    <w:rsid w:val="006635DF"/>
    <w:rsid w:val="0066448D"/>
    <w:rsid w:val="0066449B"/>
    <w:rsid w:val="00664938"/>
    <w:rsid w:val="00666410"/>
    <w:rsid w:val="00667D66"/>
    <w:rsid w:val="006701AE"/>
    <w:rsid w:val="00670EE6"/>
    <w:rsid w:val="00671871"/>
    <w:rsid w:val="00671887"/>
    <w:rsid w:val="00671B92"/>
    <w:rsid w:val="0067240D"/>
    <w:rsid w:val="00673327"/>
    <w:rsid w:val="00673497"/>
    <w:rsid w:val="00675AC8"/>
    <w:rsid w:val="00675D8F"/>
    <w:rsid w:val="00675FCD"/>
    <w:rsid w:val="006824E0"/>
    <w:rsid w:val="006842B7"/>
    <w:rsid w:val="00684431"/>
    <w:rsid w:val="00685DE1"/>
    <w:rsid w:val="00690494"/>
    <w:rsid w:val="00691F34"/>
    <w:rsid w:val="0069271A"/>
    <w:rsid w:val="00694060"/>
    <w:rsid w:val="00694213"/>
    <w:rsid w:val="00695E1B"/>
    <w:rsid w:val="00695E70"/>
    <w:rsid w:val="006971B8"/>
    <w:rsid w:val="00697C15"/>
    <w:rsid w:val="00697FE7"/>
    <w:rsid w:val="006A0CA9"/>
    <w:rsid w:val="006A0D6B"/>
    <w:rsid w:val="006A1078"/>
    <w:rsid w:val="006A2794"/>
    <w:rsid w:val="006A2846"/>
    <w:rsid w:val="006A2A72"/>
    <w:rsid w:val="006A2DCE"/>
    <w:rsid w:val="006A3FED"/>
    <w:rsid w:val="006A427F"/>
    <w:rsid w:val="006A4309"/>
    <w:rsid w:val="006A56BA"/>
    <w:rsid w:val="006A62F9"/>
    <w:rsid w:val="006A687B"/>
    <w:rsid w:val="006B12E3"/>
    <w:rsid w:val="006B12F3"/>
    <w:rsid w:val="006B25A8"/>
    <w:rsid w:val="006B2E2C"/>
    <w:rsid w:val="006B32F5"/>
    <w:rsid w:val="006B3AFD"/>
    <w:rsid w:val="006B3F34"/>
    <w:rsid w:val="006B67BC"/>
    <w:rsid w:val="006B7B30"/>
    <w:rsid w:val="006B7CD1"/>
    <w:rsid w:val="006B7DDF"/>
    <w:rsid w:val="006B7F2D"/>
    <w:rsid w:val="006C031E"/>
    <w:rsid w:val="006C094F"/>
    <w:rsid w:val="006C14E1"/>
    <w:rsid w:val="006C17B7"/>
    <w:rsid w:val="006C227F"/>
    <w:rsid w:val="006C3412"/>
    <w:rsid w:val="006C3C1A"/>
    <w:rsid w:val="006C4A0E"/>
    <w:rsid w:val="006C511D"/>
    <w:rsid w:val="006C7255"/>
    <w:rsid w:val="006D1619"/>
    <w:rsid w:val="006D1849"/>
    <w:rsid w:val="006D306D"/>
    <w:rsid w:val="006D332E"/>
    <w:rsid w:val="006D450A"/>
    <w:rsid w:val="006D4799"/>
    <w:rsid w:val="006D5F00"/>
    <w:rsid w:val="006D74A5"/>
    <w:rsid w:val="006D7E2E"/>
    <w:rsid w:val="006E0BA3"/>
    <w:rsid w:val="006E0C81"/>
    <w:rsid w:val="006E0D0C"/>
    <w:rsid w:val="006E1F2A"/>
    <w:rsid w:val="006E201C"/>
    <w:rsid w:val="006E3265"/>
    <w:rsid w:val="006E359E"/>
    <w:rsid w:val="006E5C5E"/>
    <w:rsid w:val="006E7097"/>
    <w:rsid w:val="006F043A"/>
    <w:rsid w:val="006F0877"/>
    <w:rsid w:val="006F1CAC"/>
    <w:rsid w:val="006F435B"/>
    <w:rsid w:val="006F4DF2"/>
    <w:rsid w:val="006F6124"/>
    <w:rsid w:val="006F67AA"/>
    <w:rsid w:val="006F72E8"/>
    <w:rsid w:val="00700731"/>
    <w:rsid w:val="00700E71"/>
    <w:rsid w:val="00701353"/>
    <w:rsid w:val="00702036"/>
    <w:rsid w:val="00702347"/>
    <w:rsid w:val="00702720"/>
    <w:rsid w:val="00704114"/>
    <w:rsid w:val="0070528A"/>
    <w:rsid w:val="00705662"/>
    <w:rsid w:val="00707A8C"/>
    <w:rsid w:val="00707CDF"/>
    <w:rsid w:val="00710C37"/>
    <w:rsid w:val="00712109"/>
    <w:rsid w:val="00712A6F"/>
    <w:rsid w:val="007130D6"/>
    <w:rsid w:val="007142A7"/>
    <w:rsid w:val="00714E57"/>
    <w:rsid w:val="0071502D"/>
    <w:rsid w:val="00715549"/>
    <w:rsid w:val="00715630"/>
    <w:rsid w:val="007162DD"/>
    <w:rsid w:val="00716661"/>
    <w:rsid w:val="007166A2"/>
    <w:rsid w:val="00716F21"/>
    <w:rsid w:val="00717A70"/>
    <w:rsid w:val="00717BCA"/>
    <w:rsid w:val="00720465"/>
    <w:rsid w:val="007204ED"/>
    <w:rsid w:val="00720EB3"/>
    <w:rsid w:val="00721264"/>
    <w:rsid w:val="0072176E"/>
    <w:rsid w:val="00721974"/>
    <w:rsid w:val="00721DC4"/>
    <w:rsid w:val="0072203C"/>
    <w:rsid w:val="007224CC"/>
    <w:rsid w:val="00722CB1"/>
    <w:rsid w:val="00723086"/>
    <w:rsid w:val="00723489"/>
    <w:rsid w:val="007236CF"/>
    <w:rsid w:val="00723D15"/>
    <w:rsid w:val="00723E80"/>
    <w:rsid w:val="00726332"/>
    <w:rsid w:val="00726721"/>
    <w:rsid w:val="00727054"/>
    <w:rsid w:val="007270FF"/>
    <w:rsid w:val="00727BA2"/>
    <w:rsid w:val="0073470B"/>
    <w:rsid w:val="00734A79"/>
    <w:rsid w:val="007350AE"/>
    <w:rsid w:val="00735E53"/>
    <w:rsid w:val="007362DA"/>
    <w:rsid w:val="00737F9A"/>
    <w:rsid w:val="007403B2"/>
    <w:rsid w:val="00740B94"/>
    <w:rsid w:val="00740FC5"/>
    <w:rsid w:val="007410F2"/>
    <w:rsid w:val="007423EA"/>
    <w:rsid w:val="007423F3"/>
    <w:rsid w:val="007439D1"/>
    <w:rsid w:val="00743C72"/>
    <w:rsid w:val="007441C0"/>
    <w:rsid w:val="00744BDA"/>
    <w:rsid w:val="00744F0F"/>
    <w:rsid w:val="00745106"/>
    <w:rsid w:val="007467D3"/>
    <w:rsid w:val="00750E14"/>
    <w:rsid w:val="007514A8"/>
    <w:rsid w:val="00751D2E"/>
    <w:rsid w:val="007521AE"/>
    <w:rsid w:val="00752780"/>
    <w:rsid w:val="00752AB0"/>
    <w:rsid w:val="0075425A"/>
    <w:rsid w:val="007548C2"/>
    <w:rsid w:val="00756581"/>
    <w:rsid w:val="00760A21"/>
    <w:rsid w:val="00760D30"/>
    <w:rsid w:val="00762878"/>
    <w:rsid w:val="00762A06"/>
    <w:rsid w:val="00763729"/>
    <w:rsid w:val="00763E8C"/>
    <w:rsid w:val="007640AE"/>
    <w:rsid w:val="0076611E"/>
    <w:rsid w:val="00767258"/>
    <w:rsid w:val="00770507"/>
    <w:rsid w:val="00771322"/>
    <w:rsid w:val="00771807"/>
    <w:rsid w:val="007730FB"/>
    <w:rsid w:val="00773E86"/>
    <w:rsid w:val="00774E80"/>
    <w:rsid w:val="007751D9"/>
    <w:rsid w:val="00775588"/>
    <w:rsid w:val="007761E4"/>
    <w:rsid w:val="007763E2"/>
    <w:rsid w:val="0078009D"/>
    <w:rsid w:val="00780510"/>
    <w:rsid w:val="00780544"/>
    <w:rsid w:val="0078081C"/>
    <w:rsid w:val="007809E3"/>
    <w:rsid w:val="00780C2D"/>
    <w:rsid w:val="00780FAF"/>
    <w:rsid w:val="007813FA"/>
    <w:rsid w:val="0078344A"/>
    <w:rsid w:val="00784602"/>
    <w:rsid w:val="00784BB8"/>
    <w:rsid w:val="007875A1"/>
    <w:rsid w:val="0079048B"/>
    <w:rsid w:val="00791533"/>
    <w:rsid w:val="00791686"/>
    <w:rsid w:val="00791AFA"/>
    <w:rsid w:val="00791C84"/>
    <w:rsid w:val="0079216E"/>
    <w:rsid w:val="00792C56"/>
    <w:rsid w:val="00793BFA"/>
    <w:rsid w:val="0079412E"/>
    <w:rsid w:val="007941D7"/>
    <w:rsid w:val="00795624"/>
    <w:rsid w:val="007965C9"/>
    <w:rsid w:val="00796A8E"/>
    <w:rsid w:val="007A06E3"/>
    <w:rsid w:val="007A1843"/>
    <w:rsid w:val="007A1A93"/>
    <w:rsid w:val="007A1D59"/>
    <w:rsid w:val="007A246F"/>
    <w:rsid w:val="007A2879"/>
    <w:rsid w:val="007A2FEB"/>
    <w:rsid w:val="007A2FF3"/>
    <w:rsid w:val="007A3227"/>
    <w:rsid w:val="007A3CBF"/>
    <w:rsid w:val="007A5314"/>
    <w:rsid w:val="007A57E3"/>
    <w:rsid w:val="007A5B09"/>
    <w:rsid w:val="007A6376"/>
    <w:rsid w:val="007A6B1C"/>
    <w:rsid w:val="007B1236"/>
    <w:rsid w:val="007B16C2"/>
    <w:rsid w:val="007B26A5"/>
    <w:rsid w:val="007B27EE"/>
    <w:rsid w:val="007B39DD"/>
    <w:rsid w:val="007B41A5"/>
    <w:rsid w:val="007B4FD6"/>
    <w:rsid w:val="007B6AF8"/>
    <w:rsid w:val="007B7805"/>
    <w:rsid w:val="007C00F5"/>
    <w:rsid w:val="007C0543"/>
    <w:rsid w:val="007C081C"/>
    <w:rsid w:val="007C0AE3"/>
    <w:rsid w:val="007C102B"/>
    <w:rsid w:val="007C10C8"/>
    <w:rsid w:val="007C2B09"/>
    <w:rsid w:val="007C2D2C"/>
    <w:rsid w:val="007C309C"/>
    <w:rsid w:val="007C46B4"/>
    <w:rsid w:val="007C49C6"/>
    <w:rsid w:val="007C4D59"/>
    <w:rsid w:val="007C5AD6"/>
    <w:rsid w:val="007C5CE3"/>
    <w:rsid w:val="007C5FBC"/>
    <w:rsid w:val="007C76C5"/>
    <w:rsid w:val="007D059E"/>
    <w:rsid w:val="007D05B5"/>
    <w:rsid w:val="007D2111"/>
    <w:rsid w:val="007D2FB5"/>
    <w:rsid w:val="007D4139"/>
    <w:rsid w:val="007D5061"/>
    <w:rsid w:val="007D5851"/>
    <w:rsid w:val="007D5F6E"/>
    <w:rsid w:val="007E04F8"/>
    <w:rsid w:val="007E1412"/>
    <w:rsid w:val="007E1990"/>
    <w:rsid w:val="007E1AC8"/>
    <w:rsid w:val="007E1B40"/>
    <w:rsid w:val="007E246C"/>
    <w:rsid w:val="007E2D1C"/>
    <w:rsid w:val="007E3640"/>
    <w:rsid w:val="007E3E6A"/>
    <w:rsid w:val="007E4C80"/>
    <w:rsid w:val="007E5F43"/>
    <w:rsid w:val="007E6F71"/>
    <w:rsid w:val="007E70E9"/>
    <w:rsid w:val="007E7F68"/>
    <w:rsid w:val="007F2AC6"/>
    <w:rsid w:val="007F38C9"/>
    <w:rsid w:val="007F4A9E"/>
    <w:rsid w:val="007F4AF1"/>
    <w:rsid w:val="007F4D11"/>
    <w:rsid w:val="007F537F"/>
    <w:rsid w:val="007F7C58"/>
    <w:rsid w:val="00800F97"/>
    <w:rsid w:val="00802D34"/>
    <w:rsid w:val="0080481D"/>
    <w:rsid w:val="00804969"/>
    <w:rsid w:val="0080523C"/>
    <w:rsid w:val="00805D15"/>
    <w:rsid w:val="008069CF"/>
    <w:rsid w:val="008076DC"/>
    <w:rsid w:val="00807E5F"/>
    <w:rsid w:val="008103C9"/>
    <w:rsid w:val="0081119A"/>
    <w:rsid w:val="00811F92"/>
    <w:rsid w:val="0081283A"/>
    <w:rsid w:val="008128E0"/>
    <w:rsid w:val="00812F34"/>
    <w:rsid w:val="00813000"/>
    <w:rsid w:val="008134B2"/>
    <w:rsid w:val="00814635"/>
    <w:rsid w:val="008146C7"/>
    <w:rsid w:val="00815747"/>
    <w:rsid w:val="0081639F"/>
    <w:rsid w:val="00816E37"/>
    <w:rsid w:val="00816F36"/>
    <w:rsid w:val="008202BD"/>
    <w:rsid w:val="00820D3D"/>
    <w:rsid w:val="00821937"/>
    <w:rsid w:val="00821F2B"/>
    <w:rsid w:val="00822155"/>
    <w:rsid w:val="008223C5"/>
    <w:rsid w:val="008230FF"/>
    <w:rsid w:val="008239F2"/>
    <w:rsid w:val="00823CB5"/>
    <w:rsid w:val="00824C50"/>
    <w:rsid w:val="008300AD"/>
    <w:rsid w:val="0083368B"/>
    <w:rsid w:val="0083385D"/>
    <w:rsid w:val="00834683"/>
    <w:rsid w:val="00834AC1"/>
    <w:rsid w:val="00834F1A"/>
    <w:rsid w:val="0083513A"/>
    <w:rsid w:val="00835A29"/>
    <w:rsid w:val="00835EFB"/>
    <w:rsid w:val="008361D3"/>
    <w:rsid w:val="008368B2"/>
    <w:rsid w:val="00836F40"/>
    <w:rsid w:val="00837022"/>
    <w:rsid w:val="008376AE"/>
    <w:rsid w:val="008415CD"/>
    <w:rsid w:val="00841C57"/>
    <w:rsid w:val="0084352B"/>
    <w:rsid w:val="00844DE2"/>
    <w:rsid w:val="0084514D"/>
    <w:rsid w:val="0084529B"/>
    <w:rsid w:val="00846874"/>
    <w:rsid w:val="00847467"/>
    <w:rsid w:val="00847F67"/>
    <w:rsid w:val="0085005C"/>
    <w:rsid w:val="0085047C"/>
    <w:rsid w:val="0085071E"/>
    <w:rsid w:val="008518CD"/>
    <w:rsid w:val="008520B1"/>
    <w:rsid w:val="0085214D"/>
    <w:rsid w:val="0085480A"/>
    <w:rsid w:val="00854FB3"/>
    <w:rsid w:val="008558DF"/>
    <w:rsid w:val="00855A96"/>
    <w:rsid w:val="00855C65"/>
    <w:rsid w:val="0085710A"/>
    <w:rsid w:val="008577AA"/>
    <w:rsid w:val="00860DEE"/>
    <w:rsid w:val="00861EBA"/>
    <w:rsid w:val="008634B6"/>
    <w:rsid w:val="0086393A"/>
    <w:rsid w:val="00863EED"/>
    <w:rsid w:val="0086446C"/>
    <w:rsid w:val="00866077"/>
    <w:rsid w:val="00866583"/>
    <w:rsid w:val="00866C27"/>
    <w:rsid w:val="00867DE6"/>
    <w:rsid w:val="0087083F"/>
    <w:rsid w:val="008718B9"/>
    <w:rsid w:val="00873257"/>
    <w:rsid w:val="0087421B"/>
    <w:rsid w:val="00874388"/>
    <w:rsid w:val="008752AB"/>
    <w:rsid w:val="00875A09"/>
    <w:rsid w:val="00875B6C"/>
    <w:rsid w:val="00875CCC"/>
    <w:rsid w:val="0087639C"/>
    <w:rsid w:val="00876BC5"/>
    <w:rsid w:val="00877816"/>
    <w:rsid w:val="00877B2B"/>
    <w:rsid w:val="008801EC"/>
    <w:rsid w:val="00880463"/>
    <w:rsid w:val="0088050B"/>
    <w:rsid w:val="00880AB0"/>
    <w:rsid w:val="00880CA5"/>
    <w:rsid w:val="00882BB1"/>
    <w:rsid w:val="00882C3A"/>
    <w:rsid w:val="008847C0"/>
    <w:rsid w:val="0088666B"/>
    <w:rsid w:val="00886767"/>
    <w:rsid w:val="00886877"/>
    <w:rsid w:val="00887DB9"/>
    <w:rsid w:val="00890E76"/>
    <w:rsid w:val="00892B5B"/>
    <w:rsid w:val="00892EDD"/>
    <w:rsid w:val="00893EDE"/>
    <w:rsid w:val="00894680"/>
    <w:rsid w:val="00894B8C"/>
    <w:rsid w:val="008951E8"/>
    <w:rsid w:val="00895A9C"/>
    <w:rsid w:val="00896816"/>
    <w:rsid w:val="00896959"/>
    <w:rsid w:val="0089709A"/>
    <w:rsid w:val="00897CE8"/>
    <w:rsid w:val="008A2157"/>
    <w:rsid w:val="008A35B2"/>
    <w:rsid w:val="008A375D"/>
    <w:rsid w:val="008A51F3"/>
    <w:rsid w:val="008A5507"/>
    <w:rsid w:val="008A6761"/>
    <w:rsid w:val="008A6BAC"/>
    <w:rsid w:val="008A6C97"/>
    <w:rsid w:val="008A712F"/>
    <w:rsid w:val="008A74EF"/>
    <w:rsid w:val="008B29D9"/>
    <w:rsid w:val="008B2E6E"/>
    <w:rsid w:val="008B37F7"/>
    <w:rsid w:val="008B57A3"/>
    <w:rsid w:val="008B5E6D"/>
    <w:rsid w:val="008B61B4"/>
    <w:rsid w:val="008B6A7C"/>
    <w:rsid w:val="008B79E8"/>
    <w:rsid w:val="008C063F"/>
    <w:rsid w:val="008C06F2"/>
    <w:rsid w:val="008C12B5"/>
    <w:rsid w:val="008C15F4"/>
    <w:rsid w:val="008C1715"/>
    <w:rsid w:val="008C1FDB"/>
    <w:rsid w:val="008C3196"/>
    <w:rsid w:val="008C454E"/>
    <w:rsid w:val="008C7161"/>
    <w:rsid w:val="008C744A"/>
    <w:rsid w:val="008D0129"/>
    <w:rsid w:val="008D0162"/>
    <w:rsid w:val="008D0C1C"/>
    <w:rsid w:val="008D10C8"/>
    <w:rsid w:val="008D12C0"/>
    <w:rsid w:val="008D159A"/>
    <w:rsid w:val="008D35D3"/>
    <w:rsid w:val="008D3B8A"/>
    <w:rsid w:val="008D4433"/>
    <w:rsid w:val="008D49C8"/>
    <w:rsid w:val="008D4AC9"/>
    <w:rsid w:val="008D60B6"/>
    <w:rsid w:val="008E0079"/>
    <w:rsid w:val="008E0175"/>
    <w:rsid w:val="008E05C9"/>
    <w:rsid w:val="008E0EEF"/>
    <w:rsid w:val="008E1AA8"/>
    <w:rsid w:val="008E243A"/>
    <w:rsid w:val="008E2815"/>
    <w:rsid w:val="008E5C59"/>
    <w:rsid w:val="008E6053"/>
    <w:rsid w:val="008E6570"/>
    <w:rsid w:val="008E674E"/>
    <w:rsid w:val="008E7522"/>
    <w:rsid w:val="008E7BC5"/>
    <w:rsid w:val="008E7D85"/>
    <w:rsid w:val="008F0724"/>
    <w:rsid w:val="008F0A20"/>
    <w:rsid w:val="008F0BCF"/>
    <w:rsid w:val="008F0D12"/>
    <w:rsid w:val="008F11D7"/>
    <w:rsid w:val="008F1733"/>
    <w:rsid w:val="008F2C4F"/>
    <w:rsid w:val="008F2F78"/>
    <w:rsid w:val="008F32E1"/>
    <w:rsid w:val="008F3443"/>
    <w:rsid w:val="008F3874"/>
    <w:rsid w:val="008F4F2B"/>
    <w:rsid w:val="008F5E99"/>
    <w:rsid w:val="008F6274"/>
    <w:rsid w:val="008F6AFF"/>
    <w:rsid w:val="008F70CB"/>
    <w:rsid w:val="008F712C"/>
    <w:rsid w:val="00900011"/>
    <w:rsid w:val="00900C4B"/>
    <w:rsid w:val="00903116"/>
    <w:rsid w:val="00904571"/>
    <w:rsid w:val="0090496F"/>
    <w:rsid w:val="009053C4"/>
    <w:rsid w:val="009060B0"/>
    <w:rsid w:val="009060DE"/>
    <w:rsid w:val="009061B1"/>
    <w:rsid w:val="00906F4F"/>
    <w:rsid w:val="00907865"/>
    <w:rsid w:val="00910404"/>
    <w:rsid w:val="00910D98"/>
    <w:rsid w:val="0091157A"/>
    <w:rsid w:val="00911813"/>
    <w:rsid w:val="00911ACC"/>
    <w:rsid w:val="00912B57"/>
    <w:rsid w:val="009137F8"/>
    <w:rsid w:val="00913AEC"/>
    <w:rsid w:val="00914037"/>
    <w:rsid w:val="0091454B"/>
    <w:rsid w:val="00914F49"/>
    <w:rsid w:val="00916C8C"/>
    <w:rsid w:val="00917549"/>
    <w:rsid w:val="009178AD"/>
    <w:rsid w:val="00920908"/>
    <w:rsid w:val="00920B65"/>
    <w:rsid w:val="0092144E"/>
    <w:rsid w:val="009217BE"/>
    <w:rsid w:val="009224A7"/>
    <w:rsid w:val="009231FD"/>
    <w:rsid w:val="0092365A"/>
    <w:rsid w:val="009236C6"/>
    <w:rsid w:val="009239BA"/>
    <w:rsid w:val="00924044"/>
    <w:rsid w:val="0092462C"/>
    <w:rsid w:val="00925940"/>
    <w:rsid w:val="00926350"/>
    <w:rsid w:val="009270BF"/>
    <w:rsid w:val="00927AB6"/>
    <w:rsid w:val="00931C46"/>
    <w:rsid w:val="00931DAB"/>
    <w:rsid w:val="00931FC4"/>
    <w:rsid w:val="00932C8F"/>
    <w:rsid w:val="00933445"/>
    <w:rsid w:val="0093375A"/>
    <w:rsid w:val="009344AF"/>
    <w:rsid w:val="009357D8"/>
    <w:rsid w:val="009366D6"/>
    <w:rsid w:val="00936953"/>
    <w:rsid w:val="00937F5B"/>
    <w:rsid w:val="00940E72"/>
    <w:rsid w:val="00942662"/>
    <w:rsid w:val="0094336E"/>
    <w:rsid w:val="00943506"/>
    <w:rsid w:val="00943C36"/>
    <w:rsid w:val="00944CC7"/>
    <w:rsid w:val="0094501A"/>
    <w:rsid w:val="00945396"/>
    <w:rsid w:val="00945856"/>
    <w:rsid w:val="00945997"/>
    <w:rsid w:val="00946B3A"/>
    <w:rsid w:val="009472E7"/>
    <w:rsid w:val="00950313"/>
    <w:rsid w:val="00950A1B"/>
    <w:rsid w:val="00950C99"/>
    <w:rsid w:val="00950F35"/>
    <w:rsid w:val="00951730"/>
    <w:rsid w:val="0095178F"/>
    <w:rsid w:val="009524D1"/>
    <w:rsid w:val="009524F8"/>
    <w:rsid w:val="009527B1"/>
    <w:rsid w:val="00954A6D"/>
    <w:rsid w:val="00954BA6"/>
    <w:rsid w:val="00954C41"/>
    <w:rsid w:val="009556F8"/>
    <w:rsid w:val="00955C8A"/>
    <w:rsid w:val="00955E00"/>
    <w:rsid w:val="00956043"/>
    <w:rsid w:val="009564D1"/>
    <w:rsid w:val="0095675D"/>
    <w:rsid w:val="009572A6"/>
    <w:rsid w:val="0096110C"/>
    <w:rsid w:val="00961A14"/>
    <w:rsid w:val="00961ED2"/>
    <w:rsid w:val="00962E5D"/>
    <w:rsid w:val="00963615"/>
    <w:rsid w:val="00964AF7"/>
    <w:rsid w:val="00964CE8"/>
    <w:rsid w:val="00965270"/>
    <w:rsid w:val="009653D5"/>
    <w:rsid w:val="0096553B"/>
    <w:rsid w:val="00967E56"/>
    <w:rsid w:val="00970DC7"/>
    <w:rsid w:val="00971356"/>
    <w:rsid w:val="0097157B"/>
    <w:rsid w:val="00972C35"/>
    <w:rsid w:val="00973E5E"/>
    <w:rsid w:val="00974BFD"/>
    <w:rsid w:val="00974CCC"/>
    <w:rsid w:val="00975759"/>
    <w:rsid w:val="00976C10"/>
    <w:rsid w:val="00977A1C"/>
    <w:rsid w:val="00981450"/>
    <w:rsid w:val="00981AB9"/>
    <w:rsid w:val="00981F25"/>
    <w:rsid w:val="009836FD"/>
    <w:rsid w:val="00983D4F"/>
    <w:rsid w:val="009866F4"/>
    <w:rsid w:val="00986DDA"/>
    <w:rsid w:val="0098714B"/>
    <w:rsid w:val="0099119B"/>
    <w:rsid w:val="009914CD"/>
    <w:rsid w:val="009914DB"/>
    <w:rsid w:val="00992445"/>
    <w:rsid w:val="009929DD"/>
    <w:rsid w:val="009954BA"/>
    <w:rsid w:val="00995CA5"/>
    <w:rsid w:val="0099685B"/>
    <w:rsid w:val="00997D0C"/>
    <w:rsid w:val="00997DDD"/>
    <w:rsid w:val="009A01C1"/>
    <w:rsid w:val="009A1BF2"/>
    <w:rsid w:val="009A2098"/>
    <w:rsid w:val="009A2419"/>
    <w:rsid w:val="009A2FAC"/>
    <w:rsid w:val="009A3639"/>
    <w:rsid w:val="009A3A8A"/>
    <w:rsid w:val="009A490C"/>
    <w:rsid w:val="009A499A"/>
    <w:rsid w:val="009A4A0F"/>
    <w:rsid w:val="009A4E5C"/>
    <w:rsid w:val="009A5825"/>
    <w:rsid w:val="009A6F84"/>
    <w:rsid w:val="009A7522"/>
    <w:rsid w:val="009A76D0"/>
    <w:rsid w:val="009B005B"/>
    <w:rsid w:val="009B0752"/>
    <w:rsid w:val="009B1153"/>
    <w:rsid w:val="009B1EA0"/>
    <w:rsid w:val="009B20C7"/>
    <w:rsid w:val="009B241F"/>
    <w:rsid w:val="009B29C2"/>
    <w:rsid w:val="009B3726"/>
    <w:rsid w:val="009B644E"/>
    <w:rsid w:val="009B6B0B"/>
    <w:rsid w:val="009B6BEA"/>
    <w:rsid w:val="009B6C7C"/>
    <w:rsid w:val="009B725D"/>
    <w:rsid w:val="009B79B6"/>
    <w:rsid w:val="009B7D7C"/>
    <w:rsid w:val="009B7E14"/>
    <w:rsid w:val="009C0362"/>
    <w:rsid w:val="009C1E6B"/>
    <w:rsid w:val="009C20F6"/>
    <w:rsid w:val="009C28CE"/>
    <w:rsid w:val="009C2BCF"/>
    <w:rsid w:val="009C39EF"/>
    <w:rsid w:val="009C5A6B"/>
    <w:rsid w:val="009C62EA"/>
    <w:rsid w:val="009C6635"/>
    <w:rsid w:val="009C704F"/>
    <w:rsid w:val="009C7AC8"/>
    <w:rsid w:val="009D045B"/>
    <w:rsid w:val="009D0DFB"/>
    <w:rsid w:val="009D2158"/>
    <w:rsid w:val="009D2B21"/>
    <w:rsid w:val="009D3078"/>
    <w:rsid w:val="009D33AE"/>
    <w:rsid w:val="009D3E98"/>
    <w:rsid w:val="009D4031"/>
    <w:rsid w:val="009D4621"/>
    <w:rsid w:val="009D63A9"/>
    <w:rsid w:val="009D74B2"/>
    <w:rsid w:val="009E0D01"/>
    <w:rsid w:val="009E14FB"/>
    <w:rsid w:val="009E2036"/>
    <w:rsid w:val="009E2599"/>
    <w:rsid w:val="009E5840"/>
    <w:rsid w:val="009F1F98"/>
    <w:rsid w:val="009F28A3"/>
    <w:rsid w:val="009F2A9E"/>
    <w:rsid w:val="009F33F7"/>
    <w:rsid w:val="009F386B"/>
    <w:rsid w:val="009F42CD"/>
    <w:rsid w:val="009F4326"/>
    <w:rsid w:val="009F497A"/>
    <w:rsid w:val="009F51AC"/>
    <w:rsid w:val="009F5E08"/>
    <w:rsid w:val="009F7426"/>
    <w:rsid w:val="009F79A5"/>
    <w:rsid w:val="00A001C4"/>
    <w:rsid w:val="00A009BC"/>
    <w:rsid w:val="00A03E10"/>
    <w:rsid w:val="00A05828"/>
    <w:rsid w:val="00A05E25"/>
    <w:rsid w:val="00A05E55"/>
    <w:rsid w:val="00A05FAA"/>
    <w:rsid w:val="00A06E40"/>
    <w:rsid w:val="00A07863"/>
    <w:rsid w:val="00A07BC8"/>
    <w:rsid w:val="00A102CA"/>
    <w:rsid w:val="00A103F6"/>
    <w:rsid w:val="00A10D81"/>
    <w:rsid w:val="00A11426"/>
    <w:rsid w:val="00A11554"/>
    <w:rsid w:val="00A11DD6"/>
    <w:rsid w:val="00A1260B"/>
    <w:rsid w:val="00A14351"/>
    <w:rsid w:val="00A14C2C"/>
    <w:rsid w:val="00A15177"/>
    <w:rsid w:val="00A15A1D"/>
    <w:rsid w:val="00A15D7E"/>
    <w:rsid w:val="00A17FFE"/>
    <w:rsid w:val="00A20A9E"/>
    <w:rsid w:val="00A210B4"/>
    <w:rsid w:val="00A217D6"/>
    <w:rsid w:val="00A21934"/>
    <w:rsid w:val="00A2356E"/>
    <w:rsid w:val="00A247D6"/>
    <w:rsid w:val="00A248B5"/>
    <w:rsid w:val="00A254DB"/>
    <w:rsid w:val="00A25A9F"/>
    <w:rsid w:val="00A25AAD"/>
    <w:rsid w:val="00A25BC6"/>
    <w:rsid w:val="00A267BA"/>
    <w:rsid w:val="00A30620"/>
    <w:rsid w:val="00A3247E"/>
    <w:rsid w:val="00A3248E"/>
    <w:rsid w:val="00A33394"/>
    <w:rsid w:val="00A33B8A"/>
    <w:rsid w:val="00A33F62"/>
    <w:rsid w:val="00A3417B"/>
    <w:rsid w:val="00A353F0"/>
    <w:rsid w:val="00A3579E"/>
    <w:rsid w:val="00A35D22"/>
    <w:rsid w:val="00A3604B"/>
    <w:rsid w:val="00A36272"/>
    <w:rsid w:val="00A366A6"/>
    <w:rsid w:val="00A369FF"/>
    <w:rsid w:val="00A36CD1"/>
    <w:rsid w:val="00A40828"/>
    <w:rsid w:val="00A41045"/>
    <w:rsid w:val="00A41EAA"/>
    <w:rsid w:val="00A42CAF"/>
    <w:rsid w:val="00A43586"/>
    <w:rsid w:val="00A43B12"/>
    <w:rsid w:val="00A43F55"/>
    <w:rsid w:val="00A44256"/>
    <w:rsid w:val="00A45B32"/>
    <w:rsid w:val="00A45C01"/>
    <w:rsid w:val="00A463CA"/>
    <w:rsid w:val="00A465D7"/>
    <w:rsid w:val="00A46981"/>
    <w:rsid w:val="00A479A8"/>
    <w:rsid w:val="00A47CBF"/>
    <w:rsid w:val="00A530A7"/>
    <w:rsid w:val="00A545B8"/>
    <w:rsid w:val="00A54F6D"/>
    <w:rsid w:val="00A5564D"/>
    <w:rsid w:val="00A56A90"/>
    <w:rsid w:val="00A56BC5"/>
    <w:rsid w:val="00A56C8E"/>
    <w:rsid w:val="00A57360"/>
    <w:rsid w:val="00A5799E"/>
    <w:rsid w:val="00A605E1"/>
    <w:rsid w:val="00A60E9B"/>
    <w:rsid w:val="00A612AB"/>
    <w:rsid w:val="00A6166D"/>
    <w:rsid w:val="00A61902"/>
    <w:rsid w:val="00A63166"/>
    <w:rsid w:val="00A63D70"/>
    <w:rsid w:val="00A646DB"/>
    <w:rsid w:val="00A64751"/>
    <w:rsid w:val="00A64BC8"/>
    <w:rsid w:val="00A6638D"/>
    <w:rsid w:val="00A667F7"/>
    <w:rsid w:val="00A669B8"/>
    <w:rsid w:val="00A66F16"/>
    <w:rsid w:val="00A67390"/>
    <w:rsid w:val="00A67DDE"/>
    <w:rsid w:val="00A701B3"/>
    <w:rsid w:val="00A73977"/>
    <w:rsid w:val="00A74521"/>
    <w:rsid w:val="00A74A43"/>
    <w:rsid w:val="00A760CC"/>
    <w:rsid w:val="00A762EC"/>
    <w:rsid w:val="00A77595"/>
    <w:rsid w:val="00A77EC4"/>
    <w:rsid w:val="00A819F3"/>
    <w:rsid w:val="00A83520"/>
    <w:rsid w:val="00A86303"/>
    <w:rsid w:val="00A86423"/>
    <w:rsid w:val="00A867EB"/>
    <w:rsid w:val="00A874F5"/>
    <w:rsid w:val="00A876D4"/>
    <w:rsid w:val="00A878DE"/>
    <w:rsid w:val="00A90170"/>
    <w:rsid w:val="00A90884"/>
    <w:rsid w:val="00A91E08"/>
    <w:rsid w:val="00A92320"/>
    <w:rsid w:val="00A92638"/>
    <w:rsid w:val="00A92D71"/>
    <w:rsid w:val="00A9306F"/>
    <w:rsid w:val="00A9308D"/>
    <w:rsid w:val="00A9365D"/>
    <w:rsid w:val="00A93E6D"/>
    <w:rsid w:val="00A9431F"/>
    <w:rsid w:val="00A96070"/>
    <w:rsid w:val="00A96C33"/>
    <w:rsid w:val="00AA1C23"/>
    <w:rsid w:val="00AA2CD2"/>
    <w:rsid w:val="00AA5446"/>
    <w:rsid w:val="00AA561C"/>
    <w:rsid w:val="00AA5F1F"/>
    <w:rsid w:val="00AB015B"/>
    <w:rsid w:val="00AB13F3"/>
    <w:rsid w:val="00AB1CDD"/>
    <w:rsid w:val="00AB293F"/>
    <w:rsid w:val="00AB2E74"/>
    <w:rsid w:val="00AB350E"/>
    <w:rsid w:val="00AB5255"/>
    <w:rsid w:val="00AB5604"/>
    <w:rsid w:val="00AB5AA9"/>
    <w:rsid w:val="00AB64A6"/>
    <w:rsid w:val="00AB6A6A"/>
    <w:rsid w:val="00AB6EBD"/>
    <w:rsid w:val="00AB7684"/>
    <w:rsid w:val="00AC033F"/>
    <w:rsid w:val="00AC0440"/>
    <w:rsid w:val="00AC0B83"/>
    <w:rsid w:val="00AC2D38"/>
    <w:rsid w:val="00AC4496"/>
    <w:rsid w:val="00AC5D4F"/>
    <w:rsid w:val="00AC5E5D"/>
    <w:rsid w:val="00AD0AFD"/>
    <w:rsid w:val="00AD0EF9"/>
    <w:rsid w:val="00AD1211"/>
    <w:rsid w:val="00AD1D57"/>
    <w:rsid w:val="00AD2E28"/>
    <w:rsid w:val="00AD3158"/>
    <w:rsid w:val="00AD3A72"/>
    <w:rsid w:val="00AD58F7"/>
    <w:rsid w:val="00AD61FB"/>
    <w:rsid w:val="00AD6966"/>
    <w:rsid w:val="00AD7066"/>
    <w:rsid w:val="00AE03BE"/>
    <w:rsid w:val="00AE0DC6"/>
    <w:rsid w:val="00AE164B"/>
    <w:rsid w:val="00AE1788"/>
    <w:rsid w:val="00AE1913"/>
    <w:rsid w:val="00AE457E"/>
    <w:rsid w:val="00AE4CB1"/>
    <w:rsid w:val="00AE66B4"/>
    <w:rsid w:val="00AF088E"/>
    <w:rsid w:val="00AF121D"/>
    <w:rsid w:val="00AF1754"/>
    <w:rsid w:val="00AF1C0F"/>
    <w:rsid w:val="00AF1C1B"/>
    <w:rsid w:val="00AF1C84"/>
    <w:rsid w:val="00AF21A4"/>
    <w:rsid w:val="00AF2AB3"/>
    <w:rsid w:val="00AF2EEC"/>
    <w:rsid w:val="00B002F0"/>
    <w:rsid w:val="00B006D6"/>
    <w:rsid w:val="00B019AE"/>
    <w:rsid w:val="00B01F54"/>
    <w:rsid w:val="00B02C68"/>
    <w:rsid w:val="00B03096"/>
    <w:rsid w:val="00B03AA8"/>
    <w:rsid w:val="00B03ACA"/>
    <w:rsid w:val="00B04539"/>
    <w:rsid w:val="00B046F3"/>
    <w:rsid w:val="00B04BC6"/>
    <w:rsid w:val="00B0626A"/>
    <w:rsid w:val="00B067AA"/>
    <w:rsid w:val="00B06B41"/>
    <w:rsid w:val="00B10570"/>
    <w:rsid w:val="00B10765"/>
    <w:rsid w:val="00B108A9"/>
    <w:rsid w:val="00B10FCA"/>
    <w:rsid w:val="00B121C4"/>
    <w:rsid w:val="00B1386F"/>
    <w:rsid w:val="00B1392C"/>
    <w:rsid w:val="00B20661"/>
    <w:rsid w:val="00B21603"/>
    <w:rsid w:val="00B217FF"/>
    <w:rsid w:val="00B21F5B"/>
    <w:rsid w:val="00B22FF4"/>
    <w:rsid w:val="00B23047"/>
    <w:rsid w:val="00B23712"/>
    <w:rsid w:val="00B24456"/>
    <w:rsid w:val="00B2481E"/>
    <w:rsid w:val="00B24977"/>
    <w:rsid w:val="00B24CCF"/>
    <w:rsid w:val="00B251F9"/>
    <w:rsid w:val="00B26229"/>
    <w:rsid w:val="00B3018E"/>
    <w:rsid w:val="00B307B5"/>
    <w:rsid w:val="00B30BDF"/>
    <w:rsid w:val="00B311C1"/>
    <w:rsid w:val="00B3152B"/>
    <w:rsid w:val="00B31916"/>
    <w:rsid w:val="00B31BBA"/>
    <w:rsid w:val="00B31DD8"/>
    <w:rsid w:val="00B31E51"/>
    <w:rsid w:val="00B32472"/>
    <w:rsid w:val="00B32DA8"/>
    <w:rsid w:val="00B3379B"/>
    <w:rsid w:val="00B33C06"/>
    <w:rsid w:val="00B34978"/>
    <w:rsid w:val="00B35665"/>
    <w:rsid w:val="00B35D9F"/>
    <w:rsid w:val="00B37489"/>
    <w:rsid w:val="00B4013D"/>
    <w:rsid w:val="00B424E0"/>
    <w:rsid w:val="00B432AB"/>
    <w:rsid w:val="00B439F1"/>
    <w:rsid w:val="00B44D5A"/>
    <w:rsid w:val="00B44EC0"/>
    <w:rsid w:val="00B44EFA"/>
    <w:rsid w:val="00B45DC0"/>
    <w:rsid w:val="00B500AB"/>
    <w:rsid w:val="00B50203"/>
    <w:rsid w:val="00B50C32"/>
    <w:rsid w:val="00B51F7D"/>
    <w:rsid w:val="00B52720"/>
    <w:rsid w:val="00B527FB"/>
    <w:rsid w:val="00B529DF"/>
    <w:rsid w:val="00B53B25"/>
    <w:rsid w:val="00B53DD0"/>
    <w:rsid w:val="00B54043"/>
    <w:rsid w:val="00B54B0E"/>
    <w:rsid w:val="00B54BC2"/>
    <w:rsid w:val="00B579C0"/>
    <w:rsid w:val="00B57DB6"/>
    <w:rsid w:val="00B60359"/>
    <w:rsid w:val="00B612BC"/>
    <w:rsid w:val="00B617D1"/>
    <w:rsid w:val="00B618D2"/>
    <w:rsid w:val="00B62369"/>
    <w:rsid w:val="00B63CA7"/>
    <w:rsid w:val="00B63DA4"/>
    <w:rsid w:val="00B6456E"/>
    <w:rsid w:val="00B65D2D"/>
    <w:rsid w:val="00B65F52"/>
    <w:rsid w:val="00B66F06"/>
    <w:rsid w:val="00B678F1"/>
    <w:rsid w:val="00B67A38"/>
    <w:rsid w:val="00B67F75"/>
    <w:rsid w:val="00B729CC"/>
    <w:rsid w:val="00B72CF6"/>
    <w:rsid w:val="00B736BA"/>
    <w:rsid w:val="00B738B7"/>
    <w:rsid w:val="00B74F1D"/>
    <w:rsid w:val="00B75395"/>
    <w:rsid w:val="00B75584"/>
    <w:rsid w:val="00B75865"/>
    <w:rsid w:val="00B76436"/>
    <w:rsid w:val="00B767EF"/>
    <w:rsid w:val="00B805A0"/>
    <w:rsid w:val="00B8070A"/>
    <w:rsid w:val="00B80F1E"/>
    <w:rsid w:val="00B811EE"/>
    <w:rsid w:val="00B812E6"/>
    <w:rsid w:val="00B83F5B"/>
    <w:rsid w:val="00B84E33"/>
    <w:rsid w:val="00B87124"/>
    <w:rsid w:val="00B877AB"/>
    <w:rsid w:val="00B87A7D"/>
    <w:rsid w:val="00B90A1A"/>
    <w:rsid w:val="00B90FDD"/>
    <w:rsid w:val="00B91185"/>
    <w:rsid w:val="00B913EA"/>
    <w:rsid w:val="00B925BD"/>
    <w:rsid w:val="00B92BF9"/>
    <w:rsid w:val="00B9380C"/>
    <w:rsid w:val="00B93842"/>
    <w:rsid w:val="00B94691"/>
    <w:rsid w:val="00B957C4"/>
    <w:rsid w:val="00B95AC4"/>
    <w:rsid w:val="00B96D61"/>
    <w:rsid w:val="00B97C50"/>
    <w:rsid w:val="00BA091C"/>
    <w:rsid w:val="00BA1B06"/>
    <w:rsid w:val="00BA1F8A"/>
    <w:rsid w:val="00BA2C11"/>
    <w:rsid w:val="00BA2D3A"/>
    <w:rsid w:val="00BA324F"/>
    <w:rsid w:val="00BA34C5"/>
    <w:rsid w:val="00BA35E6"/>
    <w:rsid w:val="00BA394B"/>
    <w:rsid w:val="00BA4142"/>
    <w:rsid w:val="00BA4507"/>
    <w:rsid w:val="00BA4701"/>
    <w:rsid w:val="00BA5F58"/>
    <w:rsid w:val="00BA6A46"/>
    <w:rsid w:val="00BA7261"/>
    <w:rsid w:val="00BB06A5"/>
    <w:rsid w:val="00BB0788"/>
    <w:rsid w:val="00BB0D9C"/>
    <w:rsid w:val="00BB13B0"/>
    <w:rsid w:val="00BB146C"/>
    <w:rsid w:val="00BB25C6"/>
    <w:rsid w:val="00BB3B46"/>
    <w:rsid w:val="00BB4CD5"/>
    <w:rsid w:val="00BB5CEF"/>
    <w:rsid w:val="00BB6BFB"/>
    <w:rsid w:val="00BB6D61"/>
    <w:rsid w:val="00BB7A2A"/>
    <w:rsid w:val="00BB7C27"/>
    <w:rsid w:val="00BC17B1"/>
    <w:rsid w:val="00BC2282"/>
    <w:rsid w:val="00BC5A71"/>
    <w:rsid w:val="00BC6F69"/>
    <w:rsid w:val="00BC7C17"/>
    <w:rsid w:val="00BC7C99"/>
    <w:rsid w:val="00BD01A3"/>
    <w:rsid w:val="00BD12E3"/>
    <w:rsid w:val="00BD147A"/>
    <w:rsid w:val="00BD1B88"/>
    <w:rsid w:val="00BD1C0D"/>
    <w:rsid w:val="00BD271C"/>
    <w:rsid w:val="00BD2B14"/>
    <w:rsid w:val="00BD2E74"/>
    <w:rsid w:val="00BD2EBB"/>
    <w:rsid w:val="00BD2F1A"/>
    <w:rsid w:val="00BD30F6"/>
    <w:rsid w:val="00BD3D0F"/>
    <w:rsid w:val="00BD3DE6"/>
    <w:rsid w:val="00BD4386"/>
    <w:rsid w:val="00BD58B0"/>
    <w:rsid w:val="00BD636A"/>
    <w:rsid w:val="00BD63B9"/>
    <w:rsid w:val="00BD7829"/>
    <w:rsid w:val="00BD7847"/>
    <w:rsid w:val="00BE0175"/>
    <w:rsid w:val="00BE05A3"/>
    <w:rsid w:val="00BE143E"/>
    <w:rsid w:val="00BE166C"/>
    <w:rsid w:val="00BE1B02"/>
    <w:rsid w:val="00BE28EC"/>
    <w:rsid w:val="00BE2B34"/>
    <w:rsid w:val="00BE4312"/>
    <w:rsid w:val="00BE437B"/>
    <w:rsid w:val="00BE4CA4"/>
    <w:rsid w:val="00BE671D"/>
    <w:rsid w:val="00BE7D8D"/>
    <w:rsid w:val="00BF02D5"/>
    <w:rsid w:val="00BF1C73"/>
    <w:rsid w:val="00BF2B48"/>
    <w:rsid w:val="00BF3B60"/>
    <w:rsid w:val="00BF475E"/>
    <w:rsid w:val="00BF48C2"/>
    <w:rsid w:val="00BF6361"/>
    <w:rsid w:val="00BF775B"/>
    <w:rsid w:val="00BF792B"/>
    <w:rsid w:val="00C00C49"/>
    <w:rsid w:val="00C01E3F"/>
    <w:rsid w:val="00C03A8F"/>
    <w:rsid w:val="00C045E2"/>
    <w:rsid w:val="00C04B05"/>
    <w:rsid w:val="00C058BB"/>
    <w:rsid w:val="00C05934"/>
    <w:rsid w:val="00C0712F"/>
    <w:rsid w:val="00C075D8"/>
    <w:rsid w:val="00C07850"/>
    <w:rsid w:val="00C10208"/>
    <w:rsid w:val="00C105BC"/>
    <w:rsid w:val="00C12893"/>
    <w:rsid w:val="00C14445"/>
    <w:rsid w:val="00C146F9"/>
    <w:rsid w:val="00C14D38"/>
    <w:rsid w:val="00C1589C"/>
    <w:rsid w:val="00C16499"/>
    <w:rsid w:val="00C16861"/>
    <w:rsid w:val="00C16AA6"/>
    <w:rsid w:val="00C2029B"/>
    <w:rsid w:val="00C20DD6"/>
    <w:rsid w:val="00C21872"/>
    <w:rsid w:val="00C21A6C"/>
    <w:rsid w:val="00C21C05"/>
    <w:rsid w:val="00C21DBE"/>
    <w:rsid w:val="00C2223D"/>
    <w:rsid w:val="00C222B4"/>
    <w:rsid w:val="00C22A15"/>
    <w:rsid w:val="00C22B97"/>
    <w:rsid w:val="00C22CED"/>
    <w:rsid w:val="00C248C3"/>
    <w:rsid w:val="00C25EA5"/>
    <w:rsid w:val="00C26419"/>
    <w:rsid w:val="00C26726"/>
    <w:rsid w:val="00C26BA2"/>
    <w:rsid w:val="00C30953"/>
    <w:rsid w:val="00C30A7F"/>
    <w:rsid w:val="00C31BC7"/>
    <w:rsid w:val="00C3211D"/>
    <w:rsid w:val="00C3257D"/>
    <w:rsid w:val="00C327CB"/>
    <w:rsid w:val="00C34749"/>
    <w:rsid w:val="00C35156"/>
    <w:rsid w:val="00C3527C"/>
    <w:rsid w:val="00C3568D"/>
    <w:rsid w:val="00C35890"/>
    <w:rsid w:val="00C3589E"/>
    <w:rsid w:val="00C36494"/>
    <w:rsid w:val="00C366EE"/>
    <w:rsid w:val="00C368FD"/>
    <w:rsid w:val="00C40504"/>
    <w:rsid w:val="00C41D10"/>
    <w:rsid w:val="00C420D8"/>
    <w:rsid w:val="00C428DB"/>
    <w:rsid w:val="00C45ABC"/>
    <w:rsid w:val="00C45B02"/>
    <w:rsid w:val="00C45E5E"/>
    <w:rsid w:val="00C501B8"/>
    <w:rsid w:val="00C51595"/>
    <w:rsid w:val="00C515B6"/>
    <w:rsid w:val="00C521F7"/>
    <w:rsid w:val="00C540B2"/>
    <w:rsid w:val="00C54B99"/>
    <w:rsid w:val="00C5523A"/>
    <w:rsid w:val="00C557AD"/>
    <w:rsid w:val="00C566B0"/>
    <w:rsid w:val="00C56BBD"/>
    <w:rsid w:val="00C57572"/>
    <w:rsid w:val="00C57825"/>
    <w:rsid w:val="00C6133E"/>
    <w:rsid w:val="00C61CD8"/>
    <w:rsid w:val="00C61D66"/>
    <w:rsid w:val="00C63B48"/>
    <w:rsid w:val="00C63CEB"/>
    <w:rsid w:val="00C65A25"/>
    <w:rsid w:val="00C661F8"/>
    <w:rsid w:val="00C665AF"/>
    <w:rsid w:val="00C712D4"/>
    <w:rsid w:val="00C71C08"/>
    <w:rsid w:val="00C73EC1"/>
    <w:rsid w:val="00C73FC4"/>
    <w:rsid w:val="00C746E6"/>
    <w:rsid w:val="00C74905"/>
    <w:rsid w:val="00C753D8"/>
    <w:rsid w:val="00C75417"/>
    <w:rsid w:val="00C7585F"/>
    <w:rsid w:val="00C75BFD"/>
    <w:rsid w:val="00C760A8"/>
    <w:rsid w:val="00C7614D"/>
    <w:rsid w:val="00C8013B"/>
    <w:rsid w:val="00C80246"/>
    <w:rsid w:val="00C80259"/>
    <w:rsid w:val="00C81831"/>
    <w:rsid w:val="00C81B89"/>
    <w:rsid w:val="00C823EF"/>
    <w:rsid w:val="00C82544"/>
    <w:rsid w:val="00C83299"/>
    <w:rsid w:val="00C83C63"/>
    <w:rsid w:val="00C84A40"/>
    <w:rsid w:val="00C851AA"/>
    <w:rsid w:val="00C85384"/>
    <w:rsid w:val="00C8690F"/>
    <w:rsid w:val="00C871ED"/>
    <w:rsid w:val="00C9016E"/>
    <w:rsid w:val="00C912B3"/>
    <w:rsid w:val="00C91B7E"/>
    <w:rsid w:val="00C9277D"/>
    <w:rsid w:val="00C931DF"/>
    <w:rsid w:val="00C9589E"/>
    <w:rsid w:val="00CA0ACC"/>
    <w:rsid w:val="00CA10AB"/>
    <w:rsid w:val="00CA17F8"/>
    <w:rsid w:val="00CA3220"/>
    <w:rsid w:val="00CA504C"/>
    <w:rsid w:val="00CA54DD"/>
    <w:rsid w:val="00CA5904"/>
    <w:rsid w:val="00CA6397"/>
    <w:rsid w:val="00CA69A9"/>
    <w:rsid w:val="00CA6F68"/>
    <w:rsid w:val="00CA6FC2"/>
    <w:rsid w:val="00CA7532"/>
    <w:rsid w:val="00CB078E"/>
    <w:rsid w:val="00CB158F"/>
    <w:rsid w:val="00CB1CA8"/>
    <w:rsid w:val="00CB29F1"/>
    <w:rsid w:val="00CB32BE"/>
    <w:rsid w:val="00CB363B"/>
    <w:rsid w:val="00CB3B77"/>
    <w:rsid w:val="00CB57CC"/>
    <w:rsid w:val="00CB5F7F"/>
    <w:rsid w:val="00CB64E4"/>
    <w:rsid w:val="00CB6598"/>
    <w:rsid w:val="00CB6E49"/>
    <w:rsid w:val="00CB72A1"/>
    <w:rsid w:val="00CB7610"/>
    <w:rsid w:val="00CB7C99"/>
    <w:rsid w:val="00CB7D3B"/>
    <w:rsid w:val="00CC00D7"/>
    <w:rsid w:val="00CC02BD"/>
    <w:rsid w:val="00CC077A"/>
    <w:rsid w:val="00CC1234"/>
    <w:rsid w:val="00CC1AE2"/>
    <w:rsid w:val="00CC3383"/>
    <w:rsid w:val="00CC35F6"/>
    <w:rsid w:val="00CC397E"/>
    <w:rsid w:val="00CC3D85"/>
    <w:rsid w:val="00CC4F9C"/>
    <w:rsid w:val="00CC50EC"/>
    <w:rsid w:val="00CC627C"/>
    <w:rsid w:val="00CC6D4E"/>
    <w:rsid w:val="00CC7D20"/>
    <w:rsid w:val="00CD156A"/>
    <w:rsid w:val="00CD18A1"/>
    <w:rsid w:val="00CD1B90"/>
    <w:rsid w:val="00CD27BE"/>
    <w:rsid w:val="00CD30C7"/>
    <w:rsid w:val="00CD3D2A"/>
    <w:rsid w:val="00CD3EC6"/>
    <w:rsid w:val="00CD3ED1"/>
    <w:rsid w:val="00CD4AB0"/>
    <w:rsid w:val="00CD4BFE"/>
    <w:rsid w:val="00CD5400"/>
    <w:rsid w:val="00CD6961"/>
    <w:rsid w:val="00CD6BEA"/>
    <w:rsid w:val="00CD6E3F"/>
    <w:rsid w:val="00CD7211"/>
    <w:rsid w:val="00CD758A"/>
    <w:rsid w:val="00CD7940"/>
    <w:rsid w:val="00CE020F"/>
    <w:rsid w:val="00CE04AC"/>
    <w:rsid w:val="00CE073D"/>
    <w:rsid w:val="00CE0B80"/>
    <w:rsid w:val="00CE0D22"/>
    <w:rsid w:val="00CE0F84"/>
    <w:rsid w:val="00CE11E8"/>
    <w:rsid w:val="00CE1B29"/>
    <w:rsid w:val="00CE2760"/>
    <w:rsid w:val="00CE3A18"/>
    <w:rsid w:val="00CE3DA3"/>
    <w:rsid w:val="00CE3F59"/>
    <w:rsid w:val="00CE444A"/>
    <w:rsid w:val="00CE63DA"/>
    <w:rsid w:val="00CE6844"/>
    <w:rsid w:val="00CE6E62"/>
    <w:rsid w:val="00CF0171"/>
    <w:rsid w:val="00CF2483"/>
    <w:rsid w:val="00CF2A88"/>
    <w:rsid w:val="00CF3367"/>
    <w:rsid w:val="00CF4F68"/>
    <w:rsid w:val="00CF517A"/>
    <w:rsid w:val="00CF5353"/>
    <w:rsid w:val="00CF53BC"/>
    <w:rsid w:val="00CF62D4"/>
    <w:rsid w:val="00CF6ED9"/>
    <w:rsid w:val="00CF7C1F"/>
    <w:rsid w:val="00D0043E"/>
    <w:rsid w:val="00D00591"/>
    <w:rsid w:val="00D00E4D"/>
    <w:rsid w:val="00D022D6"/>
    <w:rsid w:val="00D03128"/>
    <w:rsid w:val="00D037F4"/>
    <w:rsid w:val="00D038CA"/>
    <w:rsid w:val="00D0474A"/>
    <w:rsid w:val="00D05831"/>
    <w:rsid w:val="00D0627D"/>
    <w:rsid w:val="00D06498"/>
    <w:rsid w:val="00D06554"/>
    <w:rsid w:val="00D06BAD"/>
    <w:rsid w:val="00D07305"/>
    <w:rsid w:val="00D07FFE"/>
    <w:rsid w:val="00D11EFC"/>
    <w:rsid w:val="00D1273B"/>
    <w:rsid w:val="00D14E2E"/>
    <w:rsid w:val="00D1544C"/>
    <w:rsid w:val="00D1599C"/>
    <w:rsid w:val="00D16F68"/>
    <w:rsid w:val="00D17E9E"/>
    <w:rsid w:val="00D218D7"/>
    <w:rsid w:val="00D21C63"/>
    <w:rsid w:val="00D21CB9"/>
    <w:rsid w:val="00D21D21"/>
    <w:rsid w:val="00D22B58"/>
    <w:rsid w:val="00D2322E"/>
    <w:rsid w:val="00D24B15"/>
    <w:rsid w:val="00D24DBB"/>
    <w:rsid w:val="00D25CCD"/>
    <w:rsid w:val="00D278AB"/>
    <w:rsid w:val="00D27AEE"/>
    <w:rsid w:val="00D3176D"/>
    <w:rsid w:val="00D3258F"/>
    <w:rsid w:val="00D3445B"/>
    <w:rsid w:val="00D34D8F"/>
    <w:rsid w:val="00D34F91"/>
    <w:rsid w:val="00D36244"/>
    <w:rsid w:val="00D365BB"/>
    <w:rsid w:val="00D368BD"/>
    <w:rsid w:val="00D41375"/>
    <w:rsid w:val="00D42E7B"/>
    <w:rsid w:val="00D43DB0"/>
    <w:rsid w:val="00D44211"/>
    <w:rsid w:val="00D448BB"/>
    <w:rsid w:val="00D46A5C"/>
    <w:rsid w:val="00D46EDD"/>
    <w:rsid w:val="00D474EF"/>
    <w:rsid w:val="00D47730"/>
    <w:rsid w:val="00D51AFC"/>
    <w:rsid w:val="00D51B8D"/>
    <w:rsid w:val="00D5290C"/>
    <w:rsid w:val="00D529C5"/>
    <w:rsid w:val="00D52C8E"/>
    <w:rsid w:val="00D53832"/>
    <w:rsid w:val="00D53AF1"/>
    <w:rsid w:val="00D54DF3"/>
    <w:rsid w:val="00D55362"/>
    <w:rsid w:val="00D56794"/>
    <w:rsid w:val="00D60066"/>
    <w:rsid w:val="00D60D40"/>
    <w:rsid w:val="00D61023"/>
    <w:rsid w:val="00D61581"/>
    <w:rsid w:val="00D61AD9"/>
    <w:rsid w:val="00D61BB0"/>
    <w:rsid w:val="00D6212C"/>
    <w:rsid w:val="00D62657"/>
    <w:rsid w:val="00D639C2"/>
    <w:rsid w:val="00D63CCD"/>
    <w:rsid w:val="00D64F48"/>
    <w:rsid w:val="00D66E25"/>
    <w:rsid w:val="00D66E74"/>
    <w:rsid w:val="00D6708A"/>
    <w:rsid w:val="00D67778"/>
    <w:rsid w:val="00D72A80"/>
    <w:rsid w:val="00D73D67"/>
    <w:rsid w:val="00D7546F"/>
    <w:rsid w:val="00D76669"/>
    <w:rsid w:val="00D77E02"/>
    <w:rsid w:val="00D808AA"/>
    <w:rsid w:val="00D8127A"/>
    <w:rsid w:val="00D82C98"/>
    <w:rsid w:val="00D8392C"/>
    <w:rsid w:val="00D83958"/>
    <w:rsid w:val="00D83C76"/>
    <w:rsid w:val="00D83F5B"/>
    <w:rsid w:val="00D83FED"/>
    <w:rsid w:val="00D84F70"/>
    <w:rsid w:val="00D8548E"/>
    <w:rsid w:val="00D859E4"/>
    <w:rsid w:val="00D85C19"/>
    <w:rsid w:val="00D86075"/>
    <w:rsid w:val="00D86F55"/>
    <w:rsid w:val="00D91EE7"/>
    <w:rsid w:val="00D93656"/>
    <w:rsid w:val="00D94099"/>
    <w:rsid w:val="00D9470D"/>
    <w:rsid w:val="00D9482F"/>
    <w:rsid w:val="00D94B52"/>
    <w:rsid w:val="00D94E24"/>
    <w:rsid w:val="00D960A9"/>
    <w:rsid w:val="00D96878"/>
    <w:rsid w:val="00D96B15"/>
    <w:rsid w:val="00D975F2"/>
    <w:rsid w:val="00D978C5"/>
    <w:rsid w:val="00DA0BD5"/>
    <w:rsid w:val="00DA0EDC"/>
    <w:rsid w:val="00DA1DE5"/>
    <w:rsid w:val="00DA2289"/>
    <w:rsid w:val="00DA25A5"/>
    <w:rsid w:val="00DA276E"/>
    <w:rsid w:val="00DA338F"/>
    <w:rsid w:val="00DA3C3A"/>
    <w:rsid w:val="00DA4070"/>
    <w:rsid w:val="00DA46EE"/>
    <w:rsid w:val="00DA50E9"/>
    <w:rsid w:val="00DA5243"/>
    <w:rsid w:val="00DA5BA1"/>
    <w:rsid w:val="00DA686F"/>
    <w:rsid w:val="00DA6FA6"/>
    <w:rsid w:val="00DA7398"/>
    <w:rsid w:val="00DA7C99"/>
    <w:rsid w:val="00DB1199"/>
    <w:rsid w:val="00DB1912"/>
    <w:rsid w:val="00DB20DE"/>
    <w:rsid w:val="00DB3B3B"/>
    <w:rsid w:val="00DB4376"/>
    <w:rsid w:val="00DB442E"/>
    <w:rsid w:val="00DB5E8F"/>
    <w:rsid w:val="00DB69B6"/>
    <w:rsid w:val="00DB6BEF"/>
    <w:rsid w:val="00DB7CC1"/>
    <w:rsid w:val="00DC0F04"/>
    <w:rsid w:val="00DC1704"/>
    <w:rsid w:val="00DC338B"/>
    <w:rsid w:val="00DC3467"/>
    <w:rsid w:val="00DC3C35"/>
    <w:rsid w:val="00DC458B"/>
    <w:rsid w:val="00DC4CA6"/>
    <w:rsid w:val="00DC518E"/>
    <w:rsid w:val="00DC5870"/>
    <w:rsid w:val="00DC71D2"/>
    <w:rsid w:val="00DC745F"/>
    <w:rsid w:val="00DC7883"/>
    <w:rsid w:val="00DC7CD4"/>
    <w:rsid w:val="00DC7EBD"/>
    <w:rsid w:val="00DD004D"/>
    <w:rsid w:val="00DD0FEC"/>
    <w:rsid w:val="00DD213C"/>
    <w:rsid w:val="00DD25DA"/>
    <w:rsid w:val="00DD3211"/>
    <w:rsid w:val="00DD3E64"/>
    <w:rsid w:val="00DD3EEF"/>
    <w:rsid w:val="00DD4306"/>
    <w:rsid w:val="00DD6881"/>
    <w:rsid w:val="00DD73A9"/>
    <w:rsid w:val="00DE0750"/>
    <w:rsid w:val="00DE0E89"/>
    <w:rsid w:val="00DE1FDB"/>
    <w:rsid w:val="00DE2F70"/>
    <w:rsid w:val="00DE4D0F"/>
    <w:rsid w:val="00DE65E5"/>
    <w:rsid w:val="00DE67DA"/>
    <w:rsid w:val="00DE7CEB"/>
    <w:rsid w:val="00DE7D13"/>
    <w:rsid w:val="00DF014F"/>
    <w:rsid w:val="00DF0AEC"/>
    <w:rsid w:val="00DF0E3A"/>
    <w:rsid w:val="00DF148C"/>
    <w:rsid w:val="00DF1ABF"/>
    <w:rsid w:val="00DF2526"/>
    <w:rsid w:val="00DF4593"/>
    <w:rsid w:val="00DF46D9"/>
    <w:rsid w:val="00DF4A85"/>
    <w:rsid w:val="00DF6EE8"/>
    <w:rsid w:val="00DF7128"/>
    <w:rsid w:val="00DF71AF"/>
    <w:rsid w:val="00E01595"/>
    <w:rsid w:val="00E022B5"/>
    <w:rsid w:val="00E02FD1"/>
    <w:rsid w:val="00E057A3"/>
    <w:rsid w:val="00E05E20"/>
    <w:rsid w:val="00E05E83"/>
    <w:rsid w:val="00E06A4E"/>
    <w:rsid w:val="00E104C8"/>
    <w:rsid w:val="00E10A09"/>
    <w:rsid w:val="00E11C24"/>
    <w:rsid w:val="00E11DD3"/>
    <w:rsid w:val="00E12531"/>
    <w:rsid w:val="00E13649"/>
    <w:rsid w:val="00E13E72"/>
    <w:rsid w:val="00E154B6"/>
    <w:rsid w:val="00E16BE1"/>
    <w:rsid w:val="00E172BF"/>
    <w:rsid w:val="00E217C2"/>
    <w:rsid w:val="00E21EAD"/>
    <w:rsid w:val="00E22E23"/>
    <w:rsid w:val="00E23485"/>
    <w:rsid w:val="00E23CF4"/>
    <w:rsid w:val="00E25754"/>
    <w:rsid w:val="00E26EEE"/>
    <w:rsid w:val="00E27578"/>
    <w:rsid w:val="00E3026C"/>
    <w:rsid w:val="00E30FD2"/>
    <w:rsid w:val="00E3208A"/>
    <w:rsid w:val="00E3263D"/>
    <w:rsid w:val="00E33FDE"/>
    <w:rsid w:val="00E34295"/>
    <w:rsid w:val="00E343D9"/>
    <w:rsid w:val="00E364FD"/>
    <w:rsid w:val="00E373FD"/>
    <w:rsid w:val="00E37D04"/>
    <w:rsid w:val="00E4003C"/>
    <w:rsid w:val="00E41016"/>
    <w:rsid w:val="00E41DF1"/>
    <w:rsid w:val="00E43162"/>
    <w:rsid w:val="00E43534"/>
    <w:rsid w:val="00E44C16"/>
    <w:rsid w:val="00E450C2"/>
    <w:rsid w:val="00E457C2"/>
    <w:rsid w:val="00E4660E"/>
    <w:rsid w:val="00E47249"/>
    <w:rsid w:val="00E51275"/>
    <w:rsid w:val="00E51492"/>
    <w:rsid w:val="00E516F1"/>
    <w:rsid w:val="00E52B56"/>
    <w:rsid w:val="00E543BF"/>
    <w:rsid w:val="00E54760"/>
    <w:rsid w:val="00E5530D"/>
    <w:rsid w:val="00E559A9"/>
    <w:rsid w:val="00E56DA2"/>
    <w:rsid w:val="00E571B5"/>
    <w:rsid w:val="00E57EBB"/>
    <w:rsid w:val="00E60AB4"/>
    <w:rsid w:val="00E60F5E"/>
    <w:rsid w:val="00E62941"/>
    <w:rsid w:val="00E655C7"/>
    <w:rsid w:val="00E65DE7"/>
    <w:rsid w:val="00E65EBA"/>
    <w:rsid w:val="00E674FC"/>
    <w:rsid w:val="00E703EB"/>
    <w:rsid w:val="00E70E49"/>
    <w:rsid w:val="00E739CE"/>
    <w:rsid w:val="00E73BA4"/>
    <w:rsid w:val="00E756F5"/>
    <w:rsid w:val="00E772DD"/>
    <w:rsid w:val="00E77F61"/>
    <w:rsid w:val="00E77FC8"/>
    <w:rsid w:val="00E82CC2"/>
    <w:rsid w:val="00E832C2"/>
    <w:rsid w:val="00E839C5"/>
    <w:rsid w:val="00E850D1"/>
    <w:rsid w:val="00E8534E"/>
    <w:rsid w:val="00E8567F"/>
    <w:rsid w:val="00E85CB4"/>
    <w:rsid w:val="00E872C9"/>
    <w:rsid w:val="00E879F1"/>
    <w:rsid w:val="00E87DF7"/>
    <w:rsid w:val="00E90359"/>
    <w:rsid w:val="00E90B85"/>
    <w:rsid w:val="00E90E37"/>
    <w:rsid w:val="00E915AD"/>
    <w:rsid w:val="00E92567"/>
    <w:rsid w:val="00E92B37"/>
    <w:rsid w:val="00E9366B"/>
    <w:rsid w:val="00E94168"/>
    <w:rsid w:val="00E9475C"/>
    <w:rsid w:val="00EA0235"/>
    <w:rsid w:val="00EA1EA1"/>
    <w:rsid w:val="00EA26B4"/>
    <w:rsid w:val="00EA2B7D"/>
    <w:rsid w:val="00EA2FF2"/>
    <w:rsid w:val="00EA30E4"/>
    <w:rsid w:val="00EA3185"/>
    <w:rsid w:val="00EA3C7C"/>
    <w:rsid w:val="00EA4571"/>
    <w:rsid w:val="00EA6038"/>
    <w:rsid w:val="00EB0856"/>
    <w:rsid w:val="00EB102A"/>
    <w:rsid w:val="00EB1731"/>
    <w:rsid w:val="00EB19C6"/>
    <w:rsid w:val="00EB441A"/>
    <w:rsid w:val="00EB4CAE"/>
    <w:rsid w:val="00EB56AA"/>
    <w:rsid w:val="00EB60E8"/>
    <w:rsid w:val="00EB7CD1"/>
    <w:rsid w:val="00EC00F3"/>
    <w:rsid w:val="00EC1AE5"/>
    <w:rsid w:val="00EC4C32"/>
    <w:rsid w:val="00EC4FFA"/>
    <w:rsid w:val="00EC5211"/>
    <w:rsid w:val="00EC521C"/>
    <w:rsid w:val="00EC5DBF"/>
    <w:rsid w:val="00EC6871"/>
    <w:rsid w:val="00EC7B77"/>
    <w:rsid w:val="00EC7E96"/>
    <w:rsid w:val="00ED125E"/>
    <w:rsid w:val="00ED2C15"/>
    <w:rsid w:val="00ED3A98"/>
    <w:rsid w:val="00ED4002"/>
    <w:rsid w:val="00ED4AF0"/>
    <w:rsid w:val="00EE1DE8"/>
    <w:rsid w:val="00EE202F"/>
    <w:rsid w:val="00EE2AC2"/>
    <w:rsid w:val="00EE2F9F"/>
    <w:rsid w:val="00EE3499"/>
    <w:rsid w:val="00EE36EB"/>
    <w:rsid w:val="00EE3A04"/>
    <w:rsid w:val="00EE3E53"/>
    <w:rsid w:val="00EE4219"/>
    <w:rsid w:val="00EE4E15"/>
    <w:rsid w:val="00EE4F80"/>
    <w:rsid w:val="00EE5D2B"/>
    <w:rsid w:val="00EF0EB4"/>
    <w:rsid w:val="00EF1A4A"/>
    <w:rsid w:val="00EF1B52"/>
    <w:rsid w:val="00EF2065"/>
    <w:rsid w:val="00EF20DF"/>
    <w:rsid w:val="00EF3192"/>
    <w:rsid w:val="00EF4111"/>
    <w:rsid w:val="00EF41A2"/>
    <w:rsid w:val="00EF4CA2"/>
    <w:rsid w:val="00EF4EE7"/>
    <w:rsid w:val="00EF518B"/>
    <w:rsid w:val="00EF54CF"/>
    <w:rsid w:val="00EF576F"/>
    <w:rsid w:val="00EF66B3"/>
    <w:rsid w:val="00EF6A43"/>
    <w:rsid w:val="00EF6B45"/>
    <w:rsid w:val="00EF6F13"/>
    <w:rsid w:val="00F00098"/>
    <w:rsid w:val="00F00CC4"/>
    <w:rsid w:val="00F012EE"/>
    <w:rsid w:val="00F0203E"/>
    <w:rsid w:val="00F029CF"/>
    <w:rsid w:val="00F04749"/>
    <w:rsid w:val="00F04905"/>
    <w:rsid w:val="00F0503C"/>
    <w:rsid w:val="00F05189"/>
    <w:rsid w:val="00F05F16"/>
    <w:rsid w:val="00F066FF"/>
    <w:rsid w:val="00F06D1F"/>
    <w:rsid w:val="00F07BBB"/>
    <w:rsid w:val="00F10A57"/>
    <w:rsid w:val="00F110CE"/>
    <w:rsid w:val="00F1228A"/>
    <w:rsid w:val="00F122C7"/>
    <w:rsid w:val="00F126DC"/>
    <w:rsid w:val="00F12D61"/>
    <w:rsid w:val="00F138F3"/>
    <w:rsid w:val="00F13D96"/>
    <w:rsid w:val="00F141DF"/>
    <w:rsid w:val="00F14202"/>
    <w:rsid w:val="00F14257"/>
    <w:rsid w:val="00F1446D"/>
    <w:rsid w:val="00F14AE9"/>
    <w:rsid w:val="00F14C54"/>
    <w:rsid w:val="00F1532B"/>
    <w:rsid w:val="00F15706"/>
    <w:rsid w:val="00F16FCE"/>
    <w:rsid w:val="00F20DC0"/>
    <w:rsid w:val="00F22C2C"/>
    <w:rsid w:val="00F22C7D"/>
    <w:rsid w:val="00F23BA8"/>
    <w:rsid w:val="00F24529"/>
    <w:rsid w:val="00F25212"/>
    <w:rsid w:val="00F256B6"/>
    <w:rsid w:val="00F25842"/>
    <w:rsid w:val="00F25CEB"/>
    <w:rsid w:val="00F27F65"/>
    <w:rsid w:val="00F30DCB"/>
    <w:rsid w:val="00F30E8A"/>
    <w:rsid w:val="00F322A2"/>
    <w:rsid w:val="00F32918"/>
    <w:rsid w:val="00F335AE"/>
    <w:rsid w:val="00F349DF"/>
    <w:rsid w:val="00F3566A"/>
    <w:rsid w:val="00F3597A"/>
    <w:rsid w:val="00F35B3C"/>
    <w:rsid w:val="00F40968"/>
    <w:rsid w:val="00F42115"/>
    <w:rsid w:val="00F42851"/>
    <w:rsid w:val="00F43705"/>
    <w:rsid w:val="00F44A45"/>
    <w:rsid w:val="00F454B7"/>
    <w:rsid w:val="00F45F14"/>
    <w:rsid w:val="00F4630C"/>
    <w:rsid w:val="00F50C66"/>
    <w:rsid w:val="00F50D2E"/>
    <w:rsid w:val="00F51437"/>
    <w:rsid w:val="00F51B87"/>
    <w:rsid w:val="00F51D42"/>
    <w:rsid w:val="00F53A58"/>
    <w:rsid w:val="00F55CC3"/>
    <w:rsid w:val="00F561F6"/>
    <w:rsid w:val="00F57269"/>
    <w:rsid w:val="00F57367"/>
    <w:rsid w:val="00F57750"/>
    <w:rsid w:val="00F57B99"/>
    <w:rsid w:val="00F601E6"/>
    <w:rsid w:val="00F60FD4"/>
    <w:rsid w:val="00F611FE"/>
    <w:rsid w:val="00F61780"/>
    <w:rsid w:val="00F62A39"/>
    <w:rsid w:val="00F64409"/>
    <w:rsid w:val="00F644F9"/>
    <w:rsid w:val="00F64A22"/>
    <w:rsid w:val="00F64FE9"/>
    <w:rsid w:val="00F659BD"/>
    <w:rsid w:val="00F65ADB"/>
    <w:rsid w:val="00F6627F"/>
    <w:rsid w:val="00F66C03"/>
    <w:rsid w:val="00F67714"/>
    <w:rsid w:val="00F707F4"/>
    <w:rsid w:val="00F71292"/>
    <w:rsid w:val="00F71FD8"/>
    <w:rsid w:val="00F7287D"/>
    <w:rsid w:val="00F74482"/>
    <w:rsid w:val="00F74827"/>
    <w:rsid w:val="00F74CD9"/>
    <w:rsid w:val="00F74DEB"/>
    <w:rsid w:val="00F75B38"/>
    <w:rsid w:val="00F76700"/>
    <w:rsid w:val="00F76C41"/>
    <w:rsid w:val="00F7771B"/>
    <w:rsid w:val="00F80470"/>
    <w:rsid w:val="00F810BF"/>
    <w:rsid w:val="00F81281"/>
    <w:rsid w:val="00F828A9"/>
    <w:rsid w:val="00F832FB"/>
    <w:rsid w:val="00F837CD"/>
    <w:rsid w:val="00F83B1D"/>
    <w:rsid w:val="00F84333"/>
    <w:rsid w:val="00F84740"/>
    <w:rsid w:val="00F84AE3"/>
    <w:rsid w:val="00F85207"/>
    <w:rsid w:val="00F85DA6"/>
    <w:rsid w:val="00F87917"/>
    <w:rsid w:val="00F87C5B"/>
    <w:rsid w:val="00F917A6"/>
    <w:rsid w:val="00F9220F"/>
    <w:rsid w:val="00F94CA1"/>
    <w:rsid w:val="00F95900"/>
    <w:rsid w:val="00F975FD"/>
    <w:rsid w:val="00F97B34"/>
    <w:rsid w:val="00FA2D75"/>
    <w:rsid w:val="00FA530A"/>
    <w:rsid w:val="00FA5CB0"/>
    <w:rsid w:val="00FA6E59"/>
    <w:rsid w:val="00FA6F10"/>
    <w:rsid w:val="00FA7FDB"/>
    <w:rsid w:val="00FB0E01"/>
    <w:rsid w:val="00FB16D5"/>
    <w:rsid w:val="00FB1CB1"/>
    <w:rsid w:val="00FB2F07"/>
    <w:rsid w:val="00FB3A57"/>
    <w:rsid w:val="00FB5663"/>
    <w:rsid w:val="00FB5C57"/>
    <w:rsid w:val="00FB7407"/>
    <w:rsid w:val="00FB7E6E"/>
    <w:rsid w:val="00FC0396"/>
    <w:rsid w:val="00FC0459"/>
    <w:rsid w:val="00FC0DC3"/>
    <w:rsid w:val="00FC0EC1"/>
    <w:rsid w:val="00FC148D"/>
    <w:rsid w:val="00FC2FCC"/>
    <w:rsid w:val="00FC3716"/>
    <w:rsid w:val="00FC39DF"/>
    <w:rsid w:val="00FC5106"/>
    <w:rsid w:val="00FC5271"/>
    <w:rsid w:val="00FC536D"/>
    <w:rsid w:val="00FC656D"/>
    <w:rsid w:val="00FC75BD"/>
    <w:rsid w:val="00FC75CE"/>
    <w:rsid w:val="00FD04DB"/>
    <w:rsid w:val="00FD13E3"/>
    <w:rsid w:val="00FD1406"/>
    <w:rsid w:val="00FD2B9F"/>
    <w:rsid w:val="00FD310B"/>
    <w:rsid w:val="00FD3643"/>
    <w:rsid w:val="00FD3789"/>
    <w:rsid w:val="00FD3C2F"/>
    <w:rsid w:val="00FD53E7"/>
    <w:rsid w:val="00FD5DBE"/>
    <w:rsid w:val="00FD609E"/>
    <w:rsid w:val="00FD70A6"/>
    <w:rsid w:val="00FD74C1"/>
    <w:rsid w:val="00FD7876"/>
    <w:rsid w:val="00FE0881"/>
    <w:rsid w:val="00FE0CF6"/>
    <w:rsid w:val="00FE1709"/>
    <w:rsid w:val="00FE3417"/>
    <w:rsid w:val="00FE34EA"/>
    <w:rsid w:val="00FE3696"/>
    <w:rsid w:val="00FE401B"/>
    <w:rsid w:val="00FE4383"/>
    <w:rsid w:val="00FE6235"/>
    <w:rsid w:val="00FE6876"/>
    <w:rsid w:val="00FE6F0C"/>
    <w:rsid w:val="00FE78AC"/>
    <w:rsid w:val="00FF0002"/>
    <w:rsid w:val="00FF03AE"/>
    <w:rsid w:val="00FF0B08"/>
    <w:rsid w:val="00FF1589"/>
    <w:rsid w:val="00FF21A4"/>
    <w:rsid w:val="00FF2E2B"/>
    <w:rsid w:val="00FF3B77"/>
    <w:rsid w:val="00FF4582"/>
    <w:rsid w:val="00FF56B3"/>
    <w:rsid w:val="00FF5ADC"/>
    <w:rsid w:val="00FF6751"/>
    <w:rsid w:val="00FF6ABC"/>
    <w:rsid w:val="07971CB7"/>
    <w:rsid w:val="0DFE12FC"/>
    <w:rsid w:val="1284790B"/>
    <w:rsid w:val="16BA34E8"/>
    <w:rsid w:val="1DBB6D3F"/>
    <w:rsid w:val="22883DB6"/>
    <w:rsid w:val="29976AC4"/>
    <w:rsid w:val="2FCF65FB"/>
    <w:rsid w:val="31833FD9"/>
    <w:rsid w:val="378D7615"/>
    <w:rsid w:val="38472A00"/>
    <w:rsid w:val="3FA9319D"/>
    <w:rsid w:val="45C86261"/>
    <w:rsid w:val="47226422"/>
    <w:rsid w:val="47C159BE"/>
    <w:rsid w:val="593A69AA"/>
    <w:rsid w:val="5A0F7A61"/>
    <w:rsid w:val="5B8D4D49"/>
    <w:rsid w:val="64527366"/>
    <w:rsid w:val="69DB4A53"/>
    <w:rsid w:val="6CB93482"/>
    <w:rsid w:val="6E8576A4"/>
    <w:rsid w:val="778C61BC"/>
    <w:rsid w:val="77DF3E3A"/>
    <w:rsid w:val="7A011373"/>
    <w:rsid w:val="7ECB2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name="index 1"/>
    <w:lsdException w:uiPriority="0" w:name="index 2"/>
    <w:lsdException w:uiPriority="0" w:name="index 3"/>
    <w:lsdException w:qFormat="1" w:uiPriority="0" w:semiHidden="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qFormat="1" w:unhideWhenUsed="0" w:uiPriority="0" w:semiHidden="0" w:name="Normal Indent"/>
    <w:lsdException w:uiPriority="0" w:name="footnote text"/>
    <w:lsdException w:unhideWhenUsed="0" w:uiPriority="0" w:semiHidden="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nhideWhenUsed="0" w:uiPriority="0"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qFormat="1" w:unhideWhenUsed="0" w:uiPriority="0" w:semiHidden="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1"/>
    <w:qFormat/>
    <w:uiPriority w:val="0"/>
    <w:pPr>
      <w:keepNext/>
      <w:outlineLvl w:val="0"/>
    </w:pPr>
    <w:rPr>
      <w:rFonts w:ascii="楷体_GB2312" w:eastAsia="楷体_GB2312"/>
      <w:sz w:val="28"/>
      <w:szCs w:val="20"/>
    </w:rPr>
  </w:style>
  <w:style w:type="paragraph" w:styleId="3">
    <w:name w:val="heading 2"/>
    <w:basedOn w:val="1"/>
    <w:next w:val="4"/>
    <w:link w:val="77"/>
    <w:qFormat/>
    <w:uiPriority w:val="0"/>
    <w:pPr>
      <w:keepNext/>
      <w:keepLines/>
      <w:spacing w:before="260" w:after="260" w:line="416" w:lineRule="auto"/>
      <w:jc w:val="center"/>
      <w:outlineLvl w:val="1"/>
    </w:pPr>
    <w:rPr>
      <w:rFonts w:ascii="Arial" w:hAnsi="Arial" w:eastAsia="幼圆"/>
      <w:b/>
      <w:sz w:val="44"/>
      <w:szCs w:val="20"/>
    </w:rPr>
  </w:style>
  <w:style w:type="paragraph" w:styleId="5">
    <w:name w:val="heading 3"/>
    <w:basedOn w:val="1"/>
    <w:next w:val="4"/>
    <w:link w:val="78"/>
    <w:qFormat/>
    <w:uiPriority w:val="0"/>
    <w:pPr>
      <w:keepNext/>
      <w:keepLines/>
      <w:spacing w:before="260" w:after="260" w:line="416" w:lineRule="auto"/>
      <w:outlineLvl w:val="2"/>
    </w:pPr>
    <w:rPr>
      <w:b/>
      <w:sz w:val="32"/>
      <w:szCs w:val="20"/>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outlineLvl w:val="4"/>
    </w:pPr>
    <w:rPr>
      <w:rFonts w:ascii="宋体" w:hAnsi="宋体"/>
      <w:b/>
      <w:bCs/>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72"/>
    <w:qFormat/>
    <w:uiPriority w:val="0"/>
    <w:pPr>
      <w:ind w:firstLine="420"/>
    </w:pPr>
    <w:rPr>
      <w:szCs w:val="20"/>
    </w:rPr>
  </w:style>
  <w:style w:type="paragraph" w:styleId="8">
    <w:name w:val="toc 7"/>
    <w:basedOn w:val="1"/>
    <w:next w:val="1"/>
    <w:semiHidden/>
    <w:uiPriority w:val="0"/>
    <w:pPr>
      <w:ind w:left="2520" w:leftChars="1200"/>
    </w:pPr>
  </w:style>
  <w:style w:type="paragraph" w:styleId="9">
    <w:name w:val="Document Map"/>
    <w:basedOn w:val="1"/>
    <w:semiHidden/>
    <w:uiPriority w:val="0"/>
    <w:pPr>
      <w:shd w:val="clear" w:color="auto" w:fill="000080"/>
    </w:pPr>
  </w:style>
  <w:style w:type="paragraph" w:styleId="10">
    <w:name w:val="annotation text"/>
    <w:basedOn w:val="1"/>
    <w:link w:val="75"/>
    <w:uiPriority w:val="0"/>
    <w:pPr>
      <w:jc w:val="left"/>
    </w:pPr>
  </w:style>
  <w:style w:type="paragraph" w:styleId="11">
    <w:name w:val="Body Text 3"/>
    <w:basedOn w:val="1"/>
    <w:uiPriority w:val="0"/>
    <w:rPr>
      <w:rFonts w:ascii="仿宋_GB2312" w:hAnsi="Arial" w:eastAsia="仿宋_GB2312"/>
      <w:sz w:val="32"/>
      <w:szCs w:val="20"/>
    </w:rPr>
  </w:style>
  <w:style w:type="paragraph" w:styleId="12">
    <w:name w:val="Body Text"/>
    <w:basedOn w:val="1"/>
    <w:link w:val="84"/>
    <w:uiPriority w:val="0"/>
    <w:rPr>
      <w:rFonts w:ascii="楷体_GB2312" w:hAnsi="Arial" w:eastAsia="楷体_GB2312"/>
      <w:sz w:val="28"/>
      <w:szCs w:val="20"/>
    </w:rPr>
  </w:style>
  <w:style w:type="paragraph" w:styleId="13">
    <w:name w:val="Body Text Indent"/>
    <w:basedOn w:val="1"/>
    <w:uiPriority w:val="0"/>
    <w:pPr>
      <w:ind w:firstLine="645"/>
    </w:pPr>
    <w:rPr>
      <w:rFonts w:ascii="楷体_GB2312" w:eastAsia="楷体_GB2312"/>
      <w:sz w:val="32"/>
      <w:szCs w:val="20"/>
    </w:rPr>
  </w:style>
  <w:style w:type="paragraph" w:styleId="14">
    <w:name w:val="index 4"/>
    <w:basedOn w:val="1"/>
    <w:next w:val="1"/>
    <w:autoRedefine/>
    <w:unhideWhenUsed/>
    <w:qFormat/>
    <w:uiPriority w:val="0"/>
    <w:pPr>
      <w:spacing w:line="360" w:lineRule="auto"/>
    </w:pPr>
    <w:rPr>
      <w:rFonts w:asciiTheme="minorEastAsia" w:hAnsiTheme="minorEastAsia" w:eastAsiaTheme="minorEastAsia"/>
      <w:sz w:val="24"/>
      <w:szCs w:val="32"/>
    </w:rPr>
  </w:style>
  <w:style w:type="paragraph" w:styleId="15">
    <w:name w:val="toc 5"/>
    <w:basedOn w:val="1"/>
    <w:next w:val="1"/>
    <w:semiHidden/>
    <w:uiPriority w:val="0"/>
    <w:pPr>
      <w:ind w:left="1680" w:leftChars="800"/>
    </w:pPr>
  </w:style>
  <w:style w:type="paragraph" w:styleId="16">
    <w:name w:val="toc 3"/>
    <w:basedOn w:val="1"/>
    <w:next w:val="1"/>
    <w:semiHidden/>
    <w:uiPriority w:val="0"/>
    <w:pPr>
      <w:tabs>
        <w:tab w:val="right" w:leader="dot" w:pos="9440"/>
      </w:tabs>
      <w:spacing w:line="240" w:lineRule="exact"/>
      <w:ind w:left="539"/>
      <w:jc w:val="left"/>
    </w:pPr>
    <w:rPr>
      <w:rFonts w:ascii="黑体" w:hAnsi="宋体" w:eastAsia="黑体"/>
      <w:bCs/>
      <w:iCs/>
      <w:sz w:val="18"/>
      <w:szCs w:val="32"/>
    </w:rPr>
  </w:style>
  <w:style w:type="paragraph" w:styleId="17">
    <w:name w:val="Plain Text"/>
    <w:basedOn w:val="1"/>
    <w:link w:val="70"/>
    <w:qFormat/>
    <w:uiPriority w:val="0"/>
    <w:rPr>
      <w:rFonts w:hint="eastAsia" w:ascii="宋体" w:hAnsi="Courier New"/>
      <w:szCs w:val="20"/>
    </w:rPr>
  </w:style>
  <w:style w:type="paragraph" w:styleId="18">
    <w:name w:val="toc 8"/>
    <w:basedOn w:val="1"/>
    <w:next w:val="1"/>
    <w:semiHidden/>
    <w:uiPriority w:val="0"/>
    <w:pPr>
      <w:ind w:left="2940" w:leftChars="1400"/>
    </w:pPr>
  </w:style>
  <w:style w:type="paragraph" w:styleId="19">
    <w:name w:val="Date"/>
    <w:basedOn w:val="1"/>
    <w:next w:val="1"/>
    <w:uiPriority w:val="0"/>
    <w:rPr>
      <w:sz w:val="24"/>
      <w:szCs w:val="20"/>
    </w:rPr>
  </w:style>
  <w:style w:type="paragraph" w:styleId="20">
    <w:name w:val="Body Text Indent 2"/>
    <w:basedOn w:val="1"/>
    <w:uiPriority w:val="0"/>
    <w:pPr>
      <w:ind w:firstLine="560" w:firstLineChars="200"/>
    </w:pPr>
    <w:rPr>
      <w:rFonts w:ascii="宋体" w:hAnsi="宋体"/>
      <w:sz w:val="28"/>
    </w:rPr>
  </w:style>
  <w:style w:type="paragraph" w:styleId="21">
    <w:name w:val="Balloon Text"/>
    <w:basedOn w:val="1"/>
    <w:semiHidden/>
    <w:uiPriority w:val="0"/>
    <w:rPr>
      <w:sz w:val="18"/>
      <w:szCs w:val="18"/>
    </w:rPr>
  </w:style>
  <w:style w:type="paragraph" w:styleId="22">
    <w:name w:val="footer"/>
    <w:basedOn w:val="1"/>
    <w:link w:val="86"/>
    <w:uiPriority w:val="99"/>
    <w:pPr>
      <w:tabs>
        <w:tab w:val="center" w:pos="4153"/>
        <w:tab w:val="right" w:pos="8306"/>
      </w:tabs>
      <w:snapToGrid w:val="0"/>
      <w:jc w:val="left"/>
    </w:pPr>
    <w:rPr>
      <w:sz w:val="18"/>
      <w:szCs w:val="20"/>
    </w:rPr>
  </w:style>
  <w:style w:type="paragraph" w:styleId="2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uiPriority w:val="39"/>
    <w:pPr>
      <w:tabs>
        <w:tab w:val="right" w:leader="dot" w:pos="9440"/>
      </w:tabs>
      <w:spacing w:before="120" w:after="120" w:line="300" w:lineRule="exact"/>
      <w:jc w:val="left"/>
    </w:pPr>
    <w:rPr>
      <w:rFonts w:ascii="黑体" w:eastAsia="黑体"/>
      <w:b/>
      <w:caps/>
      <w:sz w:val="18"/>
      <w:szCs w:val="28"/>
    </w:rPr>
  </w:style>
  <w:style w:type="paragraph" w:styleId="25">
    <w:name w:val="toc 4"/>
    <w:basedOn w:val="1"/>
    <w:next w:val="1"/>
    <w:semiHidden/>
    <w:uiPriority w:val="0"/>
    <w:pPr>
      <w:ind w:left="1260" w:leftChars="600"/>
    </w:pPr>
  </w:style>
  <w:style w:type="paragraph" w:styleId="26">
    <w:name w:val="toc 6"/>
    <w:basedOn w:val="1"/>
    <w:next w:val="1"/>
    <w:semiHidden/>
    <w:uiPriority w:val="0"/>
    <w:pPr>
      <w:ind w:left="2100" w:leftChars="1000"/>
    </w:pPr>
  </w:style>
  <w:style w:type="paragraph" w:styleId="27">
    <w:name w:val="Body Text Indent 3"/>
    <w:basedOn w:val="1"/>
    <w:uiPriority w:val="0"/>
    <w:pPr>
      <w:ind w:firstLine="523"/>
    </w:pPr>
    <w:rPr>
      <w:rFonts w:ascii="仿宋_GB2312" w:hAnsi="宋体" w:eastAsia="仿宋_GB2312"/>
      <w:sz w:val="24"/>
    </w:rPr>
  </w:style>
  <w:style w:type="paragraph" w:styleId="28">
    <w:name w:val="toc 2"/>
    <w:basedOn w:val="1"/>
    <w:next w:val="1"/>
    <w:uiPriority w:val="39"/>
    <w:pPr>
      <w:tabs>
        <w:tab w:val="right" w:leader="dot" w:pos="9440"/>
      </w:tabs>
      <w:spacing w:line="260" w:lineRule="exact"/>
      <w:jc w:val="left"/>
    </w:pPr>
    <w:rPr>
      <w:rFonts w:ascii="黑体" w:eastAsia="黑体"/>
      <w:b/>
      <w:bCs/>
      <w:smallCaps/>
      <w:sz w:val="18"/>
      <w:szCs w:val="44"/>
    </w:rPr>
  </w:style>
  <w:style w:type="paragraph" w:styleId="29">
    <w:name w:val="toc 9"/>
    <w:basedOn w:val="1"/>
    <w:next w:val="1"/>
    <w:semiHidden/>
    <w:uiPriority w:val="0"/>
    <w:pPr>
      <w:ind w:left="3360" w:leftChars="1600"/>
    </w:pPr>
  </w:style>
  <w:style w:type="paragraph" w:styleId="30">
    <w:name w:val="Body Text 2"/>
    <w:basedOn w:val="1"/>
    <w:uiPriority w:val="0"/>
    <w:pPr>
      <w:jc w:val="center"/>
    </w:pPr>
    <w:rPr>
      <w:rFonts w:ascii="仿宋_GB2312" w:eastAsia="仿宋_GB2312"/>
      <w:sz w:val="44"/>
    </w:rPr>
  </w:style>
  <w:style w:type="paragraph" w:styleId="31">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2">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33">
    <w:name w:val="index 1"/>
    <w:basedOn w:val="1"/>
    <w:next w:val="1"/>
    <w:semiHidden/>
    <w:uiPriority w:val="0"/>
    <w:rPr>
      <w:rFonts w:ascii="宋体" w:hAnsi="宋体"/>
      <w:szCs w:val="18"/>
    </w:rPr>
  </w:style>
  <w:style w:type="paragraph" w:styleId="34">
    <w:name w:val="annotation subject"/>
    <w:basedOn w:val="10"/>
    <w:next w:val="10"/>
    <w:link w:val="69"/>
    <w:uiPriority w:val="0"/>
    <w:rPr>
      <w:b/>
      <w:bCs/>
    </w:rPr>
  </w:style>
  <w:style w:type="table" w:styleId="36">
    <w:name w:val="Table Grid"/>
    <w:basedOn w:val="3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bCs/>
    </w:rPr>
  </w:style>
  <w:style w:type="character" w:styleId="39">
    <w:name w:val="page number"/>
    <w:basedOn w:val="37"/>
    <w:uiPriority w:val="0"/>
  </w:style>
  <w:style w:type="character" w:styleId="40">
    <w:name w:val="FollowedHyperlink"/>
    <w:uiPriority w:val="0"/>
    <w:rPr>
      <w:color w:val="800080"/>
      <w:u w:val="single"/>
    </w:rPr>
  </w:style>
  <w:style w:type="character" w:styleId="41">
    <w:name w:val="Hyperlink"/>
    <w:uiPriority w:val="99"/>
    <w:rPr>
      <w:color w:val="0000FF"/>
      <w:u w:val="single"/>
    </w:rPr>
  </w:style>
  <w:style w:type="character" w:styleId="42">
    <w:name w:val="annotation reference"/>
    <w:uiPriority w:val="0"/>
    <w:rPr>
      <w:sz w:val="21"/>
      <w:szCs w:val="21"/>
    </w:rPr>
  </w:style>
  <w:style w:type="paragraph" w:customStyle="1" w:styleId="43">
    <w:name w:val="Char"/>
    <w:basedOn w:val="1"/>
    <w:uiPriority w:val="0"/>
    <w:pPr>
      <w:tabs>
        <w:tab w:val="left" w:pos="360"/>
      </w:tabs>
      <w:ind w:firstLine="561"/>
      <w:jc w:val="left"/>
    </w:pPr>
    <w:rPr>
      <w:sz w:val="24"/>
      <w:u w:val="single"/>
    </w:rPr>
  </w:style>
  <w:style w:type="paragraph" w:customStyle="1" w:styleId="44">
    <w:name w:val="默认段落字体 Para Char Char Char Char Char Char Char Char Char1 Char Char Char Char Char Char Char"/>
    <w:basedOn w:val="9"/>
    <w:uiPriority w:val="0"/>
    <w:rPr>
      <w:rFonts w:ascii="Tahoma" w:hAnsi="Tahoma"/>
      <w:sz w:val="24"/>
    </w:rPr>
  </w:style>
  <w:style w:type="paragraph" w:customStyle="1" w:styleId="45">
    <w:name w:val="招标"/>
    <w:basedOn w:val="1"/>
    <w:qFormat/>
    <w:uiPriority w:val="0"/>
    <w:pPr>
      <w:spacing w:line="400" w:lineRule="exact"/>
      <w:ind w:firstLine="420" w:firstLineChars="200"/>
      <w:jc w:val="left"/>
    </w:pPr>
    <w:rPr>
      <w:rFonts w:ascii="宋体" w:hAnsi="宋体"/>
    </w:rPr>
  </w:style>
  <w:style w:type="paragraph" w:customStyle="1" w:styleId="46">
    <w:name w:val="标题1"/>
    <w:basedOn w:val="1"/>
    <w:next w:val="1"/>
    <w:uiPriority w:val="0"/>
    <w:pPr>
      <w:tabs>
        <w:tab w:val="left" w:pos="9193"/>
        <w:tab w:val="left" w:pos="9827"/>
      </w:tabs>
      <w:spacing w:line="700" w:lineRule="atLeast"/>
      <w:jc w:val="center"/>
    </w:pPr>
    <w:rPr>
      <w:rFonts w:eastAsia="方正小标宋_GBK"/>
      <w:sz w:val="44"/>
    </w:rPr>
  </w:style>
  <w:style w:type="paragraph" w:customStyle="1" w:styleId="47">
    <w:name w:val="正文 1.1"/>
    <w:basedOn w:val="1"/>
    <w:next w:val="48"/>
    <w:uiPriority w:val="0"/>
    <w:pPr>
      <w:numPr>
        <w:ilvl w:val="1"/>
        <w:numId w:val="1"/>
      </w:numPr>
      <w:tabs>
        <w:tab w:val="clear" w:pos="851"/>
      </w:tabs>
      <w:adjustRightInd w:val="0"/>
      <w:spacing w:line="360" w:lineRule="auto"/>
      <w:ind w:left="980" w:hanging="980" w:hangingChars="350"/>
      <w:textAlignment w:val="baseline"/>
      <w:outlineLvl w:val="1"/>
    </w:pPr>
    <w:rPr>
      <w:rFonts w:ascii="仿宋" w:hAnsi="仿宋" w:eastAsia="仿宋"/>
      <w:b/>
      <w:kern w:val="0"/>
      <w:sz w:val="28"/>
      <w:szCs w:val="21"/>
    </w:rPr>
  </w:style>
  <w:style w:type="paragraph" w:customStyle="1" w:styleId="48">
    <w:name w:val="正文 1.1.1"/>
    <w:basedOn w:val="1"/>
    <w:next w:val="1"/>
    <w:uiPriority w:val="0"/>
    <w:pPr>
      <w:numPr>
        <w:ilvl w:val="2"/>
        <w:numId w:val="1"/>
      </w:numPr>
      <w:adjustRightInd w:val="0"/>
      <w:spacing w:line="360" w:lineRule="auto"/>
      <w:textAlignment w:val="baseline"/>
      <w:outlineLvl w:val="2"/>
    </w:pPr>
    <w:rPr>
      <w:rFonts w:ascii="宋体" w:hAnsi="宋体"/>
      <w:color w:val="000000"/>
      <w:kern w:val="0"/>
      <w:sz w:val="28"/>
      <w:szCs w:val="21"/>
    </w:rPr>
  </w:style>
  <w:style w:type="paragraph" w:customStyle="1" w:styleId="49">
    <w:name w:val="正文空2格  1."/>
    <w:basedOn w:val="1"/>
    <w:uiPriority w:val="0"/>
    <w:pPr>
      <w:adjustRightInd w:val="0"/>
      <w:spacing w:line="360" w:lineRule="auto"/>
      <w:ind w:firstLine="480" w:firstLineChars="200"/>
      <w:textAlignment w:val="baseline"/>
    </w:pPr>
    <w:rPr>
      <w:rFonts w:ascii="宋体" w:eastAsia="仿宋" w:cs="宋体"/>
      <w:kern w:val="0"/>
      <w:sz w:val="28"/>
      <w:szCs w:val="20"/>
    </w:rPr>
  </w:style>
  <w:style w:type="paragraph" w:customStyle="1" w:styleId="50">
    <w:name w:val="标书正文格式"/>
    <w:uiPriority w:val="0"/>
    <w:pPr>
      <w:spacing w:line="360" w:lineRule="auto"/>
      <w:ind w:firstLine="200" w:firstLineChars="200"/>
    </w:pPr>
    <w:rPr>
      <w:rFonts w:ascii="Calibri" w:hAnsi="Calibri" w:eastAsia="楷体_GB2312" w:cs="Times New Roman"/>
      <w:kern w:val="2"/>
      <w:sz w:val="24"/>
      <w:szCs w:val="24"/>
      <w:lang w:val="en-US" w:eastAsia="zh-CN" w:bidi="ar-SA"/>
    </w:rPr>
  </w:style>
  <w:style w:type="paragraph" w:customStyle="1" w:styleId="51">
    <w:name w:val="附录1"/>
    <w:uiPriority w:val="0"/>
    <w:pPr>
      <w:numPr>
        <w:ilvl w:val="0"/>
        <w:numId w:val="2"/>
      </w:numPr>
      <w:snapToGrid w:val="0"/>
      <w:spacing w:before="240" w:line="600" w:lineRule="atLeast"/>
    </w:pPr>
    <w:rPr>
      <w:rFonts w:ascii="Calibri" w:hAnsi="Calibri" w:eastAsia="宋体" w:cs="Times New Roman"/>
      <w:b/>
      <w:i/>
      <w:sz w:val="28"/>
      <w:lang w:val="en-US" w:eastAsia="zh-CN" w:bidi="ar-SA"/>
    </w:rPr>
  </w:style>
  <w:style w:type="paragraph" w:customStyle="1" w:styleId="52">
    <w:name w:val="Char Char Char Char1 Char Char Char"/>
    <w:basedOn w:val="9"/>
    <w:uiPriority w:val="0"/>
    <w:pPr>
      <w:adjustRightInd w:val="0"/>
      <w:snapToGrid w:val="0"/>
      <w:spacing w:line="360" w:lineRule="auto"/>
    </w:pPr>
    <w:rPr>
      <w:rFonts w:ascii="Tahoma" w:hAnsi="Tahoma"/>
      <w:sz w:val="24"/>
    </w:rPr>
  </w:style>
  <w:style w:type="paragraph" w:customStyle="1" w:styleId="53">
    <w:name w:val="xl47"/>
    <w:basedOn w:val="1"/>
    <w:uiPriority w:val="0"/>
    <w:pPr>
      <w:widowControl/>
      <w:spacing w:before="100" w:beforeAutospacing="1" w:after="100" w:afterAutospacing="1"/>
      <w:jc w:val="center"/>
    </w:pPr>
    <w:rPr>
      <w:rFonts w:hint="eastAsia" w:ascii="方正姚体" w:hAnsi="宋体" w:eastAsia="方正姚体"/>
      <w:b/>
      <w:bCs/>
      <w:kern w:val="0"/>
      <w:sz w:val="36"/>
      <w:szCs w:val="36"/>
    </w:rPr>
  </w:style>
  <w:style w:type="paragraph" w:customStyle="1" w:styleId="54">
    <w:name w:val="正文 第一章"/>
    <w:basedOn w:val="1"/>
    <w:next w:val="47"/>
    <w:uiPriority w:val="0"/>
    <w:pPr>
      <w:pageBreakBefore/>
      <w:numPr>
        <w:ilvl w:val="0"/>
        <w:numId w:val="1"/>
      </w:numPr>
      <w:adjustRightInd w:val="0"/>
      <w:spacing w:before="240" w:after="240" w:line="480" w:lineRule="auto"/>
      <w:jc w:val="center"/>
      <w:textAlignment w:val="baseline"/>
      <w:outlineLvl w:val="0"/>
    </w:pPr>
    <w:rPr>
      <w:rFonts w:ascii="黑体" w:hAnsi="宋体" w:eastAsia="黑体"/>
      <w:kern w:val="0"/>
      <w:sz w:val="36"/>
      <w:szCs w:val="21"/>
    </w:rPr>
  </w:style>
  <w:style w:type="paragraph" w:customStyle="1" w:styleId="55">
    <w:name w:val="Char11"/>
    <w:basedOn w:val="1"/>
    <w:uiPriority w:val="0"/>
    <w:rPr>
      <w:rFonts w:ascii="Tahoma" w:hAnsi="Tahoma"/>
      <w:snapToGrid w:val="0"/>
      <w:sz w:val="24"/>
      <w:szCs w:val="20"/>
    </w:rPr>
  </w:style>
  <w:style w:type="paragraph" w:customStyle="1" w:styleId="56">
    <w:name w:val="第四级"/>
    <w:basedOn w:val="1"/>
    <w:next w:val="1"/>
    <w:uiPriority w:val="0"/>
    <w:pPr>
      <w:numPr>
        <w:ilvl w:val="3"/>
        <w:numId w:val="1"/>
      </w:numPr>
      <w:adjustRightInd w:val="0"/>
      <w:spacing w:line="360" w:lineRule="auto"/>
      <w:textAlignment w:val="baseline"/>
    </w:pPr>
    <w:rPr>
      <w:rFonts w:ascii="宋体" w:hAnsi="宋体" w:eastAsia="仿宋"/>
      <w:kern w:val="0"/>
      <w:sz w:val="28"/>
      <w:szCs w:val="21"/>
    </w:rPr>
  </w:style>
  <w:style w:type="paragraph" w:customStyle="1" w:styleId="57">
    <w:name w:val="HTML 预先格式化"/>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58">
    <w:name w:val="Coms Alinea"/>
    <w:uiPriority w:val="0"/>
    <w:pPr>
      <w:widowControl w:val="0"/>
    </w:pPr>
    <w:rPr>
      <w:rFonts w:ascii="Arial" w:hAnsi="Arial" w:eastAsia="宋体" w:cs="Arial"/>
      <w:lang w:val="en-US" w:eastAsia="zh-CN" w:bidi="ar-SA"/>
    </w:rPr>
  </w:style>
  <w:style w:type="paragraph" w:customStyle="1" w:styleId="59">
    <w:name w:val="标题2"/>
    <w:basedOn w:val="1"/>
    <w:next w:val="1"/>
    <w:uiPriority w:val="0"/>
    <w:pPr>
      <w:jc w:val="center"/>
    </w:pPr>
    <w:rPr>
      <w:rFonts w:eastAsia="方正楷体_GBK"/>
    </w:rPr>
  </w:style>
  <w:style w:type="paragraph" w:styleId="60">
    <w:name w:val="List Paragraph"/>
    <w:basedOn w:val="1"/>
    <w:qFormat/>
    <w:uiPriority w:val="1"/>
    <w:pPr>
      <w:ind w:firstLine="420" w:firstLineChars="200"/>
    </w:pPr>
    <w:rPr>
      <w:szCs w:val="22"/>
    </w:rPr>
  </w:style>
  <w:style w:type="paragraph" w:customStyle="1" w:styleId="61">
    <w:name w:val="Table Text"/>
    <w:uiPriority w:val="0"/>
    <w:pPr>
      <w:snapToGrid w:val="0"/>
      <w:spacing w:beforeLines="50" w:after="80"/>
      <w:jc w:val="center"/>
    </w:pPr>
    <w:rPr>
      <w:rFonts w:ascii="仿宋_GB2312" w:hAnsi="宋体" w:eastAsia="仿宋_GB2312" w:cs="Times New Roman"/>
      <w:sz w:val="24"/>
      <w:lang w:val="en-US" w:eastAsia="zh-CN" w:bidi="ar-SA"/>
    </w:rPr>
  </w:style>
  <w:style w:type="paragraph" w:customStyle="1" w:styleId="62">
    <w:name w:val="普通正文"/>
    <w:basedOn w:val="1"/>
    <w:link w:val="76"/>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63">
    <w:name w:val="标题3"/>
    <w:basedOn w:val="1"/>
    <w:next w:val="1"/>
    <w:uiPriority w:val="0"/>
    <w:rPr>
      <w:rFonts w:eastAsia="方正黑体_GBK"/>
    </w:rPr>
  </w:style>
  <w:style w:type="paragraph" w:customStyle="1" w:styleId="64">
    <w:name w:val="Char Char Char Char"/>
    <w:basedOn w:val="9"/>
    <w:uiPriority w:val="0"/>
    <w:pPr>
      <w:adjustRightInd w:val="0"/>
      <w:snapToGrid w:val="0"/>
      <w:spacing w:line="360" w:lineRule="auto"/>
    </w:pPr>
    <w:rPr>
      <w:rFonts w:ascii="Tahoma" w:hAnsi="Tahoma"/>
      <w:sz w:val="24"/>
    </w:rPr>
  </w:style>
  <w:style w:type="paragraph" w:customStyle="1" w:styleId="65">
    <w:name w:val="BioQuote Tekst"/>
    <w:basedOn w:val="1"/>
    <w:uiPriority w:val="0"/>
    <w:pPr>
      <w:ind w:right="-1"/>
    </w:pPr>
    <w:rPr>
      <w:rFonts w:ascii="Arial" w:hAnsi="Arial"/>
      <w:snapToGrid w:val="0"/>
      <w:kern w:val="0"/>
      <w:sz w:val="22"/>
      <w:szCs w:val="20"/>
      <w:lang w:eastAsia="en-US"/>
    </w:rPr>
  </w:style>
  <w:style w:type="paragraph" w:customStyle="1" w:styleId="66">
    <w:name w:val="Char Char Char Char1 Char Char"/>
    <w:basedOn w:val="1"/>
    <w:uiPriority w:val="0"/>
    <w:pPr>
      <w:tabs>
        <w:tab w:val="left" w:pos="360"/>
      </w:tabs>
    </w:pPr>
    <w:rPr>
      <w:sz w:val="24"/>
    </w:rPr>
  </w:style>
  <w:style w:type="paragraph" w:customStyle="1" w:styleId="67">
    <w:name w:val="列出段落1"/>
    <w:basedOn w:val="1"/>
    <w:link w:val="68"/>
    <w:qFormat/>
    <w:uiPriority w:val="0"/>
    <w:pPr>
      <w:widowControl/>
      <w:ind w:left="720"/>
      <w:contextualSpacing/>
      <w:jc w:val="left"/>
    </w:pPr>
    <w:rPr>
      <w:kern w:val="0"/>
      <w:sz w:val="24"/>
      <w:lang w:eastAsia="en-US" w:bidi="en-US"/>
    </w:rPr>
  </w:style>
  <w:style w:type="character" w:customStyle="1" w:styleId="68">
    <w:name w:val="列出段落 Char"/>
    <w:link w:val="67"/>
    <w:locked/>
    <w:uiPriority w:val="0"/>
    <w:rPr>
      <w:rFonts w:ascii="Calibri" w:hAnsi="Calibri"/>
      <w:sz w:val="24"/>
      <w:szCs w:val="24"/>
      <w:lang w:eastAsia="en-US" w:bidi="en-US"/>
    </w:rPr>
  </w:style>
  <w:style w:type="character" w:customStyle="1" w:styleId="69">
    <w:name w:val="批注主题 字符"/>
    <w:link w:val="34"/>
    <w:uiPriority w:val="0"/>
    <w:rPr>
      <w:b/>
      <w:bCs/>
      <w:kern w:val="2"/>
      <w:sz w:val="21"/>
      <w:szCs w:val="24"/>
    </w:rPr>
  </w:style>
  <w:style w:type="character" w:customStyle="1" w:styleId="70">
    <w:name w:val="纯文本 字符"/>
    <w:link w:val="17"/>
    <w:qFormat/>
    <w:uiPriority w:val="0"/>
    <w:rPr>
      <w:rFonts w:ascii="宋体" w:hAnsi="Courier New"/>
      <w:kern w:val="2"/>
      <w:sz w:val="21"/>
    </w:rPr>
  </w:style>
  <w:style w:type="character" w:customStyle="1" w:styleId="71">
    <w:name w:val="标题 1 字符"/>
    <w:link w:val="2"/>
    <w:uiPriority w:val="0"/>
    <w:rPr>
      <w:rFonts w:ascii="楷体_GB2312" w:eastAsia="楷体_GB2312"/>
      <w:kern w:val="2"/>
      <w:sz w:val="28"/>
      <w:lang w:val="en-US" w:eastAsia="zh-CN" w:bidi="ar-SA"/>
    </w:rPr>
  </w:style>
  <w:style w:type="character" w:customStyle="1" w:styleId="72">
    <w:name w:val="正文缩进 字符"/>
    <w:link w:val="4"/>
    <w:qFormat/>
    <w:uiPriority w:val="0"/>
    <w:rPr>
      <w:rFonts w:eastAsia="宋体"/>
      <w:kern w:val="2"/>
      <w:sz w:val="21"/>
      <w:lang w:val="en-US" w:eastAsia="zh-CN" w:bidi="ar-SA"/>
    </w:rPr>
  </w:style>
  <w:style w:type="character" w:customStyle="1" w:styleId="73">
    <w:name w:val="jj1"/>
    <w:uiPriority w:val="0"/>
    <w:rPr>
      <w:sz w:val="20"/>
      <w:szCs w:val="20"/>
      <w:u w:val="none"/>
    </w:rPr>
  </w:style>
  <w:style w:type="character" w:customStyle="1" w:styleId="74">
    <w:name w:val="标题2 Char"/>
    <w:qFormat/>
    <w:uiPriority w:val="0"/>
    <w:rPr>
      <w:rFonts w:ascii="方正楷体_GBK" w:hAnsi="Book Antiqua" w:eastAsia="方正楷体_GBK"/>
      <w:snapToGrid w:val="0"/>
      <w:sz w:val="32"/>
      <w:lang w:val="en-US" w:eastAsia="zh-CN" w:bidi="ar-SA"/>
    </w:rPr>
  </w:style>
  <w:style w:type="character" w:customStyle="1" w:styleId="75">
    <w:name w:val="批注文字 字符"/>
    <w:link w:val="10"/>
    <w:qFormat/>
    <w:uiPriority w:val="0"/>
    <w:rPr>
      <w:kern w:val="2"/>
      <w:sz w:val="21"/>
      <w:szCs w:val="24"/>
    </w:rPr>
  </w:style>
  <w:style w:type="character" w:customStyle="1" w:styleId="76">
    <w:name w:val="普通正文 Char"/>
    <w:link w:val="62"/>
    <w:qFormat/>
    <w:uiPriority w:val="0"/>
    <w:rPr>
      <w:rFonts w:ascii="Arial" w:hAnsi="Arial"/>
      <w:sz w:val="24"/>
      <w:szCs w:val="24"/>
    </w:rPr>
  </w:style>
  <w:style w:type="character" w:customStyle="1" w:styleId="77">
    <w:name w:val="标题 2 字符"/>
    <w:link w:val="3"/>
    <w:qFormat/>
    <w:uiPriority w:val="0"/>
    <w:rPr>
      <w:rFonts w:ascii="Arial" w:hAnsi="Arial" w:eastAsia="幼圆"/>
      <w:b/>
      <w:kern w:val="2"/>
      <w:sz w:val="44"/>
    </w:rPr>
  </w:style>
  <w:style w:type="character" w:customStyle="1" w:styleId="78">
    <w:name w:val="标题 3 字符"/>
    <w:link w:val="5"/>
    <w:uiPriority w:val="0"/>
    <w:rPr>
      <w:b/>
      <w:kern w:val="2"/>
      <w:sz w:val="32"/>
    </w:rPr>
  </w:style>
  <w:style w:type="character" w:customStyle="1" w:styleId="79">
    <w:name w:val="纯文本 Char"/>
    <w:qFormat/>
    <w:uiPriority w:val="99"/>
    <w:rPr>
      <w:rFonts w:ascii="宋体" w:hAnsi="Courier New"/>
      <w:kern w:val="2"/>
      <w:sz w:val="21"/>
    </w:rPr>
  </w:style>
  <w:style w:type="paragraph" w:customStyle="1" w:styleId="80">
    <w:name w:val="0正文"/>
    <w:link w:val="81"/>
    <w:qFormat/>
    <w:uiPriority w:val="0"/>
    <w:pPr>
      <w:ind w:firstLine="200" w:firstLineChars="200"/>
    </w:pPr>
    <w:rPr>
      <w:rFonts w:ascii="Times New Roman" w:hAnsi="Times New Roman" w:eastAsia="宋体" w:cs="Times New Roman"/>
      <w:kern w:val="2"/>
      <w:sz w:val="21"/>
      <w:szCs w:val="21"/>
      <w:lang w:val="en-US" w:eastAsia="zh-CN" w:bidi="ar-SA"/>
    </w:rPr>
  </w:style>
  <w:style w:type="character" w:customStyle="1" w:styleId="81">
    <w:name w:val="0正文 Char"/>
    <w:link w:val="80"/>
    <w:qFormat/>
    <w:uiPriority w:val="0"/>
    <w:rPr>
      <w:rFonts w:ascii="Times New Roman" w:hAnsi="Times New Roman"/>
      <w:kern w:val="2"/>
      <w:sz w:val="21"/>
      <w:szCs w:val="21"/>
    </w:rPr>
  </w:style>
  <w:style w:type="paragraph" w:customStyle="1" w:styleId="82">
    <w:name w:val="公文标题 1"/>
    <w:basedOn w:val="1"/>
    <w:next w:val="1"/>
    <w:qFormat/>
    <w:uiPriority w:val="0"/>
    <w:pPr>
      <w:tabs>
        <w:tab w:val="left" w:pos="480"/>
      </w:tabs>
      <w:ind w:left="480"/>
      <w:outlineLvl w:val="0"/>
    </w:pPr>
    <w:rPr>
      <w:rFonts w:ascii="仿宋_GB2312" w:hAnsi="宋体" w:eastAsia="仿宋_GB2312"/>
      <w:kern w:val="28"/>
      <w:sz w:val="28"/>
    </w:rPr>
  </w:style>
  <w:style w:type="paragraph" w:customStyle="1" w:styleId="83">
    <w:name w:val="浅色网格 - 着色 31"/>
    <w:basedOn w:val="1"/>
    <w:qFormat/>
    <w:uiPriority w:val="34"/>
    <w:pPr>
      <w:ind w:firstLine="420" w:firstLineChars="200"/>
    </w:pPr>
    <w:rPr>
      <w:szCs w:val="22"/>
    </w:rPr>
  </w:style>
  <w:style w:type="character" w:customStyle="1" w:styleId="84">
    <w:name w:val="正文文本 字符"/>
    <w:link w:val="12"/>
    <w:qFormat/>
    <w:uiPriority w:val="0"/>
    <w:rPr>
      <w:rFonts w:ascii="楷体_GB2312" w:hAnsi="Arial" w:eastAsia="楷体_GB2312"/>
      <w:kern w:val="2"/>
      <w:sz w:val="28"/>
    </w:rPr>
  </w:style>
  <w:style w:type="character" w:customStyle="1" w:styleId="85">
    <w:name w:val="font5 Char"/>
    <w:qFormat/>
    <w:uiPriority w:val="0"/>
    <w:rPr>
      <w:rFonts w:ascii="宋体" w:hAnsi="宋体" w:eastAsia="宋体"/>
      <w:sz w:val="28"/>
      <w:szCs w:val="28"/>
      <w:lang w:val="en-US" w:eastAsia="zh-CN" w:bidi="ar-SA"/>
    </w:rPr>
  </w:style>
  <w:style w:type="character" w:customStyle="1" w:styleId="86">
    <w:name w:val="页脚 字符"/>
    <w:basedOn w:val="37"/>
    <w:link w:val="22"/>
    <w:qFormat/>
    <w:uiPriority w:val="99"/>
    <w:rPr>
      <w:kern w:val="2"/>
      <w:sz w:val="18"/>
    </w:rPr>
  </w:style>
  <w:style w:type="paragraph" w:customStyle="1" w:styleId="87">
    <w:name w:val="Char1"/>
    <w:basedOn w:val="1"/>
    <w:uiPriority w:val="0"/>
    <w:rPr>
      <w:rFonts w:ascii="Tahoma" w:hAnsi="Tahoma" w:eastAsiaTheme="minorEastAsia" w:cstheme="minorBidi"/>
      <w:snapToGrid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582b202e-28d5-4325-b0e9-0c454c2d95fe</errorID>
      <errorWord>二零二</errorWord>
      <group>L1_Word</group>
      <groupName>字词问题</groupName>
      <ability>L2_Alias</ability>
      <abilityName>也作/曾用词</abilityName>
      <candidateList>
        <item>二○二</item>
      </candidateList>
      <explain>词汇[二零二]为不规范表述或旧称，其规范书面表述为[二○二]。</explain>
      <paraID>3A04B43C</paraID>
      <start>0</start>
      <end>3</end>
      <status>unmodified</status>
      <modifiedWord/>
      <trackRevisions>false</trackRevisions>
    </reviewItem>
    <reviewItem>
      <errorID>1a73ed9e-6b4a-4cdd-bf1a-5ccfd025f015</errorID>
      <errorWord>2026年06月30日</errorWord>
      <group>L1_Knowledge</group>
      <groupName>知识性问题</groupName>
      <ability>L2_Time</ability>
      <abilityName>日期时间</abilityName>
      <candidateList>
        <item>2026年6月30日</item>
      </candidateList>
      <explain>根据日常书写习惯，月份一般会省略前导零。</explain>
      <paraID>563DAC36</paraID>
      <start>77</start>
      <end>88</end>
      <status>unmodified</status>
      <modifiedWord/>
      <trackRevisions>false</trackRevisions>
    </reviewItem>
    <reviewItem>
      <errorID>bff2e1c0-fece-4afd-8f38-82570272e1ca</errorID>
      <errorWord>证</errorWord>
      <group>L1_Grammar</group>
      <groupName>语法问题</groupName>
      <ability>L2_Order</ability>
      <abilityName>语序不当</abilityName>
      <candidateList>
        <item>（证</item>
      </candidateList>
      <explain>句子可能没有遵循时空、逻辑顺序，或者介词、关联词等位置不当。</explain>
      <paraID>7FC41B56</paraID>
      <start>89</start>
      <end>90</end>
      <status>unmodified</status>
      <modifiedWord/>
      <trackRevisions>false</trackRevisions>
    </reviewItem>
    <reviewItem>
      <errorID>7bf59a67-918e-47f0-856e-57c6f5f47d9b</errorID>
      <errorWord>2026年06月18日</errorWord>
      <group>L1_Knowledge</group>
      <groupName>知识性问题</groupName>
      <ability>L2_Time</ability>
      <abilityName>日期时间</abilityName>
      <candidateList>
        <item>2026年6月18日</item>
      </candidateList>
      <explain>根据日常书写习惯，月份一般会省略前导零。</explain>
      <paraID>4AAAD974</paraID>
      <start>6</start>
      <end>17</end>
      <status>unmodified</status>
      <modifiedWord/>
      <trackRevisions>false</trackRevisions>
    </reviewItem>
    <reviewItem>
      <errorID>95f7fd3a-7d55-4a0b-88f1-03050c3d79b6</errorID>
      <errorWord>2026年06月25日</errorWord>
      <group>L1_Knowledge</group>
      <groupName>知识性问题</groupName>
      <ability>L2_Time</ability>
      <abilityName>日期时间</abilityName>
      <candidateList>
        <item>2026年6月25日</item>
      </candidateList>
      <explain>根据日常书写习惯，月份一般会省略前导零。</explain>
      <paraID>4AAAD974</paraID>
      <start>26</start>
      <end>37</end>
      <status>unmodified</status>
      <modifiedWord/>
      <trackRevisions>false</trackRevisions>
    </reviewItem>
    <reviewItem>
      <errorID>4914e7fe-8732-46f0-9b5d-670d514feabd</errorID>
      <errorWord>2026年06月30日</errorWord>
      <group>L1_Knowledge</group>
      <groupName>知识性问题</groupName>
      <ability>L2_Time</ability>
      <abilityName>日期时间</abilityName>
      <candidateList>
        <item>2026年6月30日</item>
      </candidateList>
      <explain>根据日常书写习惯，月份一般会省略前导零。</explain>
      <paraID>21997F49</paraID>
      <start>14</start>
      <end>25</end>
      <status>unmodified</status>
      <modifiedWord/>
      <trackRevisions>false</trackRevisions>
    </reviewItem>
    <reviewItem>
      <errorID>6f57c541-904c-42f7-a583-5b7e6cf24ed8</errorID>
      <errorWord>2026年06月30日</errorWord>
      <group>L1_Knowledge</group>
      <groupName>知识性问题</groupName>
      <ability>L2_Time</ability>
      <abilityName>日期时间</abilityName>
      <candidateList>
        <item>2026年6月30日</item>
      </candidateList>
      <explain>根据日常书写习惯，月份一般会省略前导零。</explain>
      <paraID>18B4D23D</paraID>
      <start>14</start>
      <end>25</end>
      <status>unmodified</status>
      <modifiedWord/>
      <trackRevisions>false</trackRevisions>
    </reviewItem>
    <reviewItem>
      <errorID>a429a953-73ef-4ee9-9684-1309a3eaa6e6</errorID>
      <errorWord>2026年06月30日</errorWord>
      <group>L1_Knowledge</group>
      <groupName>知识性问题</groupName>
      <ability>L2_Time</ability>
      <abilityName>日期时间</abilityName>
      <candidateList>
        <item>2026年6月30日</item>
      </candidateList>
      <explain>根据日常书写习惯，月份一般会省略前导零。</explain>
      <paraID>74105511</paraID>
      <start>6</start>
      <end>17</end>
      <status>unmodified</status>
      <modifiedWord/>
      <trackRevisions>false</trackRevisions>
    </reviewItem>
    <reviewItem>
      <errorID>46273042-a8e5-4311-83ab-f4e6154b264d</errorID>
      <errorWord>法人签字</errorWord>
      <group>L1_Word</group>
      <groupName>字词问题</groupName>
      <ability>L2_Typo</ability>
      <abilityName>字词错误</abilityName>
      <candidateList>
        <item>法人代表签字</item>
      </candidateList>
      <explain/>
      <paraID>478BD2B7</paraID>
      <start>351</start>
      <end>355</end>
      <status>unmodified</status>
      <modifiedWord/>
      <trackRevisions>false</trackRevisions>
    </reviewItem>
    <reviewItem>
      <errorID>cb4fc737-10a1-4d9c-b042-4161d35cd1bb</errorID>
      <errorWord>并</errorWord>
      <group>L1_Word</group>
      <groupName>字词问题</groupName>
      <ability>L2_Typo</ability>
      <abilityName>字词错误</abilityName>
      <candidateList>
        <item>并加</item>
      </candidateList>
      <explain/>
      <paraID>478BD2B7</paraID>
      <start>355</start>
      <end>356</end>
      <status>unmodified</status>
      <modifiedWord/>
      <trackRevisions>false</trackRevisions>
    </reviewItem>
    <reviewItem>
      <errorID>84c184d6-af9a-4b83-971d-018ceaa8590e</errorID>
      <errorWord>法人签字</errorWord>
      <group>L1_Word</group>
      <groupName>字词问题</groupName>
      <ability>L2_Typo</ability>
      <abilityName>字词错误</abilityName>
      <candidateList>
        <item>法人代表签字</item>
      </candidateList>
      <explain/>
      <paraID>101E0C99</paraID>
      <start>106</start>
      <end>110</end>
      <status>unmodified</status>
      <modifiedWord/>
      <trackRevisions>false</trackRevisions>
    </reviewItem>
    <reviewItem>
      <errorID>2d411e5b-202c-4bbd-b56b-b90afce73105</errorID>
      <errorWord>并</errorWord>
      <group>L1_Word</group>
      <groupName>字词问题</groupName>
      <ability>L2_Typo</ability>
      <abilityName>字词错误</abilityName>
      <candidateList>
        <item>并加</item>
      </candidateList>
      <explain/>
      <paraID>101E0C99</paraID>
      <start>110</start>
      <end>111</end>
      <status>unmodified</status>
      <modifiedWord/>
      <trackRevisions>false</trackRevisions>
    </reviewItem>
    <reviewItem>
      <errorID>f84bad2c-5420-4a2a-bc95-43add2fe70ca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5C1CEED5</paraID>
      <start>0</start>
      <end>2</end>
      <status>unmodified</status>
      <modifiedWord/>
      <trackRevisions>false</trackRevisions>
    </reviewItem>
    <reviewItem>
      <errorID>624a6bd1-887c-4a80-98f6-bc7cd675f046</errorID>
      <errorWord>用</errorWord>
      <group>L1_Word</group>
      <groupName>字词问题</groupName>
      <ability>L2_Typo</ability>
      <abilityName>字词错误</abilityName>
      <candidateList>
        <item>用于</item>
      </candidateList>
      <explain/>
      <paraID>157CDF2A</paraID>
      <start>23</start>
      <end>24</end>
      <status>unmodified</status>
      <modifiedWord/>
      <trackRevisions>false</trackRevisions>
    </reviewItem>
    <reviewItem>
      <errorID>6f624084-ab9a-4533-ad52-1b584e477efb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68F9579A</paraID>
      <start>0</start>
      <end>2</end>
      <status>unmodified</status>
      <modifiedWord/>
      <trackRevisions>false</trackRevisions>
    </reviewItem>
    <reviewItem>
      <errorID>fba987cd-eda1-4017-bde4-ba56360fa4d8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3729CFE6</paraID>
      <start>0</start>
      <end>2</end>
      <status>unmodified</status>
      <modifiedWord/>
      <trackRevisions>false</trackRevisions>
    </reviewItem>
    <reviewItem>
      <errorID>901cd763-4bfd-4e0c-a39b-7de970a4ed70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62680EE3</paraID>
      <start>0</start>
      <end>2</end>
      <status>unmodified</status>
      <modifiedWord/>
      <trackRevisions>false</trackRevisions>
    </reviewItem>
    <reviewItem>
      <errorID>f33308eb-738e-4e6a-8baa-fc7e8132d559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55255BAA</paraID>
      <start>0</start>
      <end>2</end>
      <status>unmodified</status>
      <modifiedWord/>
      <trackRevisions>false</trackRevisions>
    </reviewItem>
    <reviewItem>
      <errorID>5ad3d1c0-cc39-44e1-aa21-8f75fabdfad8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7D77C725</paraID>
      <start>0</start>
      <end>2</end>
      <status>unmodified</status>
      <modifiedWord/>
      <trackRevisions>false</trackRevisions>
    </reviewItem>
    <reviewItem>
      <errorID>caf551b8-b23a-4f03-b0c1-b482aa0c992c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48057950</paraID>
      <start>0</start>
      <end>2</end>
      <status>unmodified</status>
      <modifiedWord/>
      <trackRevisions>false</trackRevisions>
    </reviewItem>
    <reviewItem>
      <errorID>d6f2c1dc-f1ba-4a0d-92a6-dff3bbbfaf75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562D2700</paraID>
      <start>0</start>
      <end>2</end>
      <status>unmodified</status>
      <modifiedWord/>
      <trackRevisions>false</trackRevisions>
    </reviewItem>
    <reviewItem>
      <errorID>d7227165-f3c6-4a29-9b38-656991c168b0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4C3A06A2</paraID>
      <start>0</start>
      <end>2</end>
      <status>unmodified</status>
      <modifiedWord/>
      <trackRevisions>false</trackRevisions>
    </reviewItem>
    <reviewItem>
      <errorID>6ac356fb-48d1-4099-8dac-35c0ce078498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1604B733</paraID>
      <start>0</start>
      <end>3</end>
      <status>unmodified</status>
      <modifiedWord/>
      <trackRevisions>false</trackRevisions>
    </reviewItem>
    <reviewItem>
      <errorID>5a9bda5e-ca25-4eb6-98e3-6571bc5eb342</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3379F6BE</paraID>
      <start>16</start>
      <end>19</end>
      <status>unmodified</status>
      <modifiedWord/>
      <trackRevisions>false</trackRevisions>
    </reviewItem>
    <reviewItem>
      <errorID>a7b46ff9-21ff-4771-8668-bdbca89ac151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18596F62</paraID>
      <start>0</start>
      <end>3</end>
      <status>unmodified</status>
      <modifiedWord/>
      <trackRevisions>false</trackRevisions>
    </reviewItem>
    <reviewItem>
      <errorID>4074b551-8435-44a1-9d7f-a2455fa2f500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7B4126D6</paraID>
      <start>0</start>
      <end>3</end>
      <status>unmodified</status>
      <modifiedWord/>
      <trackRevisions>false</trackRevisions>
    </reviewItem>
    <reviewItem>
      <errorID>4d90e21c-8429-4f8f-92ed-67f81c12407b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45FB7A9D</paraID>
      <start>0</start>
      <end>3</end>
      <status>unmodified</status>
      <modifiedWord/>
      <trackRevisions>false</trackRevisions>
    </reviewItem>
    <reviewItem>
      <errorID>1ca40a9f-54c1-48e1-bc44-66dbba7099b0</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5EE888D6</paraID>
      <start>0</start>
      <end>3</end>
      <status>unmodified</status>
      <modifiedWord/>
      <trackRevisions>false</trackRevisions>
    </reviewItem>
    <reviewItem>
      <errorID>341c965a-df30-4af6-b946-1ae890711073</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174897A6</paraID>
      <start>0</start>
      <end>3</end>
      <status>unmodified</status>
      <modifiedWord/>
      <trackRevisions>false</trackRevisions>
    </reviewItem>
    <reviewItem>
      <errorID>200a5224-5bd4-48b8-ac93-2fe2438f1fd0</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A9803B1</paraID>
      <start>0</start>
      <end>3</end>
      <status>unmodified</status>
      <modifiedWord/>
      <trackRevisions>false</trackRevisions>
    </reviewItem>
    <reviewItem>
      <errorID>1aaff243-89ba-4eb8-abfa-8f475487a508</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472FDA16</paraID>
      <start>0</start>
      <end>3</end>
      <status>unmodified</status>
      <modifiedWord/>
      <trackRevisions>false</trackRevisions>
    </reviewItem>
    <reviewItem>
      <errorID>c0968a77-e69a-48ec-a056-30e21cd6fbb1</errorID>
      <errorWord>响应性</errorWord>
      <group>L1_Word</group>
      <groupName>字词问题</groupName>
      <ability>L2_Typo</ability>
      <abilityName>字词错误</abilityName>
      <candidateList>
        <item>响应</item>
      </candidateList>
      <explain>〈动〉回声相应，比喻用言语行动表示赞同、支持某种号召或倡议：～号召。</explain>
      <paraID>11CE55A9</paraID>
      <start>58</start>
      <end>61</end>
      <status>unmodified</status>
      <modifiedWord/>
      <trackRevisions>false</trackRevisions>
    </reviewItem>
    <reviewItem>
      <errorID>132cd066-c808-40cf-a106-4e1b6994980a</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64BD44E1</paraID>
      <start>0</start>
      <end>3</end>
      <status>unmodified</status>
      <modifiedWord/>
      <trackRevisions>false</trackRevisions>
    </reviewItem>
    <reviewItem>
      <errorID>82774af6-3d09-4042-8315-c64c2af921fc</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76141CE8</paraID>
      <start>0</start>
      <end>3</end>
      <status>unmodified</status>
      <modifiedWord/>
      <trackRevisions>false</trackRevisions>
    </reviewItem>
    <reviewItem>
      <errorID>86715fca-52d7-4102-97e0-ac470923f2f9</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4C72B152</paraID>
      <start>0</start>
      <end>3</end>
      <status>unmodified</status>
      <modifiedWord/>
      <trackRevisions>false</trackRevisions>
    </reviewItem>
    <reviewItem>
      <errorID>4d63a907-b84e-4eea-a8e4-9f088b3b3e5e</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3BD3C958</paraID>
      <start>0</start>
      <end>3</end>
      <status>unmodified</status>
      <modifiedWord/>
      <trackRevisions>false</trackRevisions>
    </reviewItem>
    <reviewItem>
      <errorID>5b6d515e-4784-4894-9b98-147f526007f6</errorID>
      <errorWord>做出</errorWord>
      <group>L1_Word</group>
      <groupName>字词问题</groupName>
      <ability>L2_Typo</ability>
      <abilityName>字词错误</abilityName>
      <candidateList>
        <item>作出</item>
      </candidateList>
      <explain/>
      <paraID>6E6C6B76</paraID>
      <start>23</start>
      <end>25</end>
      <status>unmodified</status>
      <modifiedWord/>
      <trackRevisions>false</trackRevisions>
    </reviewItem>
    <reviewItem>
      <errorID>a78d643d-3077-460f-b70e-ba6d68ba2737</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506377F7</paraID>
      <start>0</start>
      <end>3</end>
      <status>unmodified</status>
      <modifiedWord/>
      <trackRevisions>false</trackRevisions>
    </reviewItem>
    <reviewItem>
      <errorID>c1939987-7c51-467b-be1b-50455d84ffbf</errorID>
      <errorWord>&lt;</errorWord>
      <group>L1_Format</group>
      <groupName>格式问题</groupName>
      <ability>L2_HalfPunc_CN</ability>
      <abilityName>全半角检查</abilityName>
      <candidateList>
        <item>〈</item>
      </candidateList>
      <explain>文本全半角错误。</explain>
      <paraID>2457CCE5</paraID>
      <start>38</start>
      <end>39</end>
      <status>unmodified</status>
      <modifiedWord/>
      <trackRevisions>false</trackRevisions>
    </reviewItem>
    <reviewItem>
      <errorID>931ee18a-3709-4a8a-9bb5-faa0b67dd9bc</errorID>
      <errorWord>&lt;</errorWord>
      <group>L1_Format</group>
      <groupName>格式问题</groupName>
      <ability>L2_HalfPunc_CN</ability>
      <abilityName>全半角检查</abilityName>
      <candidateList>
        <item>〈</item>
      </candidateList>
      <explain>文本全半角错误。</explain>
      <paraID>575C23E3</paraID>
      <start>38</start>
      <end>39</end>
      <status>unmodified</status>
      <modifiedWord/>
      <trackRevisions>false</trackRevisions>
    </reviewItem>
    <reviewItem>
      <errorID>8e69f299-2fdd-480b-92c9-def7a3e3f1e2</errorID>
      <errorWord>&lt;</errorWord>
      <group>L1_Format</group>
      <groupName>格式问题</groupName>
      <ability>L2_HalfPunc_CN</ability>
      <abilityName>全半角检查</abilityName>
      <candidateList>
        <item>〈</item>
      </candidateList>
      <explain>文本全半角错误。</explain>
      <paraID> 4D9AC3C</paraID>
      <start>27</start>
      <end>28</end>
      <status>unmodified</status>
      <modifiedWord/>
      <trackRevisions>false</trackRevisions>
    </reviewItem>
    <reviewItem>
      <errorID>51bedbd5-dc9d-4f29-9051-4bbe0075edc2</errorID>
      <errorWord>法律、法规</errorWord>
      <group>L1_Word</group>
      <groupName>字词问题</groupName>
      <ability>L2_Typo</ability>
      <abilityName>字词错误</abilityName>
      <candidateList>
        <item>法律法规</item>
      </candidateList>
      <explain/>
      <paraID>3226E08C</paraID>
      <start>9</start>
      <end>14</end>
      <status>unmodified</status>
      <modifiedWord/>
      <trackRevisions>false</trackRevisions>
    </reviewItem>
    <reviewItem>
      <errorID>48af4e25-c6ce-4101-be69-8fde324eb168</errorID>
      <errorWord>法律、法规</errorWord>
      <group>L1_Word</group>
      <groupName>字词问题</groupName>
      <ability>L2_Typo</ability>
      <abilityName>字词错误</abilityName>
      <candidateList>
        <item>法律法规</item>
      </candidateList>
      <explain/>
      <paraID>18812125</paraID>
      <start>8</start>
      <end>13</end>
      <status>unmodified</status>
      <modifiedWord/>
      <trackRevisions>false</trackRevisions>
    </reviewItem>
    <reviewItem>
      <errorID>a4433afb-2ccd-446d-bde0-ec2a3b8f6c62</errorID>
      <errorWord>国家发改委</errorWord>
      <group>L1_Knowledge</group>
      <groupName>知识性问题</groupName>
      <ability>L2_Knowledge</ability>
      <abilityName>其他知识</abilityName>
      <candidateList>
        <item>国家发展改革委</item>
      </candidateList>
      <explain/>
      <paraID>389A562D</paraID>
      <start>20</start>
      <end>27</end>
      <status>modified</status>
      <modifiedWord>国家发展改革委</modifiedWord>
      <trackRevisions>false</trackRevisions>
    </reviewItem>
    <reviewItem>
      <errorID>f38f7713-d02d-44ae-b81a-28aa03e51a08</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389A562D</paraID>
      <start>45</start>
      <end>48</end>
      <status>unmodified</status>
      <modifiedWord/>
      <trackRevisions>false</trackRevisions>
    </reviewItem>
    <reviewItem>
      <errorID>c0d647e8-6715-4ab2-9325-c0d7779b39d5</errorID>
      <errorWord>不</errorWord>
      <group>L1_Word</group>
      <groupName>字词问题</groupName>
      <ability>L2_Typo</ability>
      <abilityName>字词错误</abilityName>
      <candidateList>
        <item>不符</item>
      </candidateList>
      <explain/>
      <paraID>13E8C688</paraID>
      <start>49</start>
      <end>50</end>
      <status>unmodified</status>
      <modifiedWord/>
      <trackRevisions>false</trackRevisions>
    </reviewItem>
    <reviewItem>
      <errorID>1200cec9-a268-4ed1-912d-da9fb17ac0f9</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1419B56A</paraID>
      <start>0</start>
      <end>3</end>
      <status>unmodified</status>
      <modifiedWord/>
      <trackRevisions>false</trackRevisions>
    </reviewItem>
    <reviewItem>
      <errorID>dd213ebd-606f-4783-a9cb-ef6c269de365</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5236F4BA</paraID>
      <start>0</start>
      <end>3</end>
      <status>unmodified</status>
      <modifiedWord/>
      <trackRevisions>false</trackRevisions>
    </reviewItem>
    <reviewItem>
      <errorID>20ec3473-0d68-47e8-96da-37aad5d0a379</errorID>
      <errorWord>人确定成交供应商</errorWord>
      <group>L1_Word</group>
      <groupName>字词问题</groupName>
      <ability>L2_Typo</ability>
      <abilityName>字词错误</abilityName>
      <candidateList>
        <item>人在确定成交供应商</item>
      </candidateList>
      <explain/>
      <paraID>328A1595</paraID>
      <start>31</start>
      <end>39</end>
      <status>unmodified</status>
      <modifiedWord/>
      <trackRevisions>false</trackRevisions>
    </reviewItem>
    <reviewItem>
      <errorID>c36d72e3-6d8b-4b06-b77d-6ee3dafd9dd3</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20C8DE25</paraID>
      <start>0</start>
      <end>3</end>
      <status>unmodified</status>
      <modifiedWord/>
      <trackRevisions>false</trackRevisions>
    </reviewItem>
    <reviewItem>
      <errorID>8a5193a9-8a45-4ff4-9755-b93e7c895a6c</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7C0346D9</paraID>
      <start>0</start>
      <end>3</end>
      <status>unmodified</status>
      <modifiedWord/>
      <trackRevisions>false</trackRevisions>
    </reviewItem>
    <reviewItem>
      <errorID>6751192d-b3cf-40cd-8513-c3b0db35f6f0</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25169FDB</paraID>
      <start>0</start>
      <end>3</end>
      <status>unmodified</status>
      <modifiedWord/>
      <trackRevisions>false</trackRevisions>
    </reviewItem>
    <reviewItem>
      <errorID>99cacbb5-2eef-4091-a049-e55d26cd6e06</errorID>
      <errorWord>日</errorWord>
      <group>L1_Word</group>
      <groupName>字词问题</groupName>
      <ability>L2_Typo</ability>
      <abilityName>字词错误</abilityName>
      <candidateList>
        <item>日向</item>
      </candidateList>
      <explain/>
      <paraID>77A1A0C5</paraID>
      <start>28</start>
      <end>29</end>
      <status>unmodified</status>
      <modifiedWord/>
      <trackRevisions>false</trackRevisions>
    </reviewItem>
    <reviewItem>
      <errorID>3c624a09-3dfb-4efa-828d-6463c50f06bf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26DC952E</paraID>
      <start>0</start>
      <end>2</end>
      <status>unmodified</status>
      <modifiedWord/>
      <trackRevisions>false</trackRevisions>
    </reviewItem>
    <reviewItem>
      <errorID>517ffb3b-1051-4608-a714-4bc8ad8f8dec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261A2B3F</paraID>
      <start>0</start>
      <end>2</end>
      <status>unmodified</status>
      <modifiedWord/>
      <trackRevisions>false</trackRevisions>
    </reviewItem>
    <reviewItem>
      <errorID>55827322-5fe2-4782-bdc0-e0fade007d72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F74B9AE</paraID>
      <start>0</start>
      <end>2</end>
      <status>unmodified</status>
      <modifiedWord/>
      <trackRevisions>false</trackRevisions>
    </reviewItem>
    <reviewItem>
      <errorID>5b4f8cfc-1048-437f-ba59-b0544df3f7a4</errorID>
      <errorWord>即时</errorWord>
      <group>L1_Word</group>
      <groupName>字词问题</groupName>
      <ability>L2_Typo</ability>
      <abilityName>字词错误</abilityName>
      <candidateList>
        <item>及时</item>
      </candidateList>
      <explain>❶〈形〉正赶上时候；适合需要：～雨｜他来得很～。❷〈副〉不拖延；马上；立刻：有问题就～解决。</explain>
      <paraID> C040BE0</paraID>
      <start>51</start>
      <end>53</end>
      <status>unmodified</status>
      <modifiedWord/>
      <trackRevisions>false</trackRevisions>
    </reviewItem>
    <reviewItem>
      <errorID>3b1daecf-c5f3-4f7e-92dc-8327a5ef2fe0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C040BE0</paraID>
      <start>100</start>
      <end>101</end>
      <status>unmodified</status>
      <modifiedWord/>
      <trackRevisions>false</trackRevisions>
    </reviewItem>
    <reviewItem>
      <errorID>684fef9a-5c57-4d93-bbb8-be820b8456f1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41C9AABC</paraID>
      <start>0</start>
      <end>2</end>
      <status>unmodified</status>
      <modifiedWord/>
      <trackRevisions>false</trackRevisions>
    </reviewItem>
    <reviewItem>
      <errorID>95c40c2a-486a-4405-b1db-741a35da2ea9</errorID>
      <errorWord>、或者</errorWord>
      <group>L1_Word</group>
      <groupName>字词问题</groupName>
      <ability>L2_Typo</ability>
      <abilityName>字词错误</abilityName>
      <candidateList>
        <item>，或者</item>
      </candidateList>
      <explain/>
      <paraID>6E2EC9F9</paraID>
      <start>24</start>
      <end>27</end>
      <status>unmodified</status>
      <modifiedWord/>
      <trackRevisions>false</trackRevisions>
    </reviewItem>
    <reviewItem>
      <errorID>d388149c-7d93-4528-a52f-a722205d733f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7623A085</paraID>
      <start>0</start>
      <end>2</end>
      <status>unmodified</status>
      <modifiedWord/>
      <trackRevisions>false</trackRevisions>
    </reviewItem>
    <reviewItem>
      <errorID>3865c475-d71c-4fb8-a99a-5bd6d534784e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3626EF0</paraID>
      <start>0</start>
      <end>2</end>
      <status>unmodified</status>
      <modifiedWord/>
      <trackRevisions>false</trackRevisions>
    </reviewItem>
    <reviewItem>
      <errorID>8570f92c-4621-4464-9eb2-8faf95e77194</errorID>
      <errorWord>详见第</errorWord>
      <group>L1_Word</group>
      <groupName>字词问题</groupName>
      <ability>L2_Typo</ability>
      <abilityName>字词错误</abilityName>
      <candidateList>
        <item>详见</item>
      </candidateList>
      <explain/>
      <paraID>724696D8</paraID>
      <start>8</start>
      <end>11</end>
      <status>unmodified</status>
      <modifiedWord/>
      <trackRevisions>false</trackRevisions>
    </reviewItem>
    <reviewItem>
      <errorID>1b69d038-feac-4b89-bdb4-f0b1722a5349</errorID>
      <errorWord>-</errorWord>
      <group>L1_Format</group>
      <groupName>格式问题</groupName>
      <ability>L2_HalfPunc_CN</ability>
      <abilityName>全半角检查</abilityName>
      <candidateList>
        <item>－</item>
      </candidateList>
      <explain>文本全半角错误。</explain>
      <paraID>38C830E5</paraID>
      <start>119</start>
      <end>120</end>
      <status>unmodified</status>
      <modifiedWord/>
      <trackRevisions>false</trackRevisions>
    </reviewItem>
    <reviewItem>
      <errorID>d567019f-843c-4661-ac4c-7be9994669a5</errorID>
      <errorWord>2023年06月01日</errorWord>
      <group>L1_Knowledge</group>
      <groupName>知识性问题</groupName>
      <ability>L2_Time</ability>
      <abilityName>日期时间</abilityName>
      <candidateList>
        <item>2023年6月1日</item>
      </candidateList>
      <explain>根据日常书写习惯，月份和日期一般会省略前导零。</explain>
      <paraID>34ACA05D</paraID>
      <start>6</start>
      <end>17</end>
      <status>unmodified</status>
      <modifiedWord/>
      <trackRevisions>false</trackRevisions>
    </reviewItem>
    <reviewItem>
      <errorID>df7e33c1-9e31-4702-801b-6fa164e2e220</errorID>
      <errorWord>,</errorWord>
      <group>L1_Format</group>
      <groupName>格式问题</groupName>
      <ability>L2_HalfPunc_CN</ability>
      <abilityName>全半角检查</abilityName>
      <candidateList>
        <item>，</item>
      </candidateList>
      <explain>文本全半角错误。</explain>
      <paraID>426F3D9C</paraID>
      <start>15</start>
      <end>16</end>
      <status>unmodified</status>
      <modifiedWord/>
      <trackRevisions>false</trackRevisions>
    </reviewItem>
    <reviewItem>
      <errorID>c258ab15-b486-4b98-aa35-411d112ddc6a</errorID>
      <errorWord>,</errorWord>
      <group>L1_Format</group>
      <groupName>格式问题</groupName>
      <ability>L2_HalfPunc_CN</ability>
      <abilityName>全半角检查</abilityName>
      <candidateList>
        <item>，</item>
      </candidateList>
      <explain>文本全半角错误。</explain>
      <paraID>426F3D9C</paraID>
      <start>59</start>
      <end>60</end>
      <status>unmodified</status>
      <modifiedWord/>
      <trackRevisions>false</trackRevisions>
    </reviewItem>
    <reviewItem>
      <errorID>94a129b7-9a03-41ce-a905-45589f6bb681</errorID>
      <errorWord>,</errorWord>
      <group>L1_Format</group>
      <groupName>格式问题</groupName>
      <ability>L2_HalfPunc_CN</ability>
      <abilityName>全半角检查</abilityName>
      <candidateList>
        <item>，</item>
      </candidateList>
      <explain>文本全半角错误。</explain>
      <paraID>426F3D9C</paraID>
      <start>69</start>
      <end>70</end>
      <status>unmodified</status>
      <modifiedWord/>
      <trackRevisions>false</trackRevisions>
    </reviewItem>
    <reviewItem>
      <errorID>490a6de6-ef93-4c53-9747-d2ff4b97e763</errorID>
      <errorWord>,</errorWord>
      <group>L1_Format</group>
      <groupName>格式问题</groupName>
      <ability>L2_HalfPunc_CN</ability>
      <abilityName>全半角检查</abilityName>
      <candidateList>
        <item>，</item>
      </candidateList>
      <explain>文本全半角错误。</explain>
      <paraID>426F3D9C</paraID>
      <start>77</start>
      <end>78</end>
      <status>unmodified</status>
      <modifiedWord/>
      <trackRevisions>false</trackRevisions>
    </reviewItem>
    <reviewItem>
      <errorID>62c19c9a-f67c-42b3-a014-23a52ad51469</errorID>
      <errorWord>(</errorWord>
      <group>L1_Format</group>
      <groupName>格式问题</groupName>
      <ability>L2_HalfPunc_CN</ability>
      <abilityName>全半角检查</abilityName>
      <candidateList>
        <item>（</item>
      </candidateList>
      <explain>文本全半角错误。</explain>
      <paraID>66E34412</paraID>
      <start>36</start>
      <end>37</end>
      <status>unmodified</status>
      <modifiedWord/>
      <trackRevisions>false</trackRevisions>
    </reviewItem>
    <reviewItem>
      <errorID>60eed762-bedf-4218-bbe5-f79163809351</errorID>
      <errorWord>)</errorWord>
      <group>L1_Format</group>
      <groupName>格式问题</groupName>
      <ability>L2_HalfPunc_CN</ability>
      <abilityName>全半角检查</abilityName>
      <candidateList>
        <item>）</item>
      </candidateList>
      <explain>文本全半角错误。</explain>
      <paraID>66E34412</paraID>
      <start>46</start>
      <end>47</end>
      <status>unmodified</status>
      <modifiedWord/>
      <trackRevisions>false</trackRevisions>
    </reviewItem>
    <reviewItem>
      <errorID>f6161e48-30b2-4b3c-8a8b-d1df809cd126</errorID>
      <errorWord>用</errorWord>
      <group>L1_Word</group>
      <groupName>字词问题</groupName>
      <ability>L2_Typo</ability>
      <abilityName>字词错误</abilityName>
      <candidateList>
        <item>用于</item>
      </candidateList>
      <explain/>
      <paraID>10F06414</paraID>
      <start>44</start>
      <end>45</end>
      <status>unmodified</status>
      <modifiedWord/>
      <trackRevisions>false</trackRevisions>
    </reviewItem>
    <reviewItem>
      <errorID>15d1dcc5-5af8-4dfc-9709-b8e0d090f5e4</errorID>
      <errorWord>法人签字</errorWord>
      <group>L1_Word</group>
      <groupName>字词问题</groupName>
      <ability>L2_Typo</ability>
      <abilityName>字词错误</abilityName>
      <candidateList>
        <item>法人代表签字</item>
      </candidateList>
      <explain/>
      <paraID>76C49E21</paraID>
      <start>6</start>
      <end>10</end>
      <status>unmodified</status>
      <modifiedWord/>
      <trackRevisions>false</trackRevisions>
    </reviewItem>
    <reviewItem>
      <errorID>0f7b7c2d-9998-4cf2-8f48-3878550d07a2</errorID>
      <errorWord>并</errorWord>
      <group>L1_Word</group>
      <groupName>字词问题</groupName>
      <ability>L2_Typo</ability>
      <abilityName>字词错误</abilityName>
      <candidateList>
        <item>并加</item>
      </candidateList>
      <explain/>
      <paraID>76C49E21</paraID>
      <start>10</start>
      <end>11</end>
      <status>unmodified</status>
      <modifiedWord/>
      <trackRevisions>false</trackRevisions>
    </reviewItem>
    <reviewItem>
      <errorID>b0b3f2d2-cfcc-428c-ae6b-dc55f8f185a1</errorID>
      <errorWord>在在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1EB786A5</paraID>
      <start>7</start>
      <end>8</end>
      <status>modified</status>
      <modifiedWord>在</modifiedWord>
      <trackRevisions>false</trackRevisions>
    </reviewItem>
    <reviewItem>
      <errorID>dc311d80-bf27-49ab-a8a8-321eca1cfce3</errorID>
      <errorWord>（</errorWord>
      <group>L1_Punc</group>
      <groupName>标点问题</groupName>
      <ability>L2_Punc_CN</ability>
      <abilityName>标点符号检查</abilityName>
      <candidateList/>
      <explain>同一形式括号套用。</explain>
      <paraID>405555E4</paraID>
      <start>51</start>
      <end>52</end>
      <status>unmodified</status>
      <modifiedWord/>
      <trackRevisions>false</trackRevisions>
    </reviewItem>
    <reviewItem>
      <errorID>69446c78-b65a-4697-a2ac-197ff7bc4487</errorID>
      <errorWord>）</errorWord>
      <group>L1_Punc</group>
      <groupName>标点问题</groupName>
      <ability>L2_Punc_CN</ability>
      <abilityName>标点符号检查</abilityName>
      <candidateList/>
      <explain>同一形式括号套用。</explain>
      <paraID>405555E4</paraID>
      <start>53</start>
      <end>54</end>
      <status>unmodified</status>
      <modifiedWord/>
      <trackRevisions>false</trackRevisions>
    </reviewItem>
    <reviewItem>
      <errorID>9ce58f4c-addc-46e3-bd0d-82cc67515282</errorID>
      <errorWord>（</errorWord>
      <group>L1_Punc</group>
      <groupName>标点问题</groupName>
      <ability>L2_Punc_CN</ability>
      <abilityName>标点符号检查</abilityName>
      <candidateList/>
      <explain>同一形式括号套用。</explain>
      <paraID>405555E4</paraID>
      <start>55</start>
      <end>56</end>
      <status>unmodified</status>
      <modifiedWord/>
      <trackRevisions>false</trackRevisions>
    </reviewItem>
    <reviewItem>
      <errorID>d4ef7561-ef77-4331-a4f3-e6480a1f4900</errorID>
      <errorWord>）</errorWord>
      <group>L1_Punc</group>
      <groupName>标点问题</groupName>
      <ability>L2_Punc_CN</ability>
      <abilityName>标点符号检查</abilityName>
      <candidateList/>
      <explain>同一形式括号套用。</explain>
      <paraID>405555E4</paraID>
      <start>57</start>
      <end>58</end>
      <status>unmodified</status>
      <modifiedWord/>
      <trackRevisions>false</trackRevisions>
    </reviewItem>
    <reviewItem>
      <errorID>c0e72908-7ea8-44f8-8b99-80a672220c66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11A7AEC8</paraID>
      <start>0</start>
      <end>2</end>
      <status>unmodified</status>
      <modifiedWord/>
      <trackRevisions>false</trackRevisions>
    </reviewItem>
    <reviewItem>
      <errorID>66ced479-ae31-44b2-857a-2800f258c6a8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4A48D531</paraID>
      <start>0</start>
      <end>2</end>
      <status>unmodified</status>
      <modifiedWord/>
      <trackRevisions>false</trackRevisions>
    </reviewItem>
    <reviewItem>
      <errorID>a1cd5e5b-78e5-4e57-ae15-cbf2fc4fde8e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45AD6446</paraID>
      <start>0</start>
      <end>2</end>
      <status>unmodified</status>
      <modifiedWord/>
      <trackRevisions>false</trackRevisions>
    </reviewItem>
    <reviewItem>
      <errorID>3a10f807-5739-4800-9b5a-c799880f2433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C9089CC</paraID>
      <start>0</start>
      <end>2</end>
      <status>unmodified</status>
      <modifiedWord/>
      <trackRevisions>false</trackRevisions>
    </reviewItem>
    <reviewItem>
      <errorID>fc5ddfe4-1249-4a41-8150-2e833f1cd805</errorID>
      <errorWord>“</errorWord>
      <group>L1_Punc</group>
      <groupName>标点问题</groupName>
      <ability>L2_Punc_CN</ability>
      <abilityName>标点符号检查</abilityName>
      <candidateList>
        <item>‘</item>
      </candidateList>
      <explain>当引号中还需要使用引号时，外面一层用双引号，里面一层用单引号。</explain>
      <paraID>11937583</paraID>
      <start>48</start>
      <end>49</end>
      <status>unmodified</status>
      <modifiedWord/>
      <trackRevisions>false</trackRevisions>
    </reviewItem>
    <reviewItem>
      <errorID>f4ebdedb-b95f-4c36-b178-3f17b3513e7d</errorID>
      <errorWord>”</errorWord>
      <group>L1_Punc</group>
      <groupName>标点问题</groupName>
      <ability>L2_Punc_CN</ability>
      <abilityName>标点符号检查</abilityName>
      <candidateList>
        <item>’</item>
      </candidateList>
      <explain>当引号中还需要使用引号时，外面一层用双引号，里面一层用单引号。</explain>
      <paraID>11937583</paraID>
      <start>50</start>
      <end>51</end>
      <status>unmodified</status>
      <modifiedWord/>
      <trackRevisions>false</trackRevisions>
    </reviewItem>
    <reviewItem>
      <errorID>9042d0e1-c12c-471c-9a82-98a101d83e0f</errorID>
      <errorWord>(</errorWord>
      <group>L1_Format</group>
      <groupName>格式问题</groupName>
      <ability>L2_HalfPunc_CN</ability>
      <abilityName>全半角检查</abilityName>
      <candidateList>
        <item>（</item>
      </candidateList>
      <explain>文本全半角错误。</explain>
      <paraID>43EA3D2C</paraID>
      <start>0</start>
      <end>1</end>
      <status>unmodified</status>
      <modifiedWord/>
      <trackRevisions>false</trackRevisions>
    </reviewItem>
    <reviewItem>
      <errorID>d8600031-2b17-4c38-9882-22747865de45</errorID>
      <errorWord>)</errorWord>
      <group>L1_Format</group>
      <groupName>格式问题</groupName>
      <ability>L2_HalfPunc_CN</ability>
      <abilityName>全半角检查</abilityName>
      <candidateList>
        <item>）</item>
      </candidateList>
      <explain>文本全半角错误。</explain>
      <paraID>43EA3D2C</paraID>
      <start>8</start>
      <end>9</end>
      <status>unmodified</status>
      <modifiedWord/>
      <trackRevisions>false</trackRevisions>
    </reviewItem>
    <reviewItem>
      <errorID>f0f2428d-8ffc-4f61-8ab4-df8ea1606a02</errorID>
      <errorWord>间</errorWord>
      <group>L1_Word</group>
      <groupName>字词问题</groupName>
      <ability>L2_Typo</ability>
      <abilityName>字词错误</abilityName>
      <candidateList>
        <item>间内</item>
      </candidateList>
      <explain/>
      <paraID> ED27310</paraID>
      <start>47</start>
      <end>48</end>
      <status>unmodified</status>
      <modifiedWord/>
      <trackRevisions>false</trackRevisions>
    </reviewItem>
    <reviewItem>
      <errorID>4de3fc64-4cf0-40e9-b6c9-0544fb505d6e</errorID>
      <errorWord>本</errorWord>
      <group>L1_Word</group>
      <groupName>字词问题</groupName>
      <ability>L2_Typo</ability>
      <abilityName>字词错误</abilityName>
      <candidateList>
        <item>本次</item>
      </candidateList>
      <explain/>
      <paraID>7F922457</paraID>
      <start>3</start>
      <end>4</end>
      <status>unmodified</status>
      <modifiedWord/>
      <trackRevisions>false</trackRevisions>
    </reviewItem>
    <reviewItem>
      <errorID>a6424530-5730-4e88-9925-c75c32a095a3</errorID>
      <errorWord>(</errorWord>
      <group>L1_Format</group>
      <groupName>格式问题</groupName>
      <ability>L2_HalfPunc_CN</ability>
      <abilityName>全半角检查</abilityName>
      <candidateList>
        <item>（</item>
      </candidateList>
      <explain>文本全半角错误。</explain>
      <paraID>148BF726</paraID>
      <start>13</start>
      <end>14</end>
      <status>unmodified</status>
      <modifiedWord/>
      <trackRevisions>false</trackRevisions>
    </reviewItem>
    <reviewItem>
      <errorID>76f643fd-1f44-469b-ac8a-5e7740050164</errorID>
      <errorWord>)</errorWord>
      <group>L1_Format</group>
      <groupName>格式问题</groupName>
      <ability>L2_HalfPunc_CN</ability>
      <abilityName>全半角检查</abilityName>
      <candidateList>
        <item>）</item>
      </candidateList>
      <explain>文本全半角错误。</explain>
      <paraID>148BF726</paraID>
      <start>25</start>
      <end>26</end>
      <status>unmodified</status>
      <modifiedWord/>
      <trackRevisions>false</trackRevisions>
    </reviewItem>
    <reviewItem>
      <errorID>929f297c-2af0-4620-8624-3b24a8a346e8</errorID>
      <errorWord>(</errorWord>
      <group>L1_Format</group>
      <groupName>格式问题</groupName>
      <ability>L2_HalfPunc_CN</ability>
      <abilityName>全半角检查</abilityName>
      <candidateList>
        <item>（</item>
      </candidateList>
      <explain>文本全半角错误。</explain>
      <paraID>6271D93F</paraID>
      <start>0</start>
      <end>1</end>
      <status>unmodified</status>
      <modifiedWord/>
      <trackRevisions>false</trackRevisions>
    </reviewItem>
    <reviewItem>
      <errorID>84990ecc-5ef9-4b48-b4bf-45f009d6b77d</errorID>
      <errorWord>)</errorWord>
      <group>L1_Format</group>
      <groupName>格式问题</groupName>
      <ability>L2_HalfPunc_CN</ability>
      <abilityName>全半角检查</abilityName>
      <candidateList>
        <item>）</item>
      </candidateList>
      <explain>文本全半角错误。</explain>
      <paraID>6271D93F</paraID>
      <start>5</start>
      <end>6</end>
      <status>unmodified</status>
      <modifiedWord/>
      <trackRevisions>false</trackRevisions>
    </reviewItem>
    <reviewItem>
      <errorID>39e51b11-a494-4e36-9466-505afd1a2dec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5DD5C86D</paraID>
      <start>0</start>
      <end>2</end>
      <status>unmodified</status>
      <modifiedWord/>
      <trackRevisions>false</trackRevisions>
    </reviewItem>
    <reviewItem>
      <errorID>4c646516-ddae-45c1-9fc1-d16ae6de9e39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6D76EE96</paraID>
      <start>0</start>
      <end>2</end>
      <status>unmodified</status>
      <modifiedWord/>
      <trackRevisions>false</trackRevisions>
    </reviewItem>
    <reviewItem>
      <errorID>b9c5b400-5e65-4daa-af61-cc207c04221d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6ABED67</paraID>
      <start>0</start>
      <end>2</end>
      <status>unmodified</status>
      <modifiedWord/>
      <trackRevisions>false</trackRevisions>
    </reviewItem>
    <reviewItem>
      <errorID>83408efc-2bcd-4f87-922c-a7d2fcce367a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CBF341B</paraID>
      <start>0</start>
      <end>2</end>
      <status>unmodified</status>
      <modifiedWord/>
      <trackRevisions>false</trackRevisions>
    </reviewItem>
    <reviewItem>
      <errorID>a769c20f-d998-41eb-b753-414ef323833f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E96F215</paraID>
      <start>0</start>
      <end>2</end>
      <status>unmodified</status>
      <modifiedWord/>
      <trackRevisions>false</trackRevisions>
    </reviewItem>
    <reviewItem>
      <errorID>2fe81ca9-b890-47fa-8f1c-109d48657093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318608A4</paraID>
      <start>0</start>
      <end>2</end>
      <status>unmodified</status>
      <modifiedWord/>
      <trackRevisions>false</trackRevisions>
    </reviewItem>
    <reviewItem>
      <errorID>7a3b0025-f452-4644-a473-e8dd0e5981d2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7737CA35</paraID>
      <start>0</start>
      <end>2</end>
      <status>unmodified</status>
      <modifiedWord/>
      <trackRevisions>false</trackRevisions>
    </reviewItem>
    <reviewItem>
      <errorID>2e884ce4-a076-4ab3-8c12-df360eaf05b2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5DFCAB5B</paraID>
      <start>0</start>
      <end>2</end>
      <status>unmodified</status>
      <modifiedWord/>
      <trackRevisions>false</trackRevisions>
    </reviewItem>
    <reviewItem>
      <errorID>4d0ff48b-03e7-43f0-808c-a786958d256a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4146A1F8</paraID>
      <start>0</start>
      <end>2</end>
      <status>unmodified</status>
      <modifiedWord/>
      <trackRevisions>false</trackRevisions>
    </reviewItem>
    <reviewItem>
      <errorID>eeacd30d-d200-4d19-930a-e79ae94619e0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4DC06DC0</paraID>
      <start>0</start>
      <end>2</end>
      <status>unmodified</status>
      <modifiedWord/>
      <trackRevisions>false</trackRevisions>
    </reviewItem>
    <reviewItem>
      <errorID>2ddbd1d7-8ada-416c-a408-4af43ce05579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CD943D8</paraID>
      <start>0</start>
      <end>2</end>
      <status>unmodified</status>
      <modifiedWord/>
      <trackRevisions>false</trackRevisions>
    </reviewItem>
    <reviewItem>
      <errorID>9a1b00be-016b-4fdc-8621-05342652fa10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60C5F0F</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57E677-C453-471F-BCC4-0F4C922570B6}">
  <ds:schemaRefs/>
</ds:datastoreItem>
</file>

<file path=customXml/itemProps3.xml><?xml version="1.0" encoding="utf-8"?>
<ds:datastoreItem xmlns:ds="http://schemas.openxmlformats.org/officeDocument/2006/customXml" ds:itemID="{54909060-600e-478e-987f-febab42a16a4}">
  <ds:schemaRefs/>
</ds:datastoreItem>
</file>

<file path=docProps/app.xml><?xml version="1.0" encoding="utf-8"?>
<Properties xmlns="http://schemas.openxmlformats.org/officeDocument/2006/extended-properties" xmlns:vt="http://schemas.openxmlformats.org/officeDocument/2006/docPropsVTypes">
  <Template>Normal.dotm</Template>
  <Company>office</Company>
  <Pages>44</Pages>
  <Words>304</Words>
  <Characters>338</Characters>
  <Lines>783</Lines>
  <Paragraphs>830</Paragraphs>
  <TotalTime>2699</TotalTime>
  <ScaleCrop>false</ScaleCrop>
  <LinksUpToDate>false</LinksUpToDate>
  <CharactersWithSpaces>389</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2019-06-20T01:36:00Z</dcterms:created>
  <dc:creator>cgzx</dc:creator>
  <cp:lastModifiedBy>张张</cp:lastModifiedBy>
  <cp:lastPrinted>2019-05-28T03:50:00Z</cp:lastPrinted>
  <dcterms:modified xsi:type="dcterms:W3CDTF">2026-06-03T03:22:41Z</dcterms:modified>
  <dc:title>总  目  录</dc:title>
  <cp:revision>469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KSOTemplateDocerSaveRecord">
    <vt:lpwstr>eyJoZGlkIjoiMGU1OWZlM2JlZmVmYjlkYTZiMzBmOWY0NTkxMjJmNDkiLCJ1c2VySWQiOiI1MDU0MzIyNTgifQ==</vt:lpwstr>
  </property>
  <property fmtid="{D5CDD505-2E9C-101B-9397-08002B2CF9AE}" pid="4" name="ICV">
    <vt:lpwstr>1BFA2191D03E4048B2C4F8F357CD50EB_12</vt:lpwstr>
  </property>
</Properties>
</file>