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南京市栖霞区住房和建设局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1.承担统筹全区城乡住房保障和建设事业责任。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2.承担全区住房保障和城乡建设综合管理责任。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3.承担区级政府投资城建项目的综合协调、监督管理和重大事项协调推进职责。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4.承担房屋征收与补偿活动的监督管理责任。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5.承担住房制度改革和保障性安居工程建设管理的责任。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6.承担规范和指导全区村居建设、促进城乡建设统筹发展的责任。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7.承担指导区房屋建筑和市政基础设施工程招投标工作的责任。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8.承担规范、管理物业管理和房屋管理的责任。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9.承担全区建筑市场监管责任。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10.承担推进全区建筑节能和建设系统科技进步工作的责任。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11.承担全区住房建设和建筑业行政执法监督管理责任。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12.承担全区职责范围内的建设工程消防设计审查、消防验收、备案和抽查工作的责任。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办公室、政策法规科、财务管理科、综合计划科、招投标管理科、建设管理科、征收管理科、安置管理科、住房保障科、房屋管理科、物业管理科、建设工程质量安全科、建设工程消防管理科。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本部门下属单位包括:南京市栖霞区建筑安装管理站，南京市栖霞区建设工程质量安全监督站，南京市栖霞区住房保障中心。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南京市栖霞区住房和建设局（本级），南京市栖霞区建筑安装管理站，南京市栖霞区建设工程质量安全监督站，南京市栖霞区住房保障中心。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聚焦设施完善，推动城市功能品质全面提升。一是不断完善交通基础设施建设，加大对基础设施的有效供给。二是全力打通三区融合道路，完善区域交通体系，切实提升全区交通路网承载能力。三是积极开展海绵城市建设，配合南京市申报国家系统化全域推进海绵城市建设示范城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聚焦城市更新，推动城市能级不断跃升。一是实施城市品质再提升“三年行动”，利用3年左右时间，通过实施历史文化保护传承、美丽街道建设等10大任务对城市品质进行整体提升，不断完善城市空间功能、提升城市环境品质。二是加速推进老旧小区改造，按照基础类、完善类、提升类三类标准对翠林山庄等3个小区实施改造，改善老旧小区人居环境。三是加快推进棚户区改造，对新尧新城中心片区等棚户区项目实施改造，进一步优化城市空间布局、完善城市功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聚焦住房保障，推动群众“幸福感”不断增强。一是扎实推进保障房建设，推进2022年计划新开工的迈皋桥街道兴卫村等2个、竣工八卦洲新市镇等5个保障房项目建设。二是加快发展保障性租赁住房，着力解决以新就业大学生、青年人为主体的新市民和城市基本公共服务人群的住房困难问题。三是全力推进危房治理，以迈皋桥、燕子矶片区危旧老破住宅为重点，多途径实施有机更新，改变城市面貌及居住环境；同时，对既有建筑隐患排查中疑似隐患房屋实施安全评估和鉴定，结合危房治理常态化要求，及时处置危险房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聚焦行业管理，推动服务水平持续改善。一是加强安全生产管理，狠抓建筑工地安全生产管理，开展好城市建设“安全生产专项整治三年行动”；持续推进“安心管”工作，确保居民用气安全；利用社会资源对在建工地、城镇燃气、地下管线安全实现全方位监管，推动我区安全管理工作持续稳定有序发展。二是高标准抓好建筑工地管理，做好建筑工地质量安全监督、扬尘管控、疫情防控常态化等工作，加大安全监管和文明施工执法力度，督促企业进一步落实安全生产主体责任。三是切实提升物业管理服务水平，深入推进全省美丽宜居城市建设试点任务“栖霞区红色物业全覆盖”；建立健全物业管理“红黑榜”评比制度，强化物业公司责任意识，不断提升物业管理水平和服务质量。</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南京市栖霞区住房和建设局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南京市栖霞区住房和建设局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6,489.76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1,405.46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6,106.66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1,788.56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7,895.22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7,895.22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7,895.22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7,895.22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7,895.22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7,895.22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6,489.76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1,405.46</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南京市栖霞区住房和建设局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7,895.22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7,895.22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6,489.76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1,405.46</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333001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南京市栖霞区住房和建设局（机关）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6,625.64</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6,625.64</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6,329.76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295.88</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333002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南京市栖霞区建筑安装管理站</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501.75</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501.75</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160.00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341.75</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333003</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南京市栖霞区建设工程质量安全监督站</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524.92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524.92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524.92</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333004</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南京市栖霞区住房保障中心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242.91</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242.91</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242.91</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7,895.22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3,075.59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4,819.63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6,106.66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2,271.36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1,677.91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1,667.91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1,280.55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603.45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4,428.75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603.45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3,825.30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1,788.56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984.33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保障性安居工程支出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984.33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984.33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保障性住房租金补贴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其他保障性安居工程支出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804.23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南京市栖霞区住房和建设局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6,489.76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6,489.76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6,489.76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5,001.31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1,488.45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6,489.76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6,489.76</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6,489.76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1,960.89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1,857.98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102.91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4,528.87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5,001.31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1,287.86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3,610.54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1,137.52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3,750.88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1,488.45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918.33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保障性安居工程支出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918.33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保障性住房租金补贴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其他保障性安居工程支出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393.13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南京市栖霞区住房和建设局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1,960.89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1,857.98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6,489.76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1,960.89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1,857.98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4,528.87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5,001.31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1,287.86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3,610.54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3,600.54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1,488.45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918.33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保障性安居工程支出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918.33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保障性住房租金补贴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其他保障性安居工程支出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1,960.89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1,857.98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102.91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7.84</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南京市栖霞区住房和建设局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10.66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南京市栖霞区住房和建设局（机关）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10.66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南京市栖霞区建筑安装管理站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南京市栖霞区住房和建设局（机关）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部门运转经费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部门运转经费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南京市栖霞区住房和建设局2022年度收入、支出预算总计7,895.22万元，与上年相比收、支预算总计各减少4,952.34万元，减少38.55%。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（一）收入预算总计7,895.22万元。包括：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1．本年收入合计7,895.22万元。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（1）一般公共预算拨款收入6,489.76万元，与上年相比减少4,133.83万元，减少38.91%。主要原因是城建项目收入减少。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（9）其他收入1,405.46万元，与上年相比减少818.51万元，减少36.8%。主要原因是老旧小区改造等项目收入减少。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（二）支出预算总计7,895.22万元。包括：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1．本年支出合计7,895.22万元。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（1）城乡社区支出（类）支出6,106.66万元，主要用于开展住建工作而发生的基本支出和项目支出。与上年相比减少5,181.87万元，减少45.9%。主要原因是城建项目支出减少。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1,788.56万元，主要用于住房公积金、住房补贴支出以及人才安居购房补贴和租赁补贴支出等。与上年相比增加229.53万元，增长14.72%。主要原因是人才安居购房和租赁补贴等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南京市栖霞区住房和建设局2022年收入预算合计7,895.22万元，包括本年收入7,895.22万元，上年结转结余0万元。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本年一般公共预算收入6,489.76万元，占82.2%；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本年其他收入1,405.46万元，占17.8%；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南京市栖霞区住房和建设局2022年支出预算合计7,895.22万元，其中：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基本支出3,075.59万元，占38.96%；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项目支出4,819.63万元，占61.04%；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南京市栖霞区住房和建设局2022年度财政拨款收、支总预算6,489.76万元。与上年相比，财政拨款收、支总计各减少4,133.83万元，减少38.91%。主要原因是城建项目收支减少。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南京市栖霞区住房和建设局2022年财政拨款预算支出6,489.76万元，占本年支出合计的82.2%。与上年相比，财政拨款支出减少4,133.83万元，减少38.91%。主要原因是城建项目支出减少。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1.城乡社区管理事务（款）行政运行（项）支出1,240.43万元，与上年相比增加67.32万元，增长5.74%。主要原因是人员增加以及政策性调整。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2.城乡社区管理事务（款）其他城乡社区管理事务支出（项）支出10万元，与上年相比增加10万元（去年预算数为0万元，无法计算增减比率）。主要原因是居民小区物业管理经费功能科目调整。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3.其他城乡社区支出（款）其他城乡社区支出（项）支出3,750.88万元，与上年相比减少4,406.62万元，减少54.02%。主要原因是城建项目支出减少。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1.保障性安居工程支出（款）保障性住房租金补贴（项）支出30万元，与上年预算数相同。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2.保障性安居工程支出（款）其他保障性安居工程支出（项）支出888.33万元，与上年相比增加168.43万元，增长23.4%。主要原因是人才安居购房和租赁补贴支出增加。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3.住房改革支出（款）住房公积金（项）支出176.99万元，与上年相比增加14.23万元，增长8.74%。主要原因是人员增加以及政策性调整。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4.住房改革支出（款）购房补贴（项）支出393.13万元，与上年相比增加12.81万元，增长3.37%。主要原因是人员增加以及政策性调整。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南京市栖霞区住房和建设局2022年度财政拨款基本支出预算1,960.89万元，其中：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1,857.98万元。主要包括：基本工资、津贴补贴、奖金、伙食补助费、绩效工资、机关事业单位基本养老保险缴费、职业年金缴费、职工基本医疗保险缴费、其他社会保障缴费、住房公积金、其他工资福利支出、退休费、生活补助、医疗费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（二）公用经费102.91万元。主要包括：办公费、电费、邮电费、差旅费、会议费、培训费、公务接待费、工会经费、其他交通费用、其他商品和服务支出。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南京市栖霞区住房和建设局2022年一般公共预算财政拨款支出预算6,489.76万元，与上年相比减少4,133.83万元，减少38.91%。主要原因是城建项目支出减少。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南京市栖霞区住房和建设局2022年度一般公共预算财政拨款基本支出预算1,960.89万元，其中：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1,857.98万元。主要包括：基本工资、津贴补贴、奖金、伙食补助费、绩效工资、机关事业单位基本养老保险缴费、职业年金缴费、职工基本医疗保险缴费、其他社会保障缴费、住房公积金、其他工资福利支出、退休费、生活补助、医疗费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（二）公用经费102.91万元。主要包括：办公费、电费、邮电费、差旅费、会议费、培训费、公务接待费、工会经费、其他交通费用、其他商品和服务支出。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一般公共预算拨款安排的“三公”经费预算支出中，因公出国（境）费支出0万元，占“三公”经费的0%；公务用车购置及运行维护费支出0万元，占“三公”经费的0%；公务接待费支出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南京市栖霞区住房和建设局2022年度一般公共预算拨款安排的会议费预算支出3万元，与上年预算数相同。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南京市栖霞区住房和建设局2022年度一般公共预算拨款安排的培训费预算支出4万元，与上年预算数相同。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南京市栖霞区住房和建设局2022年国有资本经营预算支出0万元。与上年预算数相同。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2022年本部门一般公共预算机关运行经费预算支出102.91万元。与上年相比增加9.17万元，增长9.78%。主要原因是人员增加，机关运行经费增加。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2022年度政府采购支出预算总额32.66万元，其中：拟采购货物支出25.66万元、拟采购工程支出0万元、拟购买服务支出7万元。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辆，其中，一般公务用车0辆、执法执勤用车0辆、特种专业技术用车0辆、业务用车0辆、其他用车2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2022年度，本部门整体支出纳入绩效目标管理，涉及四本预算资金7,895.22万元；本部门共14个项目纳入绩效目标管理，涉及四本预算资金合计4,819.63万元，占四本预算资金(基本支出除外)总额的比例为100%。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十一、住房保障支出(类)保障性安居工程支出(款)保障性住房租金补贴(项)</w:t>
      </w:r>
      <w:r>
        <w:rPr>
          <w:rFonts w:ascii="仿宋" w:hAnsi="仿宋" w:cs="仿宋" w:eastAsia="仿宋"/>
          <w:b w:val="true"/>
        </w:rPr>
        <w:t>：</w:t>
      </w:r>
      <w:r>
        <w:rPr>
          <w:rFonts w:hint="eastAsia" w:ascii="仿宋" w:hAnsi="仿宋" w:eastAsia="仿宋" w:cs="仿宋"/>
        </w:rPr>
        <w:t>反映各级政府向低收入住房保障家庭发放的住房租赁补贴支出。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十二、住房保障支出(类)保障性安居工程支出(款)其他保障性安居工程支出(项)</w:t>
      </w:r>
      <w:r>
        <w:rPr>
          <w:rFonts w:ascii="仿宋" w:hAnsi="仿宋" w:cs="仿宋" w:eastAsia="仿宋"/>
          <w:b w:val="true"/>
        </w:rPr>
        <w:t>：</w:t>
      </w:r>
      <w:r>
        <w:rPr>
          <w:rFonts w:hint="eastAsia" w:ascii="仿宋" w:hAnsi="仿宋" w:eastAsia="仿宋" w:cs="仿宋"/>
        </w:rPr>
        <w:t>反映除上述项目以外其他用于保障性住房方面的支出。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南京市栖霞区住房和建设局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