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20F50">
      <w:pPr>
        <w:spacing w:before="184" w:line="187" w:lineRule="auto"/>
        <w:jc w:val="center"/>
        <w:outlineLvl w:val="0"/>
        <w:rPr>
          <w:rFonts w:hint="default" w:ascii="微软雅黑" w:hAnsi="微软雅黑" w:eastAsia="微软雅黑" w:cs="微软雅黑"/>
          <w:sz w:val="43"/>
          <w:szCs w:val="43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pacing w:val="5"/>
          <w:sz w:val="43"/>
          <w:szCs w:val="43"/>
          <w:lang w:val="en-US" w:eastAsia="zh-CN"/>
        </w:rPr>
        <w:t>栖霞区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人社局行政检查事项</w:t>
      </w:r>
      <w:r>
        <w:rPr>
          <w:rFonts w:hint="eastAsia" w:ascii="微软雅黑" w:hAnsi="微软雅黑" w:eastAsia="微软雅黑" w:cs="微软雅黑"/>
          <w:spacing w:val="5"/>
          <w:sz w:val="43"/>
          <w:szCs w:val="43"/>
          <w:lang w:val="en-US" w:eastAsia="zh-CN"/>
        </w:rPr>
        <w:t>和依据清单</w:t>
      </w:r>
    </w:p>
    <w:bookmarkEnd w:id="0"/>
    <w:tbl>
      <w:tblPr>
        <w:tblStyle w:val="4"/>
        <w:tblW w:w="148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875"/>
        <w:gridCol w:w="1200"/>
        <w:gridCol w:w="11081"/>
      </w:tblGrid>
      <w:tr w14:paraId="78778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30" w:type="dxa"/>
            <w:vAlign w:val="top"/>
          </w:tcPr>
          <w:p w14:paraId="5C2D729B">
            <w:pPr>
              <w:spacing w:before="245" w:line="223" w:lineRule="auto"/>
              <w:ind w:left="1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875" w:type="dxa"/>
            <w:vAlign w:val="top"/>
          </w:tcPr>
          <w:p w14:paraId="66BC5828">
            <w:pPr>
              <w:spacing w:before="246" w:line="219" w:lineRule="auto"/>
              <w:ind w:left="41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执法检查名称</w:t>
            </w:r>
          </w:p>
        </w:tc>
        <w:tc>
          <w:tcPr>
            <w:tcW w:w="1200" w:type="dxa"/>
            <w:vAlign w:val="top"/>
          </w:tcPr>
          <w:p w14:paraId="44A73CEB">
            <w:pPr>
              <w:spacing w:before="245" w:line="221" w:lineRule="auto"/>
              <w:ind w:left="25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实施层级</w:t>
            </w:r>
          </w:p>
        </w:tc>
        <w:tc>
          <w:tcPr>
            <w:tcW w:w="11081" w:type="dxa"/>
            <w:vAlign w:val="top"/>
          </w:tcPr>
          <w:p w14:paraId="421F39DA">
            <w:pPr>
              <w:spacing w:before="233"/>
              <w:ind w:left="51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执法依据</w:t>
            </w:r>
          </w:p>
        </w:tc>
      </w:tr>
      <w:tr w14:paraId="49C04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30" w:type="dxa"/>
            <w:vAlign w:val="top"/>
          </w:tcPr>
          <w:p w14:paraId="068F09F2">
            <w:pPr>
              <w:spacing w:line="251" w:lineRule="auto"/>
              <w:rPr>
                <w:rFonts w:ascii="Arial"/>
                <w:sz w:val="21"/>
              </w:rPr>
            </w:pPr>
          </w:p>
          <w:p w14:paraId="17228C0E">
            <w:pPr>
              <w:spacing w:line="251" w:lineRule="auto"/>
              <w:rPr>
                <w:rFonts w:ascii="Arial"/>
                <w:sz w:val="21"/>
              </w:rPr>
            </w:pPr>
          </w:p>
          <w:p w14:paraId="2CE9689B">
            <w:pPr>
              <w:spacing w:line="251" w:lineRule="auto"/>
              <w:rPr>
                <w:rFonts w:ascii="Arial"/>
                <w:sz w:val="21"/>
              </w:rPr>
            </w:pPr>
          </w:p>
          <w:p w14:paraId="570057E8">
            <w:pPr>
              <w:spacing w:line="251" w:lineRule="auto"/>
              <w:rPr>
                <w:rFonts w:ascii="Arial"/>
                <w:sz w:val="21"/>
              </w:rPr>
            </w:pPr>
          </w:p>
          <w:p w14:paraId="52F800D7">
            <w:pPr>
              <w:spacing w:line="251" w:lineRule="auto"/>
              <w:rPr>
                <w:rFonts w:ascii="Arial"/>
                <w:sz w:val="21"/>
              </w:rPr>
            </w:pPr>
          </w:p>
          <w:p w14:paraId="3305C951">
            <w:pPr>
              <w:spacing w:line="251" w:lineRule="auto"/>
              <w:rPr>
                <w:rFonts w:ascii="Arial"/>
                <w:sz w:val="21"/>
              </w:rPr>
            </w:pPr>
          </w:p>
          <w:p w14:paraId="63716B3C">
            <w:pPr>
              <w:spacing w:line="252" w:lineRule="auto"/>
              <w:rPr>
                <w:rFonts w:ascii="Arial"/>
                <w:sz w:val="21"/>
              </w:rPr>
            </w:pPr>
          </w:p>
          <w:p w14:paraId="6FFA630F">
            <w:pPr>
              <w:spacing w:line="252" w:lineRule="auto"/>
              <w:rPr>
                <w:rFonts w:ascii="Arial"/>
                <w:sz w:val="21"/>
              </w:rPr>
            </w:pPr>
          </w:p>
          <w:p w14:paraId="65E4F0C4">
            <w:pPr>
              <w:spacing w:line="252" w:lineRule="auto"/>
              <w:rPr>
                <w:rFonts w:ascii="Arial"/>
                <w:sz w:val="21"/>
              </w:rPr>
            </w:pPr>
          </w:p>
          <w:p w14:paraId="67E0602E">
            <w:pPr>
              <w:spacing w:line="252" w:lineRule="auto"/>
              <w:rPr>
                <w:rFonts w:ascii="Arial"/>
                <w:sz w:val="21"/>
              </w:rPr>
            </w:pPr>
          </w:p>
          <w:p w14:paraId="6A2B1A1C">
            <w:pPr>
              <w:spacing w:line="252" w:lineRule="auto"/>
              <w:rPr>
                <w:rFonts w:ascii="Arial"/>
                <w:sz w:val="21"/>
              </w:rPr>
            </w:pPr>
          </w:p>
          <w:p w14:paraId="1B67A48D">
            <w:pPr>
              <w:spacing w:line="252" w:lineRule="auto"/>
              <w:rPr>
                <w:rFonts w:ascii="Arial"/>
                <w:sz w:val="21"/>
              </w:rPr>
            </w:pPr>
          </w:p>
          <w:p w14:paraId="6A3FD6D6">
            <w:pPr>
              <w:spacing w:line="252" w:lineRule="auto"/>
              <w:rPr>
                <w:rFonts w:ascii="Arial"/>
                <w:sz w:val="21"/>
              </w:rPr>
            </w:pPr>
          </w:p>
          <w:p w14:paraId="6B4EF8E5">
            <w:pPr>
              <w:spacing w:before="52" w:line="188" w:lineRule="auto"/>
              <w:ind w:left="3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875" w:type="dxa"/>
            <w:vAlign w:val="top"/>
          </w:tcPr>
          <w:p w14:paraId="329CECD9">
            <w:pPr>
              <w:spacing w:line="255" w:lineRule="auto"/>
              <w:rPr>
                <w:rFonts w:ascii="Arial"/>
                <w:sz w:val="21"/>
              </w:rPr>
            </w:pPr>
          </w:p>
          <w:p w14:paraId="6507BE76">
            <w:pPr>
              <w:spacing w:line="255" w:lineRule="auto"/>
              <w:rPr>
                <w:rFonts w:ascii="Arial"/>
                <w:sz w:val="21"/>
              </w:rPr>
            </w:pPr>
          </w:p>
          <w:p w14:paraId="564C9D0A">
            <w:pPr>
              <w:spacing w:line="255" w:lineRule="auto"/>
              <w:rPr>
                <w:rFonts w:ascii="Arial"/>
                <w:sz w:val="21"/>
              </w:rPr>
            </w:pPr>
          </w:p>
          <w:p w14:paraId="38971ED2">
            <w:pPr>
              <w:spacing w:line="255" w:lineRule="auto"/>
              <w:rPr>
                <w:rFonts w:ascii="Arial"/>
                <w:sz w:val="21"/>
              </w:rPr>
            </w:pPr>
          </w:p>
          <w:p w14:paraId="4D631E6B">
            <w:pPr>
              <w:spacing w:line="255" w:lineRule="auto"/>
              <w:rPr>
                <w:rFonts w:ascii="Arial"/>
                <w:sz w:val="21"/>
              </w:rPr>
            </w:pPr>
          </w:p>
          <w:p w14:paraId="2208E8D8">
            <w:pPr>
              <w:spacing w:line="255" w:lineRule="auto"/>
              <w:rPr>
                <w:rFonts w:ascii="Arial"/>
                <w:sz w:val="21"/>
              </w:rPr>
            </w:pPr>
          </w:p>
          <w:p w14:paraId="3B0AD218">
            <w:pPr>
              <w:spacing w:line="255" w:lineRule="auto"/>
              <w:rPr>
                <w:rFonts w:ascii="Arial"/>
                <w:sz w:val="21"/>
              </w:rPr>
            </w:pPr>
          </w:p>
          <w:p w14:paraId="6AB98FD8">
            <w:pPr>
              <w:spacing w:line="256" w:lineRule="auto"/>
              <w:rPr>
                <w:rFonts w:ascii="Arial"/>
                <w:sz w:val="21"/>
              </w:rPr>
            </w:pPr>
          </w:p>
          <w:p w14:paraId="25CF41A6">
            <w:pPr>
              <w:spacing w:line="256" w:lineRule="auto"/>
              <w:rPr>
                <w:rFonts w:ascii="Arial"/>
                <w:sz w:val="21"/>
              </w:rPr>
            </w:pPr>
          </w:p>
          <w:p w14:paraId="21F22DEA">
            <w:pPr>
              <w:spacing w:line="256" w:lineRule="auto"/>
              <w:rPr>
                <w:rFonts w:ascii="Arial"/>
                <w:sz w:val="21"/>
              </w:rPr>
            </w:pPr>
          </w:p>
          <w:p w14:paraId="6C16D420">
            <w:pPr>
              <w:spacing w:line="256" w:lineRule="auto"/>
              <w:rPr>
                <w:rFonts w:ascii="Arial"/>
                <w:sz w:val="21"/>
              </w:rPr>
            </w:pPr>
          </w:p>
          <w:p w14:paraId="0B880F69">
            <w:pPr>
              <w:spacing w:line="256" w:lineRule="auto"/>
              <w:rPr>
                <w:rFonts w:ascii="Arial"/>
                <w:sz w:val="21"/>
              </w:rPr>
            </w:pPr>
          </w:p>
          <w:p w14:paraId="443EAD40">
            <w:pPr>
              <w:pStyle w:val="5"/>
              <w:spacing w:before="58" w:line="334" w:lineRule="auto"/>
              <w:ind w:left="515" w:right="142" w:hanging="368"/>
            </w:pPr>
            <w:r>
              <w:rPr>
                <w:spacing w:val="-5"/>
              </w:rPr>
              <w:t>对劳动用工管理情况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的执法检查</w:t>
            </w:r>
          </w:p>
        </w:tc>
        <w:tc>
          <w:tcPr>
            <w:tcW w:w="1200" w:type="dxa"/>
            <w:vAlign w:val="top"/>
          </w:tcPr>
          <w:p w14:paraId="0A8F3EFB">
            <w:pPr>
              <w:spacing w:line="248" w:lineRule="auto"/>
              <w:rPr>
                <w:rFonts w:ascii="Arial"/>
                <w:sz w:val="21"/>
              </w:rPr>
            </w:pPr>
          </w:p>
          <w:p w14:paraId="33B718AE">
            <w:pPr>
              <w:spacing w:line="248" w:lineRule="auto"/>
              <w:rPr>
                <w:rFonts w:ascii="Arial"/>
                <w:sz w:val="21"/>
              </w:rPr>
            </w:pPr>
          </w:p>
          <w:p w14:paraId="73826727">
            <w:pPr>
              <w:spacing w:line="249" w:lineRule="auto"/>
              <w:rPr>
                <w:rFonts w:ascii="Arial"/>
                <w:sz w:val="21"/>
              </w:rPr>
            </w:pPr>
          </w:p>
          <w:p w14:paraId="4171A574">
            <w:pPr>
              <w:spacing w:line="249" w:lineRule="auto"/>
              <w:rPr>
                <w:rFonts w:ascii="Arial"/>
                <w:sz w:val="21"/>
              </w:rPr>
            </w:pPr>
          </w:p>
          <w:p w14:paraId="63B83119">
            <w:pPr>
              <w:spacing w:line="249" w:lineRule="auto"/>
              <w:rPr>
                <w:rFonts w:ascii="Arial"/>
                <w:sz w:val="21"/>
              </w:rPr>
            </w:pPr>
          </w:p>
          <w:p w14:paraId="3BE81EB1">
            <w:pPr>
              <w:spacing w:line="249" w:lineRule="auto"/>
              <w:rPr>
                <w:rFonts w:ascii="Arial"/>
                <w:sz w:val="21"/>
              </w:rPr>
            </w:pPr>
          </w:p>
          <w:p w14:paraId="3E0BFCF7">
            <w:pPr>
              <w:spacing w:line="249" w:lineRule="auto"/>
              <w:rPr>
                <w:rFonts w:ascii="Arial"/>
                <w:sz w:val="21"/>
              </w:rPr>
            </w:pPr>
          </w:p>
          <w:p w14:paraId="5799876A">
            <w:pPr>
              <w:spacing w:line="249" w:lineRule="auto"/>
              <w:rPr>
                <w:rFonts w:ascii="Arial"/>
                <w:sz w:val="21"/>
              </w:rPr>
            </w:pPr>
          </w:p>
          <w:p w14:paraId="1A7C028A">
            <w:pPr>
              <w:spacing w:line="249" w:lineRule="auto"/>
              <w:rPr>
                <w:rFonts w:ascii="Arial"/>
                <w:sz w:val="21"/>
              </w:rPr>
            </w:pPr>
          </w:p>
          <w:p w14:paraId="053580C2">
            <w:pPr>
              <w:spacing w:line="249" w:lineRule="auto"/>
              <w:rPr>
                <w:rFonts w:ascii="Arial"/>
                <w:sz w:val="21"/>
              </w:rPr>
            </w:pPr>
          </w:p>
          <w:p w14:paraId="24AEEC36">
            <w:pPr>
              <w:spacing w:line="249" w:lineRule="auto"/>
              <w:rPr>
                <w:rFonts w:ascii="Arial"/>
                <w:sz w:val="21"/>
              </w:rPr>
            </w:pPr>
          </w:p>
          <w:p w14:paraId="39B53183">
            <w:pPr>
              <w:spacing w:line="249" w:lineRule="auto"/>
              <w:rPr>
                <w:rFonts w:ascii="Arial"/>
                <w:sz w:val="21"/>
              </w:rPr>
            </w:pPr>
          </w:p>
          <w:p w14:paraId="6DB56D0E">
            <w:pPr>
              <w:spacing w:line="249" w:lineRule="auto"/>
              <w:rPr>
                <w:rFonts w:ascii="Arial"/>
                <w:sz w:val="21"/>
              </w:rPr>
            </w:pPr>
          </w:p>
          <w:p w14:paraId="1BF9A104">
            <w:pPr>
              <w:pStyle w:val="5"/>
              <w:spacing w:before="58" w:line="219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区</w:t>
            </w:r>
          </w:p>
        </w:tc>
        <w:tc>
          <w:tcPr>
            <w:tcW w:w="11081" w:type="dxa"/>
            <w:vAlign w:val="top"/>
          </w:tcPr>
          <w:p w14:paraId="0ED5AF50">
            <w:pPr>
              <w:pStyle w:val="5"/>
              <w:spacing w:before="85" w:line="344" w:lineRule="auto"/>
              <w:ind w:left="110" w:right="46" w:firstLine="7"/>
            </w:pPr>
            <w:r>
              <w:rPr>
                <w:spacing w:val="-5"/>
              </w:rPr>
              <w:t>《劳动法》第三十六条、第三十八条、第四十一条、第四十四条、第四十八条、第六十一条、第八十九条、第九十条、第九十一条、第九十二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条、九十四条、第九十五条、第九十八条；《劳动合同法》第四条、第七条、第九条、第十条、第十四条、第十六条、第十七条、第十九条、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第三十条、第五十七条、第五十八条、第五</w:t>
            </w:r>
            <w:r>
              <w:rPr>
                <w:spacing w:val="-7"/>
              </w:rPr>
              <w:t>十九条、第六十条、第六十二条、第六十六条、第六十七条、第八十条、第八十一条、第八十二条、</w:t>
            </w:r>
            <w:r>
              <w:t xml:space="preserve"> </w:t>
            </w:r>
            <w:r>
              <w:rPr>
                <w:spacing w:val="-5"/>
              </w:rPr>
              <w:t>第八十三条、第八十四条、第八十五条、第八十七条、第八十九条、第九十二条；《就业促进法》第四十一条、第六十四条、第六十五条、第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六十六条、第六十七条；《职业教育法》第六十二条、第六十四条；《民办教育促进法》第六十四条；《社会保险法》第五十七条、第五十八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条、第六十条、第七十七条、第八十四条、第八十六条；《妇女权益保障法》第八十三条；《未成年</w:t>
            </w:r>
            <w:r>
              <w:rPr>
                <w:spacing w:val="-5"/>
              </w:rPr>
              <w:t>人保护法》第一百二十五条；《工会法》</w:t>
            </w:r>
            <w:r>
              <w:t xml:space="preserve"> </w:t>
            </w:r>
            <w:r>
              <w:rPr>
                <w:spacing w:val="-5"/>
              </w:rPr>
              <w:t>第五十一条、第五十二条、第五十三条；《网络安全法》第六十四条；《个人信息保护法》第六十六条；《电子商务法》第八十条；《劳动合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同法实施条例》第六条、第八条、第三十三条、第三十四条；《劳务派遣行政许可实施办法》第三十一条、第三十二条、第三十三条；《保障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农民工工资支付条例》第三条、第十一条、第十五条、第三十一条、第五十三条、第五十四条、第五十五条、第五十九条；《人力资源市场暂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行条例》第十八条、第二十四条、第二十七条、第二十八条、第二十九条、第三十条、第三十一条、第四十二条、第四十三条</w:t>
            </w:r>
            <w:r>
              <w:rPr>
                <w:spacing w:val="-5"/>
              </w:rPr>
              <w:t>、第四十三条；</w:t>
            </w:r>
            <w:r>
              <w:t xml:space="preserve"> </w:t>
            </w:r>
            <w:r>
              <w:rPr>
                <w:spacing w:val="-5"/>
              </w:rPr>
              <w:t>《劳动保障监察条例》第十一条、第二十三条、第二十四条、第二十五条、第二十六条、第二十八条、第二十九条、第三十条；《职工带薪年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休假条例》第二条、第五条、第七条；《社会保险费征缴暂行条例》第五条、第十条、第十七条、第</w:t>
            </w:r>
            <w:r>
              <w:rPr>
                <w:spacing w:val="-5"/>
              </w:rPr>
              <w:t>十八条、第二十四条；《工伤保险条例》</w:t>
            </w:r>
            <w:r>
              <w:t xml:space="preserve"> </w:t>
            </w:r>
            <w:r>
              <w:rPr>
                <w:spacing w:val="-5"/>
              </w:rPr>
              <w:t>第六十一条、第六十三条；《女职工劳动保护特别规定》第六条、第七条、第十三条；《禁止使用童工规定》第六条、第七条、第八条、第九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条；《娱乐场所管理条例》第五十二条；《江苏省劳动合同条例》第十二条、第十四条、第十六条、第二十三条、第四十二条、第五十二条、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第五十四条、第五十六条、第五十七条；《江苏省工资支付条例》第十二条、第十五条、第十七条、第十八条、第二十条、第二十二条、第二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十三条、第五十四条、第五十五条、第五十六条、第五十七条；《江苏省就业促进条例》第八十八条；《江苏省就业促进条例</w:t>
            </w:r>
            <w:r>
              <w:rPr>
                <w:spacing w:val="-5"/>
              </w:rPr>
              <w:t>》第八十七条；</w:t>
            </w:r>
            <w:r>
              <w:t xml:space="preserve"> </w:t>
            </w:r>
            <w:r>
              <w:rPr>
                <w:spacing w:val="-6"/>
              </w:rPr>
              <w:t>《江苏省工会劳动法律监督条例》第二十八</w:t>
            </w:r>
            <w:r>
              <w:rPr>
                <w:spacing w:val="-7"/>
              </w:rPr>
              <w:t>条；《江苏省企业民主管理条例》第二十八条、第二十九条；《江苏省集体协商条例》第五十五条、</w:t>
            </w:r>
            <w:r>
              <w:t xml:space="preserve"> </w:t>
            </w:r>
            <w:r>
              <w:rPr>
                <w:spacing w:val="-5"/>
              </w:rPr>
              <w:t>第五十六条；《江苏省人口</w:t>
            </w:r>
            <w:r>
              <w:rPr>
                <w:rFonts w:hint="eastAsia"/>
                <w:spacing w:val="-5"/>
                <w:lang w:val="en-US" w:eastAsia="zh-CN"/>
              </w:rPr>
              <w:t>与</w:t>
            </w:r>
            <w:r>
              <w:rPr>
                <w:spacing w:val="-5"/>
              </w:rPr>
              <w:t>计划生育条例》第二十四条；《江苏省社会保险费征缴条例》第三十一条；《劳务派遣暂行规定》第三条、第四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条、第八条、第十二条、第十三条、第十八条、第十九条、第二十二条、第二十三条、第二十四条；《最低工资规定》第十二条；《就业服务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与就业管理规定》第五十八条、第六十七条、第六十八条、第七十条、第七十三条、第七十四条、第七十五条；《网络招聘服务管理规定》第</w:t>
            </w:r>
          </w:p>
        </w:tc>
      </w:tr>
    </w:tbl>
    <w:p w14:paraId="2CE73A68">
      <w:pPr>
        <w:rPr>
          <w:rFonts w:ascii="Arial"/>
          <w:sz w:val="21"/>
        </w:rPr>
      </w:pPr>
    </w:p>
    <w:p w14:paraId="0CAD565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972" w:bottom="0" w:left="974" w:header="0" w:footer="0" w:gutter="0"/>
          <w:cols w:space="720" w:num="1"/>
        </w:sectPr>
      </w:pPr>
    </w:p>
    <w:p w14:paraId="2533FBD0">
      <w:pPr>
        <w:spacing w:before="46"/>
      </w:pPr>
    </w:p>
    <w:p w14:paraId="337BD500">
      <w:pPr>
        <w:spacing w:before="46"/>
      </w:pPr>
    </w:p>
    <w:tbl>
      <w:tblPr>
        <w:tblStyle w:val="4"/>
        <w:tblW w:w="148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875"/>
        <w:gridCol w:w="1200"/>
        <w:gridCol w:w="11081"/>
      </w:tblGrid>
      <w:tr w14:paraId="48F08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730" w:type="dxa"/>
            <w:vAlign w:val="top"/>
          </w:tcPr>
          <w:p w14:paraId="6DA2F8F2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7B680353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590EE28A">
            <w:pPr>
              <w:rPr>
                <w:rFonts w:ascii="Arial"/>
                <w:sz w:val="21"/>
              </w:rPr>
            </w:pPr>
          </w:p>
        </w:tc>
        <w:tc>
          <w:tcPr>
            <w:tcW w:w="11081" w:type="dxa"/>
            <w:vAlign w:val="top"/>
          </w:tcPr>
          <w:p w14:paraId="458F1E16">
            <w:pPr>
              <w:pStyle w:val="5"/>
              <w:spacing w:before="85" w:line="342" w:lineRule="auto"/>
              <w:ind w:left="111" w:right="75"/>
              <w:jc w:val="both"/>
            </w:pPr>
            <w:r>
              <w:rPr>
                <w:spacing w:val="-5"/>
              </w:rPr>
              <w:t>三十二条、第三十四条、第三十五条、第三十六条、第三十七条；《人力资源服务机构管理规定》第三十九条、第四十条、第四十一条、第四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十二条、第四十五条；《防暑降温措施管理办法》第八条、第十七条、第二十一条；《企业职工带薪年休假实施办法》第十五条；《社会保险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费征缴监督检查办法》第三条、第十四条；《实施&lt;中华人民共和国社会保险法&gt;若干规定》第</w:t>
            </w:r>
            <w:r>
              <w:rPr>
                <w:spacing w:val="-5"/>
              </w:rPr>
              <w:t>二十四条；《社会保险个人权益记录管理办法》</w:t>
            </w:r>
            <w:r>
              <w:t xml:space="preserve"> </w:t>
            </w:r>
            <w:r>
              <w:rPr>
                <w:spacing w:val="-4"/>
              </w:rPr>
              <w:t>第三十条；《非法用工单位伤亡人员一次性赔偿办法</w:t>
            </w:r>
            <w:r>
              <w:rPr>
                <w:spacing w:val="-5"/>
              </w:rPr>
              <w:t>》第七条</w:t>
            </w:r>
          </w:p>
        </w:tc>
      </w:tr>
      <w:tr w14:paraId="02ACF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30" w:type="dxa"/>
            <w:vAlign w:val="top"/>
          </w:tcPr>
          <w:p w14:paraId="59DE2CD5">
            <w:pPr>
              <w:spacing w:before="282" w:line="188" w:lineRule="auto"/>
              <w:ind w:left="3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875" w:type="dxa"/>
            <w:vAlign w:val="top"/>
          </w:tcPr>
          <w:p w14:paraId="38E333FA">
            <w:pPr>
              <w:pStyle w:val="5"/>
              <w:spacing w:before="83" w:line="303" w:lineRule="auto"/>
              <w:ind w:left="501" w:right="142" w:hanging="354"/>
            </w:pPr>
            <w:r>
              <w:rPr>
                <w:spacing w:val="-5"/>
              </w:rPr>
              <w:t>对特殊工时制度落实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情况的检查</w:t>
            </w:r>
          </w:p>
        </w:tc>
        <w:tc>
          <w:tcPr>
            <w:tcW w:w="1200" w:type="dxa"/>
            <w:vAlign w:val="top"/>
          </w:tcPr>
          <w:p w14:paraId="2D76C8A8">
            <w:pPr>
              <w:pStyle w:val="5"/>
              <w:spacing w:before="253" w:line="219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区</w:t>
            </w:r>
          </w:p>
        </w:tc>
        <w:tc>
          <w:tcPr>
            <w:tcW w:w="11081" w:type="dxa"/>
            <w:vAlign w:val="top"/>
          </w:tcPr>
          <w:p w14:paraId="5837006D">
            <w:pPr>
              <w:pStyle w:val="5"/>
              <w:spacing w:before="253" w:line="219" w:lineRule="auto"/>
              <w:ind w:left="117"/>
            </w:pPr>
            <w:r>
              <w:rPr>
                <w:spacing w:val="-5"/>
              </w:rPr>
              <w:t>《劳动合同法》第七十四条、七十五条</w:t>
            </w:r>
          </w:p>
        </w:tc>
      </w:tr>
      <w:tr w14:paraId="1345A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30" w:type="dxa"/>
            <w:vAlign w:val="top"/>
          </w:tcPr>
          <w:p w14:paraId="5353BD83">
            <w:pPr>
              <w:spacing w:before="284" w:line="188" w:lineRule="auto"/>
              <w:ind w:left="3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875" w:type="dxa"/>
            <w:shd w:val="clear" w:color="auto" w:fill="auto"/>
            <w:vAlign w:val="top"/>
          </w:tcPr>
          <w:p w14:paraId="7FCBF087">
            <w:pPr>
              <w:pStyle w:val="5"/>
              <w:spacing w:before="84" w:line="303" w:lineRule="auto"/>
              <w:ind w:left="240" w:leftChars="0" w:right="142" w:rightChars="0" w:hanging="9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</w:rPr>
              <w:t>对实施技能培训的民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办培训机构的检查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7B326D64">
            <w:pPr>
              <w:pStyle w:val="5"/>
              <w:spacing w:before="255" w:line="219" w:lineRule="auto"/>
              <w:ind w:left="34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-4"/>
                <w:lang w:val="en-US" w:eastAsia="zh-CN"/>
              </w:rPr>
              <w:t>区</w:t>
            </w:r>
          </w:p>
        </w:tc>
        <w:tc>
          <w:tcPr>
            <w:tcW w:w="11081" w:type="dxa"/>
            <w:shd w:val="clear" w:color="auto" w:fill="auto"/>
            <w:vAlign w:val="top"/>
          </w:tcPr>
          <w:p w14:paraId="1C68B43A">
            <w:pPr>
              <w:pStyle w:val="5"/>
              <w:spacing w:before="254" w:line="219" w:lineRule="auto"/>
              <w:ind w:left="11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</w:rPr>
              <w:t>《民办教育促进法》第七条、第十二条、第四十一条</w:t>
            </w:r>
          </w:p>
        </w:tc>
      </w:tr>
      <w:tr w14:paraId="4B457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30" w:type="dxa"/>
            <w:vAlign w:val="top"/>
          </w:tcPr>
          <w:p w14:paraId="377ADDB1">
            <w:pPr>
              <w:spacing w:before="284" w:line="188" w:lineRule="auto"/>
              <w:ind w:left="3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875" w:type="dxa"/>
            <w:shd w:val="clear" w:color="auto" w:fill="auto"/>
            <w:vAlign w:val="top"/>
          </w:tcPr>
          <w:p w14:paraId="7BDB4B36">
            <w:pPr>
              <w:pStyle w:val="5"/>
              <w:spacing w:before="93" w:line="308" w:lineRule="auto"/>
              <w:ind w:left="413" w:leftChars="0" w:right="142" w:rightChars="0" w:hanging="26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</w:rPr>
              <w:t>对经营性人力资源服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务机构的检查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0678F7F9">
            <w:pPr>
              <w:pStyle w:val="5"/>
              <w:spacing w:before="263" w:line="219" w:lineRule="auto"/>
              <w:ind w:left="34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-4"/>
                <w:lang w:val="en-US" w:eastAsia="zh-CN"/>
              </w:rPr>
              <w:t>区</w:t>
            </w:r>
          </w:p>
        </w:tc>
        <w:tc>
          <w:tcPr>
            <w:tcW w:w="11081" w:type="dxa"/>
            <w:shd w:val="clear" w:color="auto" w:fill="auto"/>
            <w:vAlign w:val="top"/>
          </w:tcPr>
          <w:p w14:paraId="48201465">
            <w:pPr>
              <w:pStyle w:val="5"/>
              <w:spacing w:before="263" w:line="219" w:lineRule="auto"/>
              <w:ind w:left="11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</w:rPr>
              <w:t>《人力资源市场暂行条例》第三十四条、第三十五条</w:t>
            </w:r>
          </w:p>
        </w:tc>
      </w:tr>
    </w:tbl>
    <w:p w14:paraId="0A9EB7B0">
      <w:pPr>
        <w:rPr>
          <w:rFonts w:ascii="Arial"/>
          <w:sz w:val="21"/>
        </w:rPr>
      </w:pPr>
    </w:p>
    <w:sectPr>
      <w:pgSz w:w="16839" w:h="11906"/>
      <w:pgMar w:top="1012" w:right="972" w:bottom="0" w:left="9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6C70AD"/>
    <w:rsid w:val="0D684E54"/>
    <w:rsid w:val="2D767542"/>
    <w:rsid w:val="376E499D"/>
    <w:rsid w:val="71F13E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1614</Words>
  <Characters>1614</Characters>
  <TotalTime>62</TotalTime>
  <ScaleCrop>false</ScaleCrop>
  <LinksUpToDate>false</LinksUpToDate>
  <CharactersWithSpaces>1640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2025-06-18T16:50:00Z</dcterms:created>
  <dc:creator>WPS_1662013017</dc:creator>
  <cp:lastModifiedBy>刘景</cp:lastModifiedBy>
  <cp:lastPrinted>2025-07-14T03:29:00Z</cp:lastPrinted>
  <dcterms:modified xsi:type="dcterms:W3CDTF">2025-07-20T07:30:44Z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2025-06-20T15:41:48Z</vt:filetime>
  </property>
  <property fmtid="{D5CDD505-2E9C-101B-9397-08002B2CF9AE}" pid="4" name="KSOTemplateDocerSaveRecord">
    <vt:lpwstr>eyJoZGlkIjoiMWZkNWMxNmFkZDdiNWViY2RhZjM2Y2U2OGFiNzg4NjciLCJ1c2VySWQiOiI0MDk2ODAxNDcifQ==</vt:lpwstr>
  </property>
  <property fmtid="{D5CDD505-2E9C-101B-9397-08002B2CF9AE}" pid="5" name="KSOProductBuildVer">
    <vt:lpwstr>2052-12.1.0.21915</vt:lpwstr>
  </property>
  <property fmtid="{D5CDD505-2E9C-101B-9397-08002B2CF9AE}" pid="6" name="ICV">
    <vt:lpwstr>878CF7DE917E41D5B30013EB3C787418_13</vt:lpwstr>
  </property>
</Properties>
</file>