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autoSpaceDE w:val="0"/>
        <w:snapToGrid w:val="0"/>
        <w:spacing w:before="0" w:beforeAutospacing="0" w:after="0" w:afterAutospacing="0" w:line="620" w:lineRule="exact"/>
        <w:jc w:val="center"/>
        <w:textAlignment w:val="bottom"/>
        <w:rPr>
          <w:rFonts w:cs="Arial"/>
          <w:b/>
          <w:color w:val="000000"/>
          <w:sz w:val="44"/>
          <w:szCs w:val="44"/>
        </w:rPr>
      </w:pPr>
      <w:r>
        <w:rPr>
          <w:rFonts w:hint="eastAsia" w:cs="Arial"/>
          <w:b/>
          <w:color w:val="000000"/>
          <w:sz w:val="44"/>
          <w:szCs w:val="44"/>
        </w:rPr>
        <w:t>栖霞区文化</w:t>
      </w:r>
      <w:r>
        <w:rPr>
          <w:rFonts w:hint="eastAsia" w:cs="Arial"/>
          <w:b/>
          <w:color w:val="000000"/>
          <w:sz w:val="44"/>
          <w:szCs w:val="44"/>
          <w:lang w:eastAsia="zh-CN"/>
        </w:rPr>
        <w:t>和</w:t>
      </w:r>
      <w:r>
        <w:rPr>
          <w:rFonts w:hint="eastAsia" w:cs="Arial"/>
          <w:b/>
          <w:color w:val="000000"/>
          <w:sz w:val="44"/>
          <w:szCs w:val="44"/>
        </w:rPr>
        <w:t>旅游局“双随机、一公开”</w:t>
      </w:r>
    </w:p>
    <w:p>
      <w:pPr>
        <w:pStyle w:val="5"/>
        <w:shd w:val="clear" w:color="auto" w:fill="FFFFFF"/>
        <w:autoSpaceDE w:val="0"/>
        <w:snapToGrid w:val="0"/>
        <w:spacing w:before="0" w:beforeAutospacing="0" w:after="0" w:afterAutospacing="0" w:line="620" w:lineRule="exact"/>
        <w:jc w:val="center"/>
        <w:textAlignment w:val="bottom"/>
        <w:rPr>
          <w:rFonts w:cs="Arial"/>
          <w:b/>
          <w:color w:val="000000"/>
          <w:sz w:val="44"/>
          <w:szCs w:val="44"/>
        </w:rPr>
      </w:pPr>
      <w:r>
        <w:rPr>
          <w:rFonts w:hint="eastAsia" w:cs="Arial"/>
          <w:b/>
          <w:color w:val="000000"/>
          <w:sz w:val="44"/>
          <w:szCs w:val="44"/>
        </w:rPr>
        <w:t>随机抽查实施细则</w:t>
      </w:r>
    </w:p>
    <w:p>
      <w:pPr>
        <w:pStyle w:val="5"/>
        <w:shd w:val="clear" w:color="auto" w:fill="FFFFFF"/>
        <w:autoSpaceDE w:val="0"/>
        <w:snapToGrid w:val="0"/>
        <w:spacing w:before="0" w:beforeAutospacing="0" w:after="0" w:afterAutospacing="0" w:line="620" w:lineRule="exact"/>
        <w:jc w:val="center"/>
        <w:textAlignment w:val="bottom"/>
        <w:rPr>
          <w:rFonts w:cs="Arial"/>
          <w:b/>
          <w:color w:val="000000"/>
          <w:sz w:val="44"/>
          <w:szCs w:val="44"/>
        </w:rPr>
      </w:pPr>
    </w:p>
    <w:p>
      <w:pPr>
        <w:shd w:val="clear" w:color="auto" w:fill="FFFFFF"/>
        <w:spacing w:line="620" w:lineRule="exact"/>
        <w:ind w:firstLine="645"/>
        <w:rPr>
          <w:rFonts w:ascii="宋体" w:cs="宋体"/>
          <w:kern w:val="0"/>
          <w:szCs w:val="21"/>
        </w:rPr>
      </w:pPr>
      <w:r>
        <w:rPr>
          <w:rFonts w:ascii="Arial" w:hAnsi="Arial" w:eastAsia="仿宋_GB2312" w:cs="Arial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为进一步创新事中事后监管方式，全面推行“双随机、一公开”制度，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根据《区政府办公室关于全面推进“双随机一公开”监管工作的实施意见》（宁栖政办发</w:t>
      </w:r>
      <w:r>
        <w:rPr>
          <w:rFonts w:hint="eastAsia" w:ascii="宋体" w:hAnsi="宋体" w:cs="宋体"/>
          <w:kern w:val="0"/>
          <w:sz w:val="32"/>
          <w:szCs w:val="32"/>
        </w:rPr>
        <w:t>〔</w:t>
      </w:r>
      <w:r>
        <w:rPr>
          <w:rFonts w:ascii="宋体" w:hAnsi="宋体" w:cs="宋体"/>
          <w:kern w:val="0"/>
          <w:sz w:val="32"/>
          <w:szCs w:val="32"/>
        </w:rPr>
        <w:t>2017</w:t>
      </w:r>
      <w:r>
        <w:rPr>
          <w:rFonts w:hint="eastAsia" w:ascii="宋体" w:hAnsi="宋体" w:cs="宋体"/>
          <w:kern w:val="0"/>
          <w:sz w:val="32"/>
          <w:szCs w:val="32"/>
        </w:rPr>
        <w:t>〕</w:t>
      </w:r>
      <w:r>
        <w:rPr>
          <w:rFonts w:ascii="宋体" w:hAnsi="宋体" w:cs="宋体"/>
          <w:kern w:val="0"/>
          <w:sz w:val="32"/>
          <w:szCs w:val="32"/>
        </w:rPr>
        <w:t>65</w:t>
      </w:r>
      <w:r>
        <w:rPr>
          <w:rFonts w:hint="eastAsia" w:ascii="宋体" w:hAnsi="宋体" w:cs="宋体"/>
          <w:kern w:val="0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）的文件精神，结合我局实际，制定本《实施细则》。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第一条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“双随机、一公开”制度，是指在依法实施监督检查时，采取随机方式抽取被检查对象、随机选派执法检查人员的方式。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第二条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“双随机、一公开”的实施原则是：简政放权、依法监管、公正高效、公开透明、协同推进。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第三条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b/>
          <w:bCs/>
          <w:color w:val="000000"/>
          <w:kern w:val="0"/>
          <w:sz w:val="36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各相关业务科室具体实施本科室业务范围内的“双随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机、一公开”工作。</w:t>
      </w:r>
    </w:p>
    <w:p>
      <w:pPr>
        <w:shd w:val="clear" w:color="auto" w:fill="FFFFFF"/>
        <w:spacing w:line="620" w:lineRule="exact"/>
        <w:ind w:firstLine="646"/>
        <w:jc w:val="left"/>
        <w:rPr>
          <w:rFonts w:ascii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第四条</w:t>
      </w:r>
      <w:r>
        <w:rPr>
          <w:rFonts w:ascii="仿宋_GB2312" w:hAnsi="宋体" w:eastAsia="仿宋_GB2312" w:cs="宋体"/>
          <w:b/>
          <w:bCs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当根据已公布的权责清单，梳理依法应当实施的监督检查职责，制定随机抽查事项清单，明确事项名称、内容、依据等，并向社会公示。清单应当依据法律法规规章的立改废释、层级监督权限的调整等实际情况进行动态调整。</w:t>
      </w:r>
    </w:p>
    <w:p>
      <w:pPr>
        <w:shd w:val="clear" w:color="auto" w:fill="FFFFFF"/>
        <w:spacing w:line="620" w:lineRule="exact"/>
        <w:ind w:firstLine="646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第五条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对因投诉、举报，上级部门交办或其他部门移送案件线索等原因，需要对具体被检查对象实施检查时，不采取“双随机”检查方式。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第六条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各相关业务部门依据随机抽查事项清单，建立市场主体名录库，市场主体名录库依据企业生存状态进行动态调整。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第七条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各相关业务部门应当根据区法制办依法核发的“行政执法证”，建立执法检查人员名录库，并对外公示。执法检查人员名录库随人员单位变动、岗位调整等因素给予动态调整。执法检查人员名录库，应当明确执法人员的身份信息：姓名、单位、性别、执法证号、执法岗位情况等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第八条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随机抽查应制定年度检查计划。法律、法规和规章没有规定的，一律不得擅自开展检查。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第九条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年度检查计划，应当包括被检查对象的范围、对执法检查人员的要求、抽查的比例和频次、实施检查的时间等。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第十条</w:t>
      </w:r>
      <w:r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制定年度检查计划，要保证必要的被检查对象覆盖面达到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70%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以上，既保证必要的监管力度，又要防止过度检查。对于守信企业，可以不抽查或降低抽查次数。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第十一条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实施年度检查计划，采取随机抽取的方式，从监管主体名录库中确定被检查对象，从执法人员名录库中确定执法检查人员。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第十二条</w:t>
      </w:r>
      <w:r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实施年度检查计划，应当制定切实可行的检查方案，明确检查的具体流程、内容和时间段。检查人员按照规定的流程和内容，在检查方案规定的时间段内自主确定具体的检查时间。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第十三条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执法检查人员与被检查对象有利害关系的，应依法回避。回避可采取与其他执法检查人员交换被检查对象的方式，也可以采取不参与本次执法检查的方式。确定不参与本次执法检查的，再次抽取替代执法检查人员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第十四条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原则上，同年度内对同一企业的抽查次数不超过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次。对同一市场主体的多个检查事项，协调组织有关行政执法部门开展联合抽查，一次性联合完成，避免多个部门重复检查。对于进入“黑名单”等处于经营异常状态、因违法已受到行政处罚的企业，不受此款限制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第十五条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对抽查依据、抽查主体、抽查事项、抽查方式、抽查程序和抽查结果实行公开（涉及商业秘密的内容除外）。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第十六条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随机抽查结果纳入文化市场主体的社会信用记录，定期向社会公示。</w:t>
      </w:r>
    </w:p>
    <w:p>
      <w:pPr>
        <w:spacing w:line="620" w:lineRule="exact"/>
        <w:ind w:firstLine="63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第十七条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在对被检查对象的检查工作结束后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个工作日内，完成检查报告。检查报告应当包括检查时间、检查内容、检查情况、对被检查人评价，以及处理意见和建议等内容。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第十八条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在检查报告完成后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个工作日内，向被检查对象反馈检查结果。反馈检查结果，可以采取直接送达或邮寄送达的方式。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第十九条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被检查对象在收到书面的反馈检查结果后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个工作日内，可以反馈对检查部门及执法检查人员的意见建议。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" w:hAnsi="仿宋" w:eastAsia="仿宋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第二十条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对检查发现的违法行为，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应当及时向上级单位报送情况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第二十一条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在每年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月底之前，相关科室应当通过局网站公开上一年度检查计划的执行情况，内容包括：被检查对象和执法检查人员的抽取，检查的时间、过程与结果，检查的反馈情况，被检查对象的意见建议，检查结果的运用等。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宋体" w:cs="宋体"/>
          <w:color w:val="434343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第二十二条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开展“双随机、一公开”工作，应当严格遵守法律法规规章制度，遵守工作纪律，依法行政、廉洁执法。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>第二十三条</w:t>
      </w:r>
      <w:r>
        <w:rPr>
          <w:rFonts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各相关科室不依照本《实施细则》开展“双随机、一公开”工作，造成严重后果的，依法依纪追究责任。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ind w:firstLine="5280" w:firstLineChars="165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栖霞区文化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旅游局</w:t>
      </w:r>
    </w:p>
    <w:p>
      <w:pPr>
        <w:widowControl/>
        <w:shd w:val="clear" w:color="auto" w:fill="FFFFFF"/>
        <w:spacing w:line="620" w:lineRule="exact"/>
        <w:ind w:firstLine="5600" w:firstLineChars="1750"/>
        <w:jc w:val="left"/>
        <w:rPr>
          <w:rFonts w:ascii="宋体" w:cs="宋体"/>
          <w:color w:val="434343"/>
          <w:kern w:val="0"/>
          <w:szCs w:val="21"/>
        </w:rPr>
      </w:pPr>
      <w:bookmarkStart w:id="0" w:name="_GoBack"/>
      <w:bookmarkEnd w:id="0"/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13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690"/>
    <w:rsid w:val="00022892"/>
    <w:rsid w:val="0005645F"/>
    <w:rsid w:val="000573EF"/>
    <w:rsid w:val="00084B64"/>
    <w:rsid w:val="000F6014"/>
    <w:rsid w:val="0014013C"/>
    <w:rsid w:val="001D42B0"/>
    <w:rsid w:val="001E070F"/>
    <w:rsid w:val="001F27F2"/>
    <w:rsid w:val="001F5F20"/>
    <w:rsid w:val="00257C16"/>
    <w:rsid w:val="002A4C72"/>
    <w:rsid w:val="002C2EF4"/>
    <w:rsid w:val="00325003"/>
    <w:rsid w:val="00344BEF"/>
    <w:rsid w:val="003531B2"/>
    <w:rsid w:val="003659F0"/>
    <w:rsid w:val="00366005"/>
    <w:rsid w:val="00395E6F"/>
    <w:rsid w:val="003C25BE"/>
    <w:rsid w:val="003C650B"/>
    <w:rsid w:val="003D5050"/>
    <w:rsid w:val="003E76DC"/>
    <w:rsid w:val="004474E6"/>
    <w:rsid w:val="0044774D"/>
    <w:rsid w:val="004520BD"/>
    <w:rsid w:val="0045654A"/>
    <w:rsid w:val="00482534"/>
    <w:rsid w:val="00482818"/>
    <w:rsid w:val="00482C28"/>
    <w:rsid w:val="004A2E8B"/>
    <w:rsid w:val="0059610D"/>
    <w:rsid w:val="005A0213"/>
    <w:rsid w:val="006229E6"/>
    <w:rsid w:val="006666F3"/>
    <w:rsid w:val="006954A4"/>
    <w:rsid w:val="006C22F7"/>
    <w:rsid w:val="007163FF"/>
    <w:rsid w:val="00850B98"/>
    <w:rsid w:val="0085698C"/>
    <w:rsid w:val="0087087C"/>
    <w:rsid w:val="00887187"/>
    <w:rsid w:val="008A040F"/>
    <w:rsid w:val="008A1A74"/>
    <w:rsid w:val="008C06C0"/>
    <w:rsid w:val="008E04E9"/>
    <w:rsid w:val="0090079D"/>
    <w:rsid w:val="00915303"/>
    <w:rsid w:val="0092670D"/>
    <w:rsid w:val="00927DA0"/>
    <w:rsid w:val="0094565C"/>
    <w:rsid w:val="00971BDE"/>
    <w:rsid w:val="009A098D"/>
    <w:rsid w:val="009A1B3C"/>
    <w:rsid w:val="009F71A8"/>
    <w:rsid w:val="00A4010F"/>
    <w:rsid w:val="00A55A94"/>
    <w:rsid w:val="00A55DDF"/>
    <w:rsid w:val="00AB371D"/>
    <w:rsid w:val="00B033D5"/>
    <w:rsid w:val="00B73A10"/>
    <w:rsid w:val="00BA133F"/>
    <w:rsid w:val="00BC0D39"/>
    <w:rsid w:val="00C64172"/>
    <w:rsid w:val="00CB63B5"/>
    <w:rsid w:val="00D1319D"/>
    <w:rsid w:val="00D14B80"/>
    <w:rsid w:val="00D53E31"/>
    <w:rsid w:val="00D64690"/>
    <w:rsid w:val="00D7149F"/>
    <w:rsid w:val="00DB0AF9"/>
    <w:rsid w:val="00E00EB5"/>
    <w:rsid w:val="00E2049F"/>
    <w:rsid w:val="00E54688"/>
    <w:rsid w:val="00E80030"/>
    <w:rsid w:val="00EA016F"/>
    <w:rsid w:val="00F038EB"/>
    <w:rsid w:val="00F863C0"/>
    <w:rsid w:val="00FE6EE6"/>
    <w:rsid w:val="04774049"/>
    <w:rsid w:val="06EE06CB"/>
    <w:rsid w:val="0BCE30CC"/>
    <w:rsid w:val="0C2268B7"/>
    <w:rsid w:val="0C5C1230"/>
    <w:rsid w:val="12122997"/>
    <w:rsid w:val="13D73F4F"/>
    <w:rsid w:val="14B4764E"/>
    <w:rsid w:val="194C45B6"/>
    <w:rsid w:val="1A666866"/>
    <w:rsid w:val="1B4556A9"/>
    <w:rsid w:val="1BE76D19"/>
    <w:rsid w:val="1D3704E0"/>
    <w:rsid w:val="22435E42"/>
    <w:rsid w:val="243E474F"/>
    <w:rsid w:val="24F54870"/>
    <w:rsid w:val="29366A69"/>
    <w:rsid w:val="32A102A1"/>
    <w:rsid w:val="335B7C1A"/>
    <w:rsid w:val="37BA1C7E"/>
    <w:rsid w:val="391734E5"/>
    <w:rsid w:val="3AA507F8"/>
    <w:rsid w:val="41F572A5"/>
    <w:rsid w:val="4D495DD7"/>
    <w:rsid w:val="4D7F5A68"/>
    <w:rsid w:val="54DB06A8"/>
    <w:rsid w:val="556140EB"/>
    <w:rsid w:val="585353EC"/>
    <w:rsid w:val="59477A54"/>
    <w:rsid w:val="5AD91D66"/>
    <w:rsid w:val="5CC006F0"/>
    <w:rsid w:val="64102367"/>
    <w:rsid w:val="68134940"/>
    <w:rsid w:val="6C511BC1"/>
    <w:rsid w:val="6D1A17E4"/>
    <w:rsid w:val="6E0A736F"/>
    <w:rsid w:val="6E2C7697"/>
    <w:rsid w:val="6FA51B76"/>
    <w:rsid w:val="71B45A49"/>
    <w:rsid w:val="74E81551"/>
    <w:rsid w:val="765644E9"/>
    <w:rsid w:val="76BF2FA5"/>
    <w:rsid w:val="775D7089"/>
    <w:rsid w:val="79A17F4C"/>
    <w:rsid w:val="7B6A6544"/>
    <w:rsid w:val="7D4D17F3"/>
    <w:rsid w:val="7E3E7B33"/>
    <w:rsid w:val="7ED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cs="Times New Roman"/>
      <w:sz w:val="18"/>
      <w:szCs w:val="18"/>
    </w:rPr>
  </w:style>
  <w:style w:type="paragraph" w:styleId="10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Balloon Text Char"/>
    <w:basedOn w:val="7"/>
    <w:link w:val="2"/>
    <w:semiHidden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Char Char Char Char Char Char Char Char Char Char Char Char Char Char Char Char"/>
    <w:basedOn w:val="1"/>
    <w:uiPriority w:val="99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266</Words>
  <Characters>1518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2017-09-22T04:29:00Z</dcterms:created>
  <dc:creator>njswgxj</dc:creator>
  <cp:lastModifiedBy>fangminli</cp:lastModifiedBy>
  <cp:lastPrinted>2017-01-09T07:03:00Z</cp:lastPrinted>
  <dcterms:modified xsi:type="dcterms:W3CDTF">2019-12-11T03:29:20Z</dcterms:modified>
  <dc:title>南京市文化广电新闻出版局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