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ind w:firstLine="0" w:firstLineChars="0"/>
        <w:jc w:val="center"/>
        <w:rPr>
          <w:rFonts w:eastAsia="华文中宋" w:cs="Times New Roman"/>
          <w:color w:val="auto"/>
          <w:spacing w:val="-8"/>
          <w:sz w:val="44"/>
          <w:szCs w:val="44"/>
        </w:rPr>
      </w:pPr>
      <w:bookmarkStart w:id="0" w:name="_GoBack"/>
      <w:bookmarkEnd w:id="0"/>
      <w:r>
        <w:rPr>
          <w:rFonts w:eastAsia="华文中宋" w:cs="Times New Roman"/>
          <w:color w:val="auto"/>
          <w:spacing w:val="-8"/>
          <w:sz w:val="44"/>
          <w:szCs w:val="44"/>
        </w:rPr>
        <w:t>重大行政执法决定事项清单</w:t>
      </w:r>
    </w:p>
    <w:p>
      <w:pPr>
        <w:ind w:firstLine="0" w:firstLineChars="0"/>
        <w:jc w:val="center"/>
        <w:rPr>
          <w:rFonts w:eastAsia="仿宋" w:cs="Times New Roman"/>
          <w:color w:val="auto"/>
          <w:sz w:val="32"/>
          <w:szCs w:val="32"/>
          <w:lang w:val="zh-CN"/>
        </w:rPr>
      </w:pPr>
    </w:p>
    <w:tbl>
      <w:tblPr>
        <w:tblStyle w:val="7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8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2" w:type="dxa"/>
            <w:vAlign w:val="center"/>
          </w:tcPr>
          <w:p>
            <w:pPr>
              <w:ind w:firstLine="0" w:firstLineChars="0"/>
              <w:jc w:val="center"/>
              <w:rPr>
                <w:rFonts w:eastAsia="黑体" w:cs="Times New Roman"/>
                <w:color w:val="auto"/>
                <w:sz w:val="32"/>
                <w:szCs w:val="32"/>
              </w:rPr>
            </w:pPr>
            <w:r>
              <w:rPr>
                <w:rFonts w:eastAsia="黑体" w:cs="Times New Roman"/>
                <w:color w:val="auto"/>
                <w:sz w:val="32"/>
                <w:szCs w:val="32"/>
              </w:rPr>
              <w:t>类别</w:t>
            </w:r>
          </w:p>
        </w:tc>
        <w:tc>
          <w:tcPr>
            <w:tcW w:w="8308" w:type="dxa"/>
            <w:vAlign w:val="center"/>
          </w:tcPr>
          <w:p>
            <w:pPr>
              <w:ind w:firstLine="0" w:firstLineChars="0"/>
              <w:jc w:val="center"/>
              <w:rPr>
                <w:rFonts w:eastAsia="黑体" w:cs="Times New Roman"/>
                <w:color w:val="auto"/>
                <w:sz w:val="32"/>
                <w:szCs w:val="32"/>
              </w:rPr>
            </w:pPr>
            <w:r>
              <w:rPr>
                <w:rFonts w:eastAsia="黑体" w:cs="Times New Roman"/>
                <w:color w:val="auto"/>
                <w:sz w:val="32"/>
                <w:szCs w:val="32"/>
              </w:rPr>
              <w:t>具体事项/审核范围、标准（拟作出）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eastAsia="仿宋_GB2312" w:cs="Times New Roman"/>
                <w:color w:val="auto"/>
                <w:sz w:val="32"/>
                <w:szCs w:val="32"/>
              </w:rPr>
            </w:pPr>
            <w:r>
              <w:rPr>
                <w:rFonts w:eastAsia="仿宋_GB2312" w:cs="Times New Roman"/>
                <w:color w:val="auto"/>
                <w:sz w:val="32"/>
                <w:szCs w:val="32"/>
              </w:rPr>
              <w:t>行政</w:t>
            </w:r>
          </w:p>
          <w:p>
            <w:pPr>
              <w:ind w:firstLine="0" w:firstLineChars="0"/>
              <w:jc w:val="center"/>
              <w:rPr>
                <w:rFonts w:eastAsia="仿宋_GB2312" w:cs="Times New Roman"/>
                <w:color w:val="auto"/>
                <w:sz w:val="32"/>
                <w:szCs w:val="32"/>
              </w:rPr>
            </w:pPr>
            <w:r>
              <w:rPr>
                <w:rFonts w:eastAsia="仿宋_GB2312" w:cs="Times New Roman"/>
                <w:color w:val="auto"/>
                <w:sz w:val="32"/>
                <w:szCs w:val="32"/>
              </w:rPr>
              <w:t>许可</w:t>
            </w:r>
          </w:p>
        </w:tc>
        <w:tc>
          <w:tcPr>
            <w:tcW w:w="8308" w:type="dxa"/>
            <w:vAlign w:val="center"/>
          </w:tcPr>
          <w:p>
            <w:pPr>
              <w:ind w:firstLine="0" w:firstLineChars="0"/>
              <w:rPr>
                <w:rFonts w:eastAsia="仿宋_GB2312" w:cs="Times New Roman"/>
                <w:color w:val="auto"/>
                <w:sz w:val="32"/>
                <w:szCs w:val="32"/>
              </w:rPr>
            </w:pPr>
            <w:r>
              <w:rPr>
                <w:rFonts w:eastAsia="仿宋_GB2312" w:cs="Times New Roman"/>
                <w:color w:val="auto"/>
                <w:sz w:val="32"/>
                <w:szCs w:val="32"/>
              </w:rPr>
              <w:t>1．举行听证的行政许可决定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8308" w:type="dxa"/>
            <w:vAlign w:val="center"/>
          </w:tcPr>
          <w:p>
            <w:pPr>
              <w:ind w:firstLine="0" w:firstLineChars="0"/>
              <w:rPr>
                <w:rFonts w:eastAsia="仿宋_GB2312" w:cs="Times New Roman"/>
                <w:color w:val="auto"/>
                <w:sz w:val="32"/>
                <w:szCs w:val="32"/>
              </w:rPr>
            </w:pPr>
            <w:r>
              <w:rPr>
                <w:rFonts w:eastAsia="仿宋_GB2312" w:cs="Times New Roman"/>
                <w:color w:val="auto"/>
                <w:sz w:val="32"/>
                <w:szCs w:val="32"/>
              </w:rPr>
              <w:t>2．医疗机构设置审批不予许可的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8308" w:type="dxa"/>
            <w:vAlign w:val="center"/>
          </w:tcPr>
          <w:p>
            <w:pPr>
              <w:ind w:firstLine="0" w:firstLineChars="0"/>
              <w:rPr>
                <w:rFonts w:eastAsia="仿宋_GB2312" w:cs="Times New Roman"/>
                <w:color w:val="auto"/>
                <w:sz w:val="32"/>
                <w:szCs w:val="32"/>
              </w:rPr>
            </w:pPr>
            <w:r>
              <w:rPr>
                <w:rFonts w:eastAsia="仿宋_GB2312" w:cs="Times New Roman"/>
                <w:color w:val="auto"/>
                <w:sz w:val="32"/>
                <w:szCs w:val="32"/>
              </w:rPr>
              <w:t>3．三级医疗机构的设置与执业注册登记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8308" w:type="dxa"/>
            <w:vAlign w:val="center"/>
          </w:tcPr>
          <w:p>
            <w:pPr>
              <w:ind w:firstLine="0" w:firstLineChars="0"/>
              <w:rPr>
                <w:rFonts w:eastAsia="仿宋_GB2312" w:cs="Times New Roman"/>
                <w:color w:val="auto"/>
                <w:sz w:val="32"/>
                <w:szCs w:val="32"/>
              </w:rPr>
            </w:pPr>
            <w:r>
              <w:rPr>
                <w:rFonts w:eastAsia="仿宋_GB2312" w:cs="Times New Roman"/>
                <w:color w:val="auto"/>
                <w:sz w:val="32"/>
                <w:szCs w:val="32"/>
              </w:rPr>
              <w:t>4．中外合资合作医疗机构的设置与执业注册登记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8308" w:type="dxa"/>
            <w:vAlign w:val="center"/>
          </w:tcPr>
          <w:p>
            <w:pPr>
              <w:ind w:firstLine="0" w:firstLineChars="0"/>
              <w:rPr>
                <w:rFonts w:eastAsia="仿宋_GB2312" w:cs="Times New Roman"/>
                <w:color w:val="auto"/>
                <w:sz w:val="32"/>
                <w:szCs w:val="32"/>
              </w:rPr>
            </w:pPr>
            <w:r>
              <w:rPr>
                <w:rFonts w:eastAsia="仿宋_GB2312" w:cs="Times New Roman"/>
                <w:color w:val="auto"/>
                <w:sz w:val="32"/>
                <w:szCs w:val="32"/>
              </w:rPr>
              <w:t>5．外资独资、港澳台独资医疗机构的设置与执业注册登记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8308" w:type="dxa"/>
            <w:vAlign w:val="center"/>
          </w:tcPr>
          <w:p>
            <w:pPr>
              <w:ind w:firstLine="0" w:firstLineChars="0"/>
              <w:rPr>
                <w:rFonts w:eastAsia="仿宋_GB2312" w:cs="Times New Roman"/>
                <w:color w:val="auto"/>
                <w:sz w:val="32"/>
                <w:szCs w:val="32"/>
              </w:rPr>
            </w:pPr>
            <w:r>
              <w:rPr>
                <w:rFonts w:eastAsia="仿宋_GB2312" w:cs="Times New Roman"/>
                <w:color w:val="auto"/>
                <w:sz w:val="32"/>
                <w:szCs w:val="32"/>
              </w:rPr>
              <w:t>6．政府办非营利性的三级医疗机构校验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8308" w:type="dxa"/>
            <w:vAlign w:val="center"/>
          </w:tcPr>
          <w:p>
            <w:pPr>
              <w:ind w:firstLine="0" w:firstLineChars="0"/>
              <w:rPr>
                <w:rFonts w:eastAsia="仿宋_GB2312" w:cs="Times New Roman"/>
                <w:color w:val="auto"/>
                <w:sz w:val="32"/>
                <w:szCs w:val="32"/>
              </w:rPr>
            </w:pPr>
            <w:r>
              <w:rPr>
                <w:rFonts w:eastAsia="仿宋_GB2312" w:cs="Times New Roman"/>
                <w:color w:val="auto"/>
                <w:sz w:val="32"/>
                <w:szCs w:val="32"/>
              </w:rPr>
              <w:t>7．医疗机构变更经营性质、宗旨相关的许可事项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8308" w:type="dxa"/>
            <w:vAlign w:val="center"/>
          </w:tcPr>
          <w:p>
            <w:pPr>
              <w:ind w:firstLine="0" w:firstLineChars="0"/>
              <w:rPr>
                <w:rFonts w:eastAsia="仿宋_GB2312" w:cs="Times New Roman"/>
                <w:color w:val="auto"/>
                <w:sz w:val="32"/>
                <w:szCs w:val="32"/>
              </w:rPr>
            </w:pPr>
            <w:r>
              <w:rPr>
                <w:rFonts w:eastAsia="仿宋_GB2312" w:cs="Times New Roman"/>
                <w:color w:val="auto"/>
                <w:sz w:val="32"/>
                <w:szCs w:val="32"/>
              </w:rPr>
              <w:t>8．其他涉及重大利益作出的行政许可决定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eastAsia="仿宋_GB2312" w:cs="Times New Roman"/>
                <w:color w:val="auto"/>
                <w:sz w:val="32"/>
                <w:szCs w:val="32"/>
              </w:rPr>
            </w:pPr>
            <w:r>
              <w:rPr>
                <w:rFonts w:eastAsia="仿宋_GB2312" w:cs="Times New Roman"/>
                <w:color w:val="auto"/>
                <w:sz w:val="32"/>
                <w:szCs w:val="32"/>
              </w:rPr>
              <w:t>行政</w:t>
            </w:r>
          </w:p>
          <w:p>
            <w:pPr>
              <w:ind w:firstLine="0" w:firstLineChars="0"/>
              <w:jc w:val="center"/>
              <w:rPr>
                <w:rFonts w:eastAsia="仿宋_GB2312" w:cs="Times New Roman"/>
                <w:color w:val="auto"/>
                <w:sz w:val="32"/>
                <w:szCs w:val="32"/>
              </w:rPr>
            </w:pPr>
            <w:r>
              <w:rPr>
                <w:rFonts w:eastAsia="仿宋_GB2312" w:cs="Times New Roman"/>
                <w:color w:val="auto"/>
                <w:sz w:val="32"/>
                <w:szCs w:val="32"/>
              </w:rPr>
              <w:t>处罚</w:t>
            </w:r>
          </w:p>
        </w:tc>
        <w:tc>
          <w:tcPr>
            <w:tcW w:w="8308" w:type="dxa"/>
            <w:vAlign w:val="center"/>
          </w:tcPr>
          <w:p>
            <w:pPr>
              <w:ind w:firstLine="0" w:firstLineChars="0"/>
              <w:rPr>
                <w:rFonts w:eastAsia="仿宋_GB2312" w:cs="Times New Roman"/>
                <w:color w:val="auto"/>
                <w:sz w:val="32"/>
                <w:szCs w:val="32"/>
              </w:rPr>
            </w:pPr>
            <w:r>
              <w:rPr>
                <w:rFonts w:eastAsia="仿宋_GB2312" w:cs="Times New Roman"/>
                <w:color w:val="auto"/>
                <w:sz w:val="32"/>
                <w:szCs w:val="32"/>
              </w:rPr>
              <w:t>1．责令停产停业、吊销机构执业许可证件的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8308" w:type="dxa"/>
            <w:vAlign w:val="center"/>
          </w:tcPr>
          <w:p>
            <w:pPr>
              <w:ind w:firstLine="0" w:firstLineChars="0"/>
              <w:rPr>
                <w:rFonts w:eastAsia="仿宋_GB2312" w:cs="Times New Roman"/>
                <w:color w:val="auto"/>
                <w:sz w:val="32"/>
                <w:szCs w:val="32"/>
              </w:rPr>
            </w:pPr>
            <w:r>
              <w:rPr>
                <w:rFonts w:eastAsia="仿宋_GB2312" w:cs="Times New Roman"/>
                <w:color w:val="auto"/>
                <w:sz w:val="32"/>
                <w:szCs w:val="32"/>
              </w:rPr>
              <w:t>2．对个人处以暂停一年以上执业活动或者吊销执业许可证件的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8308" w:type="dxa"/>
            <w:vAlign w:val="center"/>
          </w:tcPr>
          <w:p>
            <w:pPr>
              <w:ind w:firstLine="0" w:firstLineChars="0"/>
              <w:rPr>
                <w:rFonts w:eastAsia="仿宋_GB2312" w:cs="Times New Roman"/>
                <w:color w:val="auto"/>
                <w:sz w:val="32"/>
                <w:szCs w:val="32"/>
              </w:rPr>
            </w:pPr>
            <w:r>
              <w:rPr>
                <w:rFonts w:eastAsia="仿宋_GB2312" w:cs="Times New Roman"/>
                <w:color w:val="auto"/>
                <w:sz w:val="32"/>
                <w:szCs w:val="32"/>
              </w:rPr>
              <w:t>3．对法人或者其他组织处以5万元以上罚款的；但依法最低罚款金额（含“处”“并处”，不含“可以处”“并可以处”）5万元以上的，为8万元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8308" w:type="dxa"/>
            <w:vAlign w:val="center"/>
          </w:tcPr>
          <w:p>
            <w:pPr>
              <w:ind w:firstLine="0" w:firstLineChars="0"/>
              <w:rPr>
                <w:rFonts w:eastAsia="仿宋_GB2312" w:cs="Times New Roman"/>
                <w:color w:val="auto"/>
                <w:sz w:val="32"/>
                <w:szCs w:val="32"/>
              </w:rPr>
            </w:pPr>
            <w:r>
              <w:rPr>
                <w:rFonts w:eastAsia="仿宋_GB2312" w:cs="Times New Roman"/>
                <w:color w:val="auto"/>
                <w:sz w:val="32"/>
                <w:szCs w:val="32"/>
              </w:rPr>
              <w:t>4．对个人处以5000元以上罚款的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8308" w:type="dxa"/>
            <w:vAlign w:val="center"/>
          </w:tcPr>
          <w:p>
            <w:pPr>
              <w:pStyle w:val="6"/>
              <w:spacing w:before="0" w:beforeAutospacing="0" w:after="0" w:afterAutospacing="0" w:line="560" w:lineRule="exact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5．超出自由裁量权标准，适用减轻或者加重规定的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8308" w:type="dxa"/>
            <w:vAlign w:val="center"/>
          </w:tcPr>
          <w:p>
            <w:pPr>
              <w:pStyle w:val="6"/>
              <w:spacing w:before="0" w:beforeAutospacing="0" w:after="0" w:afterAutospacing="0" w:line="560" w:lineRule="exact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6．其他可能造成重大社会影响或引发社会风险的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eastAsia="仿宋_GB2312" w:cs="Times New Roman"/>
                <w:color w:val="auto"/>
                <w:sz w:val="32"/>
                <w:szCs w:val="32"/>
              </w:rPr>
            </w:pPr>
            <w:r>
              <w:rPr>
                <w:rFonts w:eastAsia="仿宋_GB2312" w:cs="Times New Roman"/>
                <w:color w:val="auto"/>
                <w:sz w:val="32"/>
                <w:szCs w:val="32"/>
              </w:rPr>
              <w:t>行政</w:t>
            </w:r>
          </w:p>
          <w:p>
            <w:pPr>
              <w:ind w:firstLine="0" w:firstLineChars="0"/>
              <w:jc w:val="center"/>
              <w:rPr>
                <w:rFonts w:eastAsia="仿宋_GB2312" w:cs="Times New Roman"/>
                <w:color w:val="auto"/>
                <w:sz w:val="32"/>
                <w:szCs w:val="32"/>
              </w:rPr>
            </w:pPr>
            <w:r>
              <w:rPr>
                <w:rFonts w:eastAsia="仿宋_GB2312" w:cs="Times New Roman"/>
                <w:color w:val="auto"/>
                <w:sz w:val="32"/>
                <w:szCs w:val="32"/>
              </w:rPr>
              <w:t>强制</w:t>
            </w:r>
          </w:p>
        </w:tc>
        <w:tc>
          <w:tcPr>
            <w:tcW w:w="8308" w:type="dxa"/>
            <w:vAlign w:val="center"/>
          </w:tcPr>
          <w:p>
            <w:pPr>
              <w:ind w:firstLine="0" w:firstLineChars="0"/>
              <w:rPr>
                <w:rFonts w:eastAsia="仿宋_GB2312" w:cs="Times New Roman"/>
                <w:color w:val="auto"/>
                <w:sz w:val="32"/>
                <w:szCs w:val="32"/>
              </w:rPr>
            </w:pPr>
            <w:r>
              <w:rPr>
                <w:rFonts w:eastAsia="仿宋_GB2312" w:cs="Times New Roman"/>
                <w:color w:val="auto"/>
                <w:sz w:val="32"/>
                <w:szCs w:val="32"/>
              </w:rPr>
              <w:t>1．查封、扣押价值20万元以上财物的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2" w:type="dxa"/>
            <w:vMerge w:val="continue"/>
            <w:vAlign w:val="center"/>
          </w:tcPr>
          <w:p>
            <w:pPr>
              <w:ind w:firstLine="0" w:firstLineChars="0"/>
              <w:rPr>
                <w:rFonts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8308" w:type="dxa"/>
            <w:vAlign w:val="center"/>
          </w:tcPr>
          <w:p>
            <w:pPr>
              <w:ind w:firstLine="0" w:firstLineChars="0"/>
              <w:rPr>
                <w:rFonts w:eastAsia="仿宋_GB2312" w:cs="Times New Roman"/>
                <w:color w:val="auto"/>
                <w:sz w:val="32"/>
                <w:szCs w:val="32"/>
              </w:rPr>
            </w:pPr>
            <w:r>
              <w:rPr>
                <w:rFonts w:eastAsia="仿宋_GB2312" w:cs="Times New Roman"/>
                <w:color w:val="auto"/>
                <w:sz w:val="32"/>
                <w:szCs w:val="32"/>
              </w:rPr>
              <w:t>2．其他涉及面广、影响重大的行政强制决定</w:t>
            </w:r>
          </w:p>
        </w:tc>
      </w:tr>
    </w:tbl>
    <w:p>
      <w:pPr>
        <w:ind w:firstLine="0" w:firstLineChars="0"/>
        <w:rPr>
          <w:rFonts w:eastAsia="仿宋_GB2312" w:cs="Times New Roman"/>
          <w:color w:val="auto"/>
          <w:sz w:val="32"/>
          <w:szCs w:val="32"/>
          <w:u w:val="thick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38" w:right="1588" w:bottom="1440" w:left="1588" w:header="0" w:footer="992" w:gutter="0"/>
      <w:cols w:space="720" w:num="1"/>
      <w:docGrid w:type="lines" w:linePitch="40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jc w:val="center"/>
      <w:rPr>
        <w:color w:val="auto"/>
      </w:rPr>
    </w:pPr>
    <w:r>
      <w:rPr>
        <w:color w:val="auto"/>
      </w:rPr>
      <w:fldChar w:fldCharType="begin"/>
    </w:r>
    <w:r>
      <w:rPr>
        <w:color w:val="auto"/>
      </w:rPr>
      <w:instrText xml:space="preserve">PAGE   \* MERGEFORMAT</w:instrText>
    </w:r>
    <w:r>
      <w:rPr>
        <w:color w:val="auto"/>
      </w:rPr>
      <w:fldChar w:fldCharType="separate"/>
    </w:r>
    <w:r>
      <w:rPr>
        <w:color w:val="auto"/>
        <w:lang w:val="zh-CN"/>
      </w:rPr>
      <w:t>1</w:t>
    </w:r>
    <w:r>
      <w:rPr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1OGE4ZTg1MjlmOTlkZTk4YWM5NWM3YmE2Nzg3ZDkifQ=="/>
  </w:docVars>
  <w:rsids>
    <w:rsidRoot w:val="00646A9E"/>
    <w:rsid w:val="00000137"/>
    <w:rsid w:val="000C3915"/>
    <w:rsid w:val="00140ABD"/>
    <w:rsid w:val="00152C17"/>
    <w:rsid w:val="001A1A53"/>
    <w:rsid w:val="001B6763"/>
    <w:rsid w:val="001E7729"/>
    <w:rsid w:val="00374E82"/>
    <w:rsid w:val="004201F3"/>
    <w:rsid w:val="00451FA7"/>
    <w:rsid w:val="004B6B0C"/>
    <w:rsid w:val="005167A6"/>
    <w:rsid w:val="00517CDC"/>
    <w:rsid w:val="00616EBA"/>
    <w:rsid w:val="00646A9E"/>
    <w:rsid w:val="00881F73"/>
    <w:rsid w:val="00A07864"/>
    <w:rsid w:val="00A1150B"/>
    <w:rsid w:val="00A5181E"/>
    <w:rsid w:val="00A60D09"/>
    <w:rsid w:val="00B15EE0"/>
    <w:rsid w:val="00B2354F"/>
    <w:rsid w:val="00B4161C"/>
    <w:rsid w:val="00B5672E"/>
    <w:rsid w:val="00B57CA5"/>
    <w:rsid w:val="00B753DB"/>
    <w:rsid w:val="00BA7E21"/>
    <w:rsid w:val="00BD1C14"/>
    <w:rsid w:val="00D53520"/>
    <w:rsid w:val="00E96E9B"/>
    <w:rsid w:val="00FA70A9"/>
    <w:rsid w:val="59536F77"/>
    <w:rsid w:val="59986D81"/>
    <w:rsid w:val="753C5B1B"/>
    <w:rsid w:val="7770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00" w:firstLineChars="200"/>
      <w:jc w:val="both"/>
    </w:pPr>
    <w:rPr>
      <w:rFonts w:ascii="Times New Roman" w:hAnsi="Times New Roman" w:eastAsia="方正仿宋_GBK" w:cs="宋体"/>
      <w:color w:val="FF0000"/>
      <w:sz w:val="30"/>
      <w:szCs w:val="3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qFormat/>
    <w:uiPriority w:val="0"/>
    <w:pPr>
      <w:spacing w:line="240" w:lineRule="auto"/>
      <w:ind w:firstLine="540" w:firstLineChars="0"/>
    </w:pPr>
    <w:rPr>
      <w:rFonts w:eastAsia="宋体" w:cs="Times New Roman"/>
      <w:color w:val="auto"/>
      <w:sz w:val="20"/>
      <w:szCs w:val="20"/>
    </w:rPr>
  </w:style>
  <w:style w:type="paragraph" w:styleId="3">
    <w:name w:val="Balloon Text"/>
    <w:basedOn w:val="1"/>
    <w:link w:val="16"/>
    <w:semiHidden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/>
      <w:sz w:val="24"/>
      <w:szCs w:val="24"/>
    </w:rPr>
  </w:style>
  <w:style w:type="table" w:styleId="8">
    <w:name w:val="Table Grid"/>
    <w:basedOn w:val="7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1"/>
    <w:qFormat/>
    <w:uiPriority w:val="34"/>
    <w:pPr>
      <w:ind w:firstLine="420"/>
    </w:pPr>
  </w:style>
  <w:style w:type="character" w:customStyle="1" w:styleId="11">
    <w:name w:val="页脚 Char"/>
    <w:link w:val="4"/>
    <w:qFormat/>
    <w:uiPriority w:val="99"/>
    <w:rPr>
      <w:rFonts w:ascii="Times New Roman" w:hAnsi="Times New Roman" w:eastAsia="方正仿宋_GBK" w:cs="宋体"/>
      <w:color w:val="FF0000"/>
      <w:kern w:val="0"/>
      <w:sz w:val="18"/>
      <w:szCs w:val="18"/>
    </w:rPr>
  </w:style>
  <w:style w:type="character" w:customStyle="1" w:styleId="12">
    <w:name w:val="15"/>
    <w:basedOn w:val="9"/>
    <w:qFormat/>
    <w:uiPriority w:val="0"/>
  </w:style>
  <w:style w:type="character" w:customStyle="1" w:styleId="13">
    <w:name w:val="页眉 Char"/>
    <w:link w:val="5"/>
    <w:semiHidden/>
    <w:qFormat/>
    <w:uiPriority w:val="99"/>
    <w:rPr>
      <w:rFonts w:ascii="Times New Roman" w:hAnsi="Times New Roman" w:eastAsia="方正仿宋_GBK" w:cs="宋体"/>
      <w:color w:val="FF0000"/>
      <w:kern w:val="0"/>
      <w:sz w:val="18"/>
      <w:szCs w:val="18"/>
    </w:rPr>
  </w:style>
  <w:style w:type="character" w:customStyle="1" w:styleId="14">
    <w:name w:val="正文文本缩进 Char"/>
    <w:link w:val="2"/>
    <w:qFormat/>
    <w:uiPriority w:val="0"/>
  </w:style>
  <w:style w:type="character" w:customStyle="1" w:styleId="15">
    <w:name w:val="正文文本缩进 Char1"/>
    <w:basedOn w:val="9"/>
    <w:semiHidden/>
    <w:qFormat/>
    <w:uiPriority w:val="0"/>
    <w:rPr>
      <w:rFonts w:eastAsia="方正仿宋_GBK" w:cs="宋体"/>
      <w:color w:val="FF0000"/>
      <w:sz w:val="30"/>
      <w:szCs w:val="30"/>
    </w:rPr>
  </w:style>
  <w:style w:type="character" w:customStyle="1" w:styleId="16">
    <w:name w:val="批注框文本 Char"/>
    <w:basedOn w:val="9"/>
    <w:link w:val="3"/>
    <w:semiHidden/>
    <w:qFormat/>
    <w:uiPriority w:val="0"/>
    <w:rPr>
      <w:rFonts w:eastAsia="方正仿宋_GBK" w:cs="宋体"/>
      <w:color w:val="FF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37D26-2F54-4278-9674-892F719B05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407</Words>
  <Characters>413</Characters>
  <Lines>3</Lines>
  <Paragraphs>1</Paragraphs>
  <TotalTime>37</TotalTime>
  <ScaleCrop>false</ScaleCrop>
  <LinksUpToDate>false</LinksUpToDate>
  <CharactersWithSpaces>413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2020-07-01T07:44:00Z</dcterms:created>
  <dc:creator>NTKO</dc:creator>
  <cp:lastModifiedBy>DELL</cp:lastModifiedBy>
  <cp:lastPrinted>2020-07-01T08:38:00Z</cp:lastPrinted>
  <dcterms:modified xsi:type="dcterms:W3CDTF">2023-01-04T07:34:35Z</dcterms:modified>
  <dc:title>南京市卫生健康委员会重大行政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1FA824D5902642458C55B1B67A8D2309</vt:lpwstr>
  </property>
</Properties>
</file>