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8819" w:type="dxa"/>
        <w:tblInd w:w="115" w:type="dxa"/>
        <w:tblLayout w:type="fixed"/>
        <w:tblCellMar>
          <w:top w:w="0" w:type="dxa"/>
          <w:left w:w="108" w:type="dxa"/>
          <w:bottom w:w="0" w:type="dxa"/>
          <w:right w:w="108" w:type="dxa"/>
        </w:tblCellMar>
      </w:tblPr>
      <w:tblGrid>
        <w:gridCol w:w="7276"/>
        <w:gridCol w:w="1543"/>
      </w:tblGrid>
      <w:tr w14:paraId="1F26F634">
        <w:tblPrEx>
          <w:tblCellMar>
            <w:top w:w="0" w:type="dxa"/>
            <w:left w:w="108" w:type="dxa"/>
            <w:bottom w:w="0" w:type="dxa"/>
            <w:right w:w="108" w:type="dxa"/>
          </w:tblCellMar>
        </w:tblPrEx>
        <w:trPr>
          <w:trHeight w:val="980" w:hRule="atLeast"/>
        </w:trPr>
        <w:tc>
          <w:tcPr>
            <w:tcW w:w="7276" w:type="dxa"/>
            <w:vAlign w:val="center"/>
          </w:tcPr>
          <w:p w14:paraId="51128FAB">
            <w:pPr>
              <w:keepNext w:val="0"/>
              <w:keepLines w:val="0"/>
              <w:widowControl/>
              <w:suppressLineNumbers w:val="0"/>
              <w:jc w:val="left"/>
              <w:textAlignment w:val="center"/>
              <w:rPr>
                <w:rFonts w:ascii="Times New Roman" w:hAnsi="Times New Roman"/>
                <w:color w:val="auto"/>
                <w:w w:val="66"/>
              </w:rPr>
            </w:pPr>
            <w:r>
              <w:rPr>
                <w:rFonts w:hint="eastAsia" w:ascii="Times New Roman" w:hAnsi="Times New Roman" w:eastAsia="黑体" w:cs="黑体"/>
                <w:i w:val="0"/>
                <w:iCs w:val="0"/>
                <w:color w:val="auto"/>
                <w:kern w:val="0"/>
                <w:sz w:val="32"/>
                <w:szCs w:val="32"/>
                <w:u w:val="none"/>
                <w:lang w:val="en-US" w:eastAsia="zh-CN" w:bidi="ar"/>
              </w:rPr>
              <w:br w:type="page"/>
            </w:r>
          </w:p>
        </w:tc>
        <w:tc>
          <w:tcPr>
            <w:tcW w:w="1543" w:type="dxa"/>
            <w:vAlign w:val="center"/>
          </w:tcPr>
          <w:p w14:paraId="5027A235">
            <w:pPr>
              <w:spacing w:line="240" w:lineRule="auto"/>
              <w:jc w:val="distribute"/>
              <w:rPr>
                <w:rFonts w:ascii="Times New Roman" w:hAnsi="Times New Roman" w:eastAsia="方正小标宋简体"/>
                <w:color w:val="auto"/>
                <w:spacing w:val="-24"/>
                <w:w w:val="60"/>
                <w:kern w:val="0"/>
                <w:sz w:val="110"/>
                <w:szCs w:val="110"/>
              </w:rPr>
            </w:pPr>
          </w:p>
        </w:tc>
      </w:tr>
    </w:tbl>
    <w:p w14:paraId="54333C3D">
      <w:pPr>
        <w:spacing w:line="700" w:lineRule="exact"/>
        <w:jc w:val="center"/>
        <w:rPr>
          <w:rFonts w:ascii="Times New Roman" w:hAnsi="Times New Roman" w:eastAsia="仿宋" w:cs="Times New Roman"/>
          <w:color w:val="auto"/>
          <w:sz w:val="32"/>
          <w:szCs w:val="32"/>
        </w:rPr>
      </w:pPr>
      <w:r>
        <w:rPr>
          <w:rFonts w:hint="eastAsia" w:ascii="Times New Roman" w:hAnsi="Times New Roman" w:eastAsia="方正仿宋_GBK" w:cs="方正仿宋_GBK"/>
          <w:color w:val="auto"/>
          <w:sz w:val="32"/>
          <w:szCs w:val="32"/>
        </w:rPr>
        <w:t>宁栖农字〔202</w:t>
      </w:r>
      <w:r>
        <w:rPr>
          <w:rFonts w:hint="eastAsia" w:ascii="Times New Roman" w:hAnsi="Times New Roman" w:eastAsia="方正仿宋_GBK" w:cs="方正仿宋_GBK"/>
          <w:color w:val="auto"/>
          <w:sz w:val="32"/>
          <w:szCs w:val="32"/>
          <w:lang w:val="en-US" w:eastAsia="zh-CN"/>
        </w:rPr>
        <w:t>6</w:t>
      </w:r>
      <w:r>
        <w:rPr>
          <w:rFonts w:hint="eastAsia" w:ascii="Times New Roman" w:hAnsi="Times New Roman" w:eastAsia="方正仿宋_GBK" w:cs="方正仿宋_GBK"/>
          <w:color w:val="auto"/>
          <w:sz w:val="32"/>
          <w:szCs w:val="32"/>
        </w:rPr>
        <w:t>〕</w:t>
      </w:r>
      <w:r>
        <w:rPr>
          <w:rFonts w:hint="eastAsia" w:ascii="Times New Roman" w:hAnsi="Times New Roman" w:eastAsia="方正仿宋_GBK" w:cs="方正仿宋_GBK"/>
          <w:color w:val="auto"/>
          <w:sz w:val="32"/>
          <w:szCs w:val="32"/>
          <w:lang w:val="en-US" w:eastAsia="zh-CN"/>
        </w:rPr>
        <w:t>74</w:t>
      </w:r>
      <w:r>
        <w:rPr>
          <w:rFonts w:hint="eastAsia" w:ascii="Times New Roman" w:hAnsi="Times New Roman" w:eastAsia="方正仿宋_GBK" w:cs="方正仿宋_GBK"/>
          <w:color w:val="auto"/>
          <w:sz w:val="32"/>
          <w:szCs w:val="32"/>
        </w:rPr>
        <w:t>号</w:t>
      </w:r>
    </w:p>
    <w:p w14:paraId="110CA7EC">
      <w:pPr>
        <w:spacing w:line="700" w:lineRule="exact"/>
        <w:jc w:val="center"/>
        <w:rPr>
          <w:rFonts w:ascii="Times New Roman" w:hAnsi="Times New Roman" w:eastAsia="仿宋" w:cs="Times New Roman"/>
          <w:color w:val="auto"/>
          <w:sz w:val="32"/>
          <w:szCs w:val="32"/>
        </w:rPr>
      </w:pPr>
    </w:p>
    <w:p w14:paraId="4820332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Times New Roman"/>
          <w:bCs/>
          <w:color w:val="auto"/>
          <w:sz w:val="44"/>
          <w:szCs w:val="44"/>
          <w:lang w:val="en-US" w:eastAsia="zh-CN"/>
        </w:rPr>
      </w:pPr>
      <w:r>
        <w:rPr>
          <w:rFonts w:hint="eastAsia" w:ascii="Times New Roman" w:hAnsi="Times New Roman" w:eastAsia="方正小标宋简体" w:cs="Times New Roman"/>
          <w:bCs/>
          <w:color w:val="auto"/>
          <w:sz w:val="44"/>
          <w:szCs w:val="44"/>
        </w:rPr>
        <w:t>关于做好栖霞区202</w:t>
      </w:r>
      <w:r>
        <w:rPr>
          <w:rFonts w:hint="eastAsia" w:ascii="Times New Roman" w:hAnsi="Times New Roman" w:eastAsia="方正小标宋简体" w:cs="Times New Roman"/>
          <w:bCs/>
          <w:color w:val="auto"/>
          <w:sz w:val="44"/>
          <w:szCs w:val="44"/>
          <w:lang w:val="en-US" w:eastAsia="zh-CN"/>
        </w:rPr>
        <w:t>6</w:t>
      </w:r>
      <w:r>
        <w:rPr>
          <w:rFonts w:hint="eastAsia" w:ascii="Times New Roman" w:hAnsi="Times New Roman" w:eastAsia="方正小标宋简体" w:cs="Times New Roman"/>
          <w:bCs/>
          <w:color w:val="auto"/>
          <w:sz w:val="44"/>
          <w:szCs w:val="44"/>
        </w:rPr>
        <w:t>年</w:t>
      </w:r>
      <w:r>
        <w:rPr>
          <w:rFonts w:hint="eastAsia" w:ascii="Times New Roman" w:hAnsi="Times New Roman" w:eastAsia="方正小标宋简体" w:cs="Times New Roman"/>
          <w:bCs/>
          <w:color w:val="auto"/>
          <w:sz w:val="44"/>
          <w:szCs w:val="44"/>
          <w:lang w:eastAsia="zh-CN"/>
        </w:rPr>
        <w:t>第二批市级</w:t>
      </w:r>
      <w:r>
        <w:rPr>
          <w:rFonts w:hint="eastAsia" w:ascii="Times New Roman" w:hAnsi="Times New Roman" w:eastAsia="方正小标宋简体" w:cs="Times New Roman"/>
          <w:bCs/>
          <w:color w:val="auto"/>
          <w:sz w:val="44"/>
          <w:szCs w:val="44"/>
        </w:rPr>
        <w:t>农业专项资金项目</w:t>
      </w:r>
      <w:r>
        <w:rPr>
          <w:rFonts w:hint="eastAsia" w:ascii="Times New Roman" w:hAnsi="Times New Roman" w:eastAsia="方正小标宋简体" w:cs="Times New Roman"/>
          <w:bCs/>
          <w:color w:val="auto"/>
          <w:sz w:val="44"/>
          <w:szCs w:val="44"/>
          <w:lang w:val="en-US" w:eastAsia="zh-CN"/>
        </w:rPr>
        <w:t>申报及</w:t>
      </w:r>
      <w:r>
        <w:rPr>
          <w:rFonts w:hint="eastAsia" w:ascii="Times New Roman" w:hAnsi="Times New Roman" w:eastAsia="方正小标宋简体" w:cs="Times New Roman"/>
          <w:bCs/>
          <w:color w:val="auto"/>
          <w:sz w:val="44"/>
          <w:szCs w:val="44"/>
        </w:rPr>
        <w:t>实施工作的通知</w:t>
      </w:r>
      <w:r>
        <w:rPr>
          <w:rFonts w:hint="eastAsia" w:ascii="Times New Roman" w:hAnsi="Times New Roman" w:eastAsia="方正小标宋简体" w:cs="Times New Roman"/>
          <w:bCs/>
          <w:color w:val="auto"/>
          <w:sz w:val="44"/>
          <w:szCs w:val="44"/>
          <w:lang w:val="en-US" w:eastAsia="zh-CN"/>
        </w:rPr>
        <w:t xml:space="preserve"> </w:t>
      </w:r>
    </w:p>
    <w:p w14:paraId="0BC37AC6">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ascii="Times New Roman" w:hAnsi="Times New Roman" w:eastAsia="方正仿宋_GBK" w:cs="Times New Roman"/>
          <w:color w:val="auto"/>
          <w:sz w:val="21"/>
          <w:szCs w:val="21"/>
        </w:rPr>
      </w:pPr>
    </w:p>
    <w:p w14:paraId="27589A0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各街道农业农村办、财政所，局各有关单位：</w:t>
      </w:r>
    </w:p>
    <w:p w14:paraId="41FC8A52">
      <w:pPr>
        <w:keepNext w:val="0"/>
        <w:keepLines w:val="0"/>
        <w:pageBreakBefore w:val="0"/>
        <w:kinsoku/>
        <w:wordWrap/>
        <w:overflowPunct/>
        <w:topLinePunct w:val="0"/>
        <w:autoSpaceDE/>
        <w:autoSpaceDN/>
        <w:bidi w:val="0"/>
        <w:adjustRightInd/>
        <w:snapToGrid/>
        <w:spacing w:line="560" w:lineRule="exact"/>
        <w:ind w:firstLine="640"/>
        <w:textAlignment w:val="auto"/>
        <w:outlineLvl w:val="9"/>
        <w:rPr>
          <w:rFonts w:hint="eastAsia"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为推进实施乡村振兴战略，推动农业农村高质量发展，根据市农业农村局、市财政局《</w:t>
      </w:r>
      <w:r>
        <w:rPr>
          <w:rFonts w:hint="eastAsia" w:ascii="Times New Roman" w:hAnsi="Times New Roman" w:eastAsia="方正仿宋_GBK" w:cs="Times New Roman"/>
          <w:color w:val="auto"/>
          <w:sz w:val="32"/>
          <w:szCs w:val="32"/>
        </w:rPr>
        <w:t>关于下达2026年</w:t>
      </w:r>
      <w:r>
        <w:rPr>
          <w:rFonts w:hint="eastAsia" w:ascii="Times New Roman" w:hAnsi="Times New Roman" w:eastAsia="方正仿宋_GBK" w:cs="Times New Roman"/>
          <w:color w:val="auto"/>
          <w:sz w:val="32"/>
          <w:szCs w:val="32"/>
          <w:lang w:eastAsia="zh-CN"/>
        </w:rPr>
        <w:t>第二批</w:t>
      </w:r>
      <w:r>
        <w:rPr>
          <w:rFonts w:hint="eastAsia" w:ascii="Times New Roman" w:hAnsi="Times New Roman" w:eastAsia="方正仿宋_GBK" w:cs="Times New Roman"/>
          <w:color w:val="auto"/>
          <w:sz w:val="32"/>
          <w:szCs w:val="32"/>
        </w:rPr>
        <w:t>市级农业专项资金计划的通知</w:t>
      </w:r>
      <w:r>
        <w:rPr>
          <w:rFonts w:ascii="Times New Roman" w:hAnsi="Times New Roman" w:eastAsia="方正仿宋_GBK" w:cs="Times New Roman"/>
          <w:color w:val="auto"/>
          <w:sz w:val="32"/>
          <w:szCs w:val="32"/>
        </w:rPr>
        <w:t>》（宁农计〔202</w:t>
      </w:r>
      <w:r>
        <w:rPr>
          <w:rFonts w:hint="eastAsia" w:ascii="Times New Roman" w:hAnsi="Times New Roman" w:eastAsia="方正仿宋_GBK" w:cs="Times New Roman"/>
          <w:color w:val="auto"/>
          <w:sz w:val="32"/>
          <w:szCs w:val="32"/>
          <w:lang w:val="en-US" w:eastAsia="zh-CN"/>
        </w:rPr>
        <w:t>6</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17</w:t>
      </w:r>
      <w:r>
        <w:rPr>
          <w:rFonts w:ascii="Times New Roman" w:hAnsi="Times New Roman" w:eastAsia="方正仿宋_GBK" w:cs="Times New Roman"/>
          <w:color w:val="auto"/>
          <w:sz w:val="32"/>
          <w:szCs w:val="32"/>
        </w:rPr>
        <w:t>号）文件要求，结合我区实际，研究制定了《</w:t>
      </w:r>
      <w:r>
        <w:rPr>
          <w:rFonts w:hint="eastAsia" w:ascii="Times New Roman" w:hAnsi="Times New Roman" w:eastAsia="方正仿宋_GBK" w:cs="Times New Roman"/>
          <w:color w:val="auto"/>
          <w:sz w:val="32"/>
          <w:szCs w:val="32"/>
          <w:lang w:val="en-US" w:eastAsia="zh-CN"/>
        </w:rPr>
        <w:t>2026年</w:t>
      </w:r>
      <w:r>
        <w:rPr>
          <w:rFonts w:hint="eastAsia" w:ascii="Times New Roman" w:hAnsi="Times New Roman" w:eastAsia="方正仿宋_GBK" w:cs="Times New Roman"/>
          <w:color w:val="auto"/>
          <w:sz w:val="32"/>
          <w:szCs w:val="32"/>
          <w:lang w:eastAsia="zh-CN"/>
        </w:rPr>
        <w:t>第二批市级</w:t>
      </w:r>
      <w:r>
        <w:rPr>
          <w:rFonts w:hint="eastAsia" w:ascii="Times New Roman" w:hAnsi="Times New Roman" w:eastAsia="方正仿宋_GBK" w:cs="Times New Roman"/>
          <w:color w:val="auto"/>
          <w:sz w:val="32"/>
          <w:szCs w:val="32"/>
        </w:rPr>
        <w:t>农业专项资金</w:t>
      </w:r>
      <w:r>
        <w:rPr>
          <w:rFonts w:hint="eastAsia" w:ascii="Times New Roman" w:hAnsi="Times New Roman" w:eastAsia="方正仿宋_GBK" w:cs="Times New Roman"/>
          <w:color w:val="auto"/>
          <w:sz w:val="32"/>
          <w:szCs w:val="32"/>
          <w:lang w:val="en-US" w:eastAsia="zh-CN"/>
        </w:rPr>
        <w:t>申报指南及</w:t>
      </w:r>
      <w:r>
        <w:rPr>
          <w:rFonts w:ascii="Times New Roman" w:hAnsi="Times New Roman" w:eastAsia="方正仿宋_GBK" w:cs="Times New Roman"/>
          <w:color w:val="auto"/>
          <w:sz w:val="32"/>
          <w:szCs w:val="32"/>
        </w:rPr>
        <w:t>实施</w:t>
      </w:r>
      <w:r>
        <w:rPr>
          <w:rFonts w:hint="eastAsia" w:ascii="Times New Roman" w:hAnsi="Times New Roman" w:eastAsia="方正仿宋_GBK" w:cs="Times New Roman"/>
          <w:color w:val="auto"/>
          <w:sz w:val="32"/>
          <w:szCs w:val="32"/>
          <w:lang w:val="en-US" w:eastAsia="zh-CN"/>
        </w:rPr>
        <w:t>指导</w:t>
      </w:r>
      <w:r>
        <w:rPr>
          <w:rFonts w:ascii="Times New Roman" w:hAnsi="Times New Roman" w:eastAsia="方正仿宋_GBK" w:cs="Times New Roman"/>
          <w:color w:val="auto"/>
          <w:sz w:val="32"/>
          <w:szCs w:val="32"/>
        </w:rPr>
        <w:t>意见》</w:t>
      </w:r>
      <w:r>
        <w:rPr>
          <w:rFonts w:hint="eastAsia" w:ascii="Times New Roman" w:hAnsi="Times New Roman" w:eastAsia="方正仿宋_GBK" w:cs="Times New Roman"/>
          <w:color w:val="auto"/>
          <w:sz w:val="32"/>
          <w:szCs w:val="32"/>
          <w:lang w:val="en-US" w:eastAsia="zh-CN"/>
        </w:rPr>
        <w:t>和专项资金安排计划表</w:t>
      </w:r>
      <w:r>
        <w:rPr>
          <w:rFonts w:ascii="Times New Roman" w:hAnsi="Times New Roman" w:eastAsia="方正仿宋_GBK" w:cs="Times New Roman"/>
          <w:color w:val="auto"/>
          <w:sz w:val="32"/>
          <w:szCs w:val="32"/>
        </w:rPr>
        <w:t>，现印发给</w:t>
      </w:r>
      <w:r>
        <w:rPr>
          <w:rFonts w:hint="eastAsia" w:ascii="Times New Roman" w:hAnsi="Times New Roman" w:eastAsia="方正仿宋_GBK" w:cs="Times New Roman"/>
          <w:color w:val="auto"/>
          <w:sz w:val="32"/>
          <w:szCs w:val="32"/>
        </w:rPr>
        <w:t>你们，并随文下达</w:t>
      </w:r>
      <w:r>
        <w:rPr>
          <w:rFonts w:hint="eastAsia" w:ascii="Times New Roman" w:hAnsi="Times New Roman" w:eastAsia="方正仿宋_GBK" w:cs="Times New Roman"/>
          <w:color w:val="auto"/>
          <w:sz w:val="32"/>
          <w:szCs w:val="32"/>
          <w:lang w:val="en-US" w:eastAsia="zh-CN"/>
        </w:rPr>
        <w:t>部分资金</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请各单位按照专项资金安排计划表，认真组织落实，开展各项工作</w:t>
      </w:r>
      <w:r>
        <w:rPr>
          <w:rFonts w:hint="eastAsia" w:ascii="Times New Roman" w:hAnsi="Times New Roman" w:eastAsia="方正仿宋_GBK" w:cs="Times New Roman"/>
          <w:color w:val="auto"/>
          <w:sz w:val="32"/>
          <w:szCs w:val="32"/>
        </w:rPr>
        <w:t>。</w:t>
      </w:r>
    </w:p>
    <w:p w14:paraId="02438CA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区农业农村局联系人：</w:t>
      </w:r>
    </w:p>
    <w:p w14:paraId="0E5D58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 xml:space="preserve">农田建设管理科    </w:t>
      </w:r>
      <w:r>
        <w:rPr>
          <w:rFonts w:hint="eastAsia" w:ascii="Times New Roman" w:hAnsi="Times New Roman" w:eastAsia="方正仿宋_GBK" w:cs="方正仿宋_GBK"/>
          <w:color w:val="auto"/>
          <w:kern w:val="0"/>
          <w:sz w:val="32"/>
          <w:szCs w:val="32"/>
          <w:lang w:val="en-US" w:eastAsia="zh-CN"/>
        </w:rPr>
        <w:t xml:space="preserve">吴庆生 </w:t>
      </w:r>
      <w:r>
        <w:rPr>
          <w:rFonts w:hint="eastAsia" w:ascii="Times New Roman" w:hAnsi="Times New Roman" w:eastAsia="方正仿宋_GBK" w:cs="方正仿宋_GBK"/>
          <w:color w:val="auto"/>
          <w:kern w:val="0"/>
          <w:sz w:val="32"/>
          <w:szCs w:val="32"/>
        </w:rPr>
        <w:t xml:space="preserve">   85571178  </w:t>
      </w:r>
    </w:p>
    <w:p w14:paraId="2C4E156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 xml:space="preserve">农村产业发展科    </w:t>
      </w:r>
      <w:r>
        <w:rPr>
          <w:rFonts w:hint="eastAsia" w:ascii="Times New Roman" w:hAnsi="Times New Roman" w:eastAsia="方正仿宋_GBK" w:cs="方正仿宋_GBK"/>
          <w:color w:val="auto"/>
          <w:kern w:val="0"/>
          <w:sz w:val="32"/>
          <w:szCs w:val="32"/>
          <w:lang w:val="en-US" w:eastAsia="zh-CN"/>
        </w:rPr>
        <w:t xml:space="preserve">张  琼 </w:t>
      </w:r>
      <w:r>
        <w:rPr>
          <w:rFonts w:hint="eastAsia" w:ascii="Times New Roman" w:hAnsi="Times New Roman" w:eastAsia="方正仿宋_GBK" w:cs="方正仿宋_GBK"/>
          <w:color w:val="auto"/>
          <w:kern w:val="0"/>
          <w:sz w:val="32"/>
          <w:szCs w:val="32"/>
        </w:rPr>
        <w:t xml:space="preserve">   85579519</w:t>
      </w:r>
    </w:p>
    <w:p w14:paraId="0A630D0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农村统筹发展科    陈国进</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85576697</w:t>
      </w:r>
    </w:p>
    <w:p w14:paraId="61847D1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Times New Roman" w:hAnsi="Times New Roman" w:eastAsia="方正仿宋_GBK" w:cs="方正仿宋_GBK"/>
          <w:color w:val="auto"/>
          <w:kern w:val="0"/>
          <w:sz w:val="32"/>
          <w:szCs w:val="32"/>
        </w:rPr>
      </w:pPr>
      <w:r>
        <w:rPr>
          <w:rFonts w:hint="eastAsia" w:ascii="Times New Roman" w:hAnsi="Times New Roman" w:eastAsia="方正仿宋_GBK" w:cs="方正仿宋_GBK"/>
          <w:color w:val="auto"/>
          <w:kern w:val="0"/>
          <w:sz w:val="32"/>
          <w:szCs w:val="32"/>
        </w:rPr>
        <w:t>农</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业</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科    </w:t>
      </w:r>
      <w:r>
        <w:rPr>
          <w:rFonts w:hint="eastAsia" w:ascii="Times New Roman" w:hAnsi="Times New Roman" w:eastAsia="方正仿宋_GBK" w:cs="方正仿宋_GBK"/>
          <w:color w:val="auto"/>
          <w:kern w:val="0"/>
          <w:sz w:val="32"/>
          <w:szCs w:val="32"/>
          <w:lang w:val="en-US" w:eastAsia="zh-CN"/>
        </w:rPr>
        <w:t xml:space="preserve">褚小洁 </w:t>
      </w:r>
      <w:r>
        <w:rPr>
          <w:rFonts w:hint="eastAsia" w:ascii="Times New Roman" w:hAnsi="Times New Roman" w:eastAsia="方正仿宋_GBK" w:cs="方正仿宋_GBK"/>
          <w:color w:val="auto"/>
          <w:kern w:val="0"/>
          <w:sz w:val="32"/>
          <w:szCs w:val="32"/>
        </w:rPr>
        <w:t xml:space="preserve">   85566890</w:t>
      </w:r>
    </w:p>
    <w:p w14:paraId="641ED77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区财政局联系人</w:t>
      </w:r>
      <w:r>
        <w:rPr>
          <w:rFonts w:hint="eastAsia" w:ascii="Times New Roman" w:hAnsi="Times New Roman" w:eastAsia="方正仿宋_GBK" w:cs="Times New Roman"/>
          <w:color w:val="auto"/>
          <w:kern w:val="0"/>
          <w:sz w:val="32"/>
          <w:szCs w:val="32"/>
          <w:lang w:eastAsia="zh-CN"/>
        </w:rPr>
        <w:t>：</w:t>
      </w:r>
      <w:r>
        <w:rPr>
          <w:rFonts w:ascii="Times New Roman" w:hAnsi="Times New Roman" w:eastAsia="方正仿宋_GBK" w:cs="Times New Roman"/>
          <w:color w:val="auto"/>
          <w:kern w:val="0"/>
          <w:sz w:val="32"/>
          <w:szCs w:val="32"/>
        </w:rPr>
        <w:t xml:space="preserve">  </w:t>
      </w:r>
    </w:p>
    <w:p w14:paraId="714C4E1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方正仿宋_GBK" w:cs="Times New Roman"/>
          <w:color w:val="auto"/>
          <w:kern w:val="0"/>
          <w:sz w:val="32"/>
          <w:szCs w:val="32"/>
        </w:rPr>
      </w:pPr>
      <w:r>
        <w:rPr>
          <w:rFonts w:hint="eastAsia" w:ascii="Times New Roman" w:hAnsi="Times New Roman" w:eastAsia="方正仿宋_GBK" w:cs="方正仿宋_GBK"/>
          <w:color w:val="auto"/>
          <w:kern w:val="0"/>
          <w:sz w:val="32"/>
          <w:szCs w:val="32"/>
        </w:rPr>
        <w:t>农</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业</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科    </w:t>
      </w:r>
      <w:r>
        <w:rPr>
          <w:rFonts w:ascii="Times New Roman" w:hAnsi="Times New Roman" w:eastAsia="方正仿宋_GBK" w:cs="Times New Roman"/>
          <w:color w:val="auto"/>
          <w:kern w:val="0"/>
          <w:sz w:val="32"/>
          <w:szCs w:val="32"/>
        </w:rPr>
        <w:t>田</w:t>
      </w:r>
      <w:r>
        <w:rPr>
          <w:rFonts w:hint="eastAsia" w:ascii="Times New Roman" w:hAnsi="Times New Roman" w:eastAsia="方正仿宋_GBK" w:cs="Times New Roman"/>
          <w:color w:val="auto"/>
          <w:kern w:val="0"/>
          <w:sz w:val="32"/>
          <w:szCs w:val="32"/>
          <w:lang w:val="en-US" w:eastAsia="zh-CN"/>
        </w:rPr>
        <w:t xml:space="preserve">  </w:t>
      </w:r>
      <w:r>
        <w:rPr>
          <w:rFonts w:ascii="Times New Roman" w:hAnsi="Times New Roman" w:eastAsia="方正仿宋_GBK" w:cs="Times New Roman"/>
          <w:color w:val="auto"/>
          <w:kern w:val="0"/>
          <w:sz w:val="32"/>
          <w:szCs w:val="32"/>
        </w:rPr>
        <w:t>原</w:t>
      </w:r>
      <w:r>
        <w:rPr>
          <w:rFonts w:hint="eastAsia" w:ascii="Times New Roman" w:hAnsi="Times New Roman" w:eastAsia="方正仿宋_GBK" w:cs="方正仿宋_GBK"/>
          <w:color w:val="auto"/>
          <w:kern w:val="0"/>
          <w:sz w:val="32"/>
          <w:szCs w:val="32"/>
          <w:lang w:val="en-US" w:eastAsia="zh-CN"/>
        </w:rPr>
        <w:t xml:space="preserve"> </w:t>
      </w:r>
      <w:r>
        <w:rPr>
          <w:rFonts w:hint="eastAsia" w:ascii="Times New Roman" w:hAnsi="Times New Roman" w:eastAsia="方正仿宋_GBK" w:cs="方正仿宋_GBK"/>
          <w:color w:val="auto"/>
          <w:kern w:val="0"/>
          <w:sz w:val="32"/>
          <w:szCs w:val="32"/>
        </w:rPr>
        <w:t xml:space="preserve">   </w:t>
      </w:r>
      <w:r>
        <w:rPr>
          <w:rFonts w:ascii="Times New Roman" w:hAnsi="Times New Roman" w:eastAsia="方正仿宋_GBK" w:cs="Times New Roman"/>
          <w:color w:val="auto"/>
          <w:kern w:val="0"/>
          <w:sz w:val="32"/>
          <w:szCs w:val="32"/>
        </w:rPr>
        <w:t xml:space="preserve">85393183 </w:t>
      </w:r>
    </w:p>
    <w:p w14:paraId="12FC426A">
      <w:pPr>
        <w:pStyle w:val="5"/>
        <w:keepNext w:val="0"/>
        <w:keepLines w:val="0"/>
        <w:pageBreakBefore w:val="0"/>
        <w:kinsoku/>
        <w:wordWrap/>
        <w:overflowPunct/>
        <w:topLinePunct w:val="0"/>
        <w:autoSpaceDE/>
        <w:autoSpaceDN/>
        <w:bidi w:val="0"/>
        <w:adjustRightInd/>
        <w:snapToGrid/>
        <w:spacing w:line="560" w:lineRule="exact"/>
        <w:rPr>
          <w:rFonts w:ascii="Times New Roman" w:hAnsi="Times New Roman"/>
          <w:color w:val="auto"/>
        </w:rPr>
      </w:pPr>
    </w:p>
    <w:p w14:paraId="5776BD2A">
      <w:pPr>
        <w:pStyle w:val="9"/>
        <w:keepNext w:val="0"/>
        <w:keepLines w:val="0"/>
        <w:pageBreakBefore w:val="0"/>
        <w:kinsoku/>
        <w:wordWrap/>
        <w:overflowPunct/>
        <w:topLinePunct w:val="0"/>
        <w:autoSpaceDE/>
        <w:autoSpaceDN/>
        <w:bidi w:val="0"/>
        <w:adjustRightInd/>
        <w:snapToGrid/>
        <w:spacing w:before="0" w:beforeAutospacing="0" w:after="0" w:afterAutospacing="0" w:line="560" w:lineRule="exact"/>
        <w:ind w:right="318" w:firstLine="640" w:firstLineChars="200"/>
        <w:jc w:val="both"/>
        <w:textAlignment w:val="auto"/>
        <w:rPr>
          <w:rFonts w:hint="eastAsia" w:ascii="Times New Roman" w:hAnsi="Times New Roman" w:eastAsia="方正仿宋_GBK" w:cs="Times New Roman"/>
          <w:color w:val="0000FF"/>
          <w:sz w:val="32"/>
          <w:szCs w:val="32"/>
        </w:rPr>
      </w:pPr>
      <w:r>
        <w:rPr>
          <w:rFonts w:ascii="Times New Roman" w:hAnsi="Times New Roman" w:eastAsia="方正仿宋_GBK" w:cs="Times New Roman"/>
          <w:color w:val="auto"/>
          <w:sz w:val="32"/>
          <w:szCs w:val="32"/>
        </w:rPr>
        <w:t>附件</w:t>
      </w:r>
      <w:r>
        <w:rPr>
          <w:rFonts w:hint="eastAsia" w:ascii="Times New Roman" w:hAnsi="Times New Roman" w:eastAsia="方正仿宋_GBK" w:cs="Times New Roman"/>
          <w:color w:val="auto"/>
          <w:sz w:val="32"/>
          <w:szCs w:val="32"/>
          <w:lang w:eastAsia="zh-CN"/>
        </w:rPr>
        <w:t>：1、栖霞区2026年第二批市级农业专项资金</w:t>
      </w:r>
      <w:r>
        <w:rPr>
          <w:rFonts w:hint="eastAsia" w:ascii="Times New Roman" w:hAnsi="Times New Roman" w:eastAsia="方正仿宋_GBK" w:cs="Times New Roman"/>
          <w:color w:val="auto"/>
          <w:sz w:val="32"/>
          <w:szCs w:val="32"/>
          <w:lang w:val="en-US" w:eastAsia="zh-CN"/>
        </w:rPr>
        <w:t>申报指南及</w:t>
      </w:r>
      <w:r>
        <w:rPr>
          <w:rFonts w:hint="eastAsia" w:ascii="Times New Roman" w:hAnsi="Times New Roman" w:eastAsia="方正仿宋_GBK" w:cs="Times New Roman"/>
          <w:color w:val="auto"/>
          <w:sz w:val="32"/>
          <w:szCs w:val="32"/>
          <w:lang w:eastAsia="zh-CN"/>
        </w:rPr>
        <w:t>实施指导意见</w:t>
      </w:r>
    </w:p>
    <w:p w14:paraId="021C75B6">
      <w:pPr>
        <w:pStyle w:val="9"/>
        <w:keepNext w:val="0"/>
        <w:keepLines w:val="0"/>
        <w:pageBreakBefore w:val="0"/>
        <w:numPr>
          <w:ilvl w:val="0"/>
          <w:numId w:val="1"/>
        </w:numPr>
        <w:kinsoku/>
        <w:wordWrap/>
        <w:overflowPunct/>
        <w:topLinePunct w:val="0"/>
        <w:autoSpaceDE/>
        <w:autoSpaceDN/>
        <w:bidi w:val="0"/>
        <w:adjustRightInd/>
        <w:snapToGrid/>
        <w:spacing w:before="0" w:beforeAutospacing="0" w:after="0" w:afterAutospacing="0" w:line="560" w:lineRule="exact"/>
        <w:ind w:right="318" w:firstLine="640" w:firstLineChars="200"/>
        <w:jc w:val="both"/>
        <w:textAlignment w:val="auto"/>
        <w:rPr>
          <w:rFonts w:ascii="Times New Roman" w:hAnsi="Times New Roman" w:eastAsia="方正仿宋_GBK" w:cs="Times New Roman"/>
          <w:color w:val="auto"/>
          <w:kern w:val="0"/>
          <w:sz w:val="32"/>
          <w:szCs w:val="32"/>
        </w:rPr>
      </w:pPr>
      <w:r>
        <w:rPr>
          <w:rFonts w:hint="eastAsia" w:ascii="Times New Roman" w:hAnsi="Times New Roman" w:eastAsia="方正仿宋_GBK" w:cs="Times New Roman"/>
          <w:color w:val="auto"/>
          <w:sz w:val="32"/>
          <w:szCs w:val="32"/>
        </w:rPr>
        <w:t>栖霞区</w:t>
      </w:r>
      <w:r>
        <w:rPr>
          <w:rFonts w:hint="eastAsia" w:ascii="Times New Roman" w:hAnsi="Times New Roman" w:eastAsia="方正仿宋_GBK" w:cs="Times New Roman"/>
          <w:color w:val="auto"/>
          <w:sz w:val="32"/>
          <w:szCs w:val="32"/>
          <w:lang w:eastAsia="zh-CN"/>
        </w:rPr>
        <w:t>2026</w:t>
      </w:r>
      <w:r>
        <w:rPr>
          <w:rFonts w:hint="eastAsia"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eastAsia="zh-CN"/>
        </w:rPr>
        <w:t>第二批市级</w:t>
      </w:r>
      <w:r>
        <w:rPr>
          <w:rFonts w:hint="eastAsia" w:ascii="Times New Roman" w:hAnsi="Times New Roman" w:eastAsia="方正仿宋_GBK" w:cs="Times New Roman"/>
          <w:color w:val="auto"/>
          <w:sz w:val="32"/>
          <w:szCs w:val="32"/>
        </w:rPr>
        <w:t>农业专项资金</w:t>
      </w:r>
      <w:r>
        <w:rPr>
          <w:rFonts w:ascii="Times New Roman" w:hAnsi="Times New Roman" w:eastAsia="方正仿宋_GBK" w:cs="Times New Roman"/>
          <w:color w:val="auto"/>
          <w:sz w:val="32"/>
          <w:szCs w:val="32"/>
        </w:rPr>
        <w:t>安排计划表</w:t>
      </w:r>
    </w:p>
    <w:p w14:paraId="6506303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 xml:space="preserve"> </w:t>
      </w:r>
    </w:p>
    <w:p w14:paraId="0267E4F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p>
    <w:p w14:paraId="76CA720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p>
    <w:p w14:paraId="5C07309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 xml:space="preserve">        </w:t>
      </w:r>
      <w:r>
        <w:rPr>
          <w:rFonts w:hint="eastAsia" w:ascii="Times New Roman" w:hAnsi="Times New Roman" w:eastAsia="方正仿宋_GBK" w:cs="Times New Roman"/>
          <w:color w:val="auto"/>
          <w:kern w:val="0"/>
          <w:sz w:val="32"/>
          <w:szCs w:val="32"/>
          <w:lang w:val="en-US" w:eastAsia="zh-CN"/>
        </w:rPr>
        <w:t xml:space="preserve"> </w:t>
      </w:r>
      <w:r>
        <w:rPr>
          <w:rFonts w:ascii="Times New Roman" w:hAnsi="Times New Roman" w:eastAsia="方正仿宋_GBK" w:cs="Times New Roman"/>
          <w:color w:val="auto"/>
          <w:kern w:val="0"/>
          <w:sz w:val="32"/>
          <w:szCs w:val="32"/>
        </w:rPr>
        <w:t xml:space="preserve">  栖霞区农业农村局       栖霞区财政局</w:t>
      </w:r>
    </w:p>
    <w:p w14:paraId="6C35CEB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方正仿宋_GBK" w:cs="Times New Roman"/>
          <w:color w:val="auto"/>
          <w:kern w:val="0"/>
          <w:sz w:val="32"/>
          <w:szCs w:val="32"/>
        </w:rPr>
      </w:pPr>
      <w:r>
        <w:rPr>
          <w:rFonts w:ascii="Times New Roman" w:hAnsi="Times New Roman" w:eastAsia="方正仿宋_GBK" w:cs="Times New Roman"/>
          <w:color w:val="auto"/>
          <w:kern w:val="0"/>
          <w:sz w:val="32"/>
          <w:szCs w:val="32"/>
        </w:rPr>
        <w:t xml:space="preserve">                      </w:t>
      </w:r>
      <w:r>
        <w:rPr>
          <w:rFonts w:hint="eastAsia" w:ascii="Times New Roman" w:hAnsi="Times New Roman" w:eastAsia="方正仿宋_GBK" w:cs="Times New Roman"/>
          <w:color w:val="auto"/>
          <w:kern w:val="0"/>
          <w:sz w:val="32"/>
          <w:szCs w:val="32"/>
          <w:lang w:val="en-US" w:eastAsia="zh-CN"/>
        </w:rPr>
        <w:t>2026</w:t>
      </w:r>
      <w:r>
        <w:rPr>
          <w:rFonts w:ascii="Times New Roman" w:hAnsi="Times New Roman" w:eastAsia="方正仿宋_GBK" w:cs="Times New Roman"/>
          <w:color w:val="auto"/>
          <w:kern w:val="0"/>
          <w:sz w:val="32"/>
          <w:szCs w:val="32"/>
        </w:rPr>
        <w:t>年</w:t>
      </w:r>
      <w:r>
        <w:rPr>
          <w:rFonts w:hint="eastAsia" w:ascii="Times New Roman" w:hAnsi="Times New Roman" w:eastAsia="方正仿宋_GBK" w:cs="Times New Roman"/>
          <w:color w:val="auto"/>
          <w:kern w:val="0"/>
          <w:sz w:val="32"/>
          <w:szCs w:val="32"/>
          <w:lang w:val="en-US" w:eastAsia="zh-CN"/>
        </w:rPr>
        <w:t xml:space="preserve"> 8</w:t>
      </w:r>
      <w:r>
        <w:rPr>
          <w:rFonts w:ascii="Times New Roman" w:hAnsi="Times New Roman" w:eastAsia="方正仿宋_GBK" w:cs="Times New Roman"/>
          <w:color w:val="auto"/>
          <w:kern w:val="0"/>
          <w:sz w:val="32"/>
          <w:szCs w:val="32"/>
        </w:rPr>
        <w:t>月</w:t>
      </w:r>
      <w:r>
        <w:rPr>
          <w:rFonts w:hint="eastAsia" w:ascii="Times New Roman" w:hAnsi="Times New Roman" w:eastAsia="方正仿宋_GBK" w:cs="Times New Roman"/>
          <w:color w:val="auto"/>
          <w:kern w:val="0"/>
          <w:sz w:val="32"/>
          <w:szCs w:val="32"/>
          <w:lang w:val="en-US" w:eastAsia="zh-CN"/>
        </w:rPr>
        <w:t>13</w:t>
      </w:r>
      <w:r>
        <w:rPr>
          <w:rFonts w:ascii="Times New Roman" w:hAnsi="Times New Roman" w:eastAsia="方正仿宋_GBK" w:cs="Times New Roman"/>
          <w:color w:val="auto"/>
          <w:kern w:val="0"/>
          <w:sz w:val="32"/>
          <w:szCs w:val="32"/>
        </w:rPr>
        <w:t>日</w:t>
      </w:r>
    </w:p>
    <w:p w14:paraId="0581C06E">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color w:val="auto"/>
          <w:sz w:val="32"/>
          <w:szCs w:val="32"/>
        </w:rPr>
      </w:pPr>
    </w:p>
    <w:p w14:paraId="7EFFE5B0">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auto"/>
        </w:rPr>
      </w:pPr>
      <w:r>
        <w:rPr>
          <w:rFonts w:hint="default" w:ascii="Times New Roman" w:hAnsi="Times New Roman" w:cs="Times New Roman"/>
          <w:color w:val="auto"/>
        </w:rPr>
        <w:br w:type="page"/>
      </w:r>
    </w:p>
    <w:p w14:paraId="1CA104C2">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附件1：</w:t>
      </w:r>
    </w:p>
    <w:p w14:paraId="437194F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_GBK" w:cs="方正小标宋_GBK"/>
          <w:color w:val="auto"/>
          <w:sz w:val="44"/>
          <w:szCs w:val="44"/>
          <w:lang w:val="en-US" w:eastAsia="zh-CN"/>
        </w:rPr>
      </w:pPr>
      <w:r>
        <w:rPr>
          <w:rFonts w:hint="eastAsia" w:ascii="Times New Roman" w:hAnsi="Times New Roman" w:eastAsia="方正小标宋_GBK" w:cs="方正小标宋_GBK"/>
          <w:color w:val="auto"/>
          <w:sz w:val="44"/>
          <w:szCs w:val="44"/>
        </w:rPr>
        <w:t>栖霞区</w:t>
      </w:r>
      <w:r>
        <w:rPr>
          <w:rFonts w:hint="eastAsia" w:ascii="Times New Roman" w:hAnsi="Times New Roman" w:eastAsia="方正小标宋_GBK" w:cs="方正小标宋_GBK"/>
          <w:color w:val="auto"/>
          <w:sz w:val="44"/>
          <w:szCs w:val="44"/>
          <w:lang w:eastAsia="zh-CN"/>
        </w:rPr>
        <w:t>2026</w:t>
      </w:r>
      <w:r>
        <w:rPr>
          <w:rFonts w:hint="eastAsia" w:ascii="Times New Roman" w:hAnsi="Times New Roman" w:eastAsia="方正小标宋_GBK" w:cs="方正小标宋_GBK"/>
          <w:color w:val="auto"/>
          <w:sz w:val="44"/>
          <w:szCs w:val="44"/>
        </w:rPr>
        <w:t>年</w:t>
      </w:r>
      <w:r>
        <w:rPr>
          <w:rFonts w:hint="eastAsia" w:ascii="Times New Roman" w:hAnsi="Times New Roman" w:eastAsia="方正小标宋_GBK" w:cs="方正小标宋_GBK"/>
          <w:color w:val="auto"/>
          <w:sz w:val="44"/>
          <w:szCs w:val="44"/>
          <w:lang w:eastAsia="zh-CN"/>
        </w:rPr>
        <w:t>第二批市级农业专项资金</w:t>
      </w:r>
      <w:r>
        <w:rPr>
          <w:rFonts w:hint="eastAsia" w:ascii="Times New Roman" w:hAnsi="Times New Roman" w:eastAsia="方正小标宋_GBK" w:cs="方正小标宋_GBK"/>
          <w:color w:val="auto"/>
          <w:sz w:val="44"/>
          <w:szCs w:val="44"/>
          <w:lang w:val="en-US" w:eastAsia="zh-CN"/>
        </w:rPr>
        <w:t>申报指南及</w:t>
      </w:r>
      <w:r>
        <w:rPr>
          <w:rFonts w:hint="eastAsia" w:ascii="Times New Roman" w:hAnsi="Times New Roman" w:eastAsia="方正小标宋_GBK" w:cs="方正小标宋_GBK"/>
          <w:color w:val="auto"/>
          <w:sz w:val="44"/>
          <w:szCs w:val="44"/>
          <w:lang w:eastAsia="zh-CN"/>
        </w:rPr>
        <w:t>实施指导意见</w:t>
      </w:r>
    </w:p>
    <w:p w14:paraId="6FBCCF1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44"/>
          <w:szCs w:val="44"/>
        </w:rPr>
      </w:pPr>
    </w:p>
    <w:p w14:paraId="59B8C9C5">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bookmarkStart w:id="0" w:name="OLE_LINK4"/>
      <w:r>
        <w:rPr>
          <w:rFonts w:hint="eastAsia" w:ascii="Times New Roman" w:hAnsi="Times New Roman" w:eastAsia="方正小标宋简体"/>
          <w:color w:val="auto"/>
          <w:sz w:val="36"/>
          <w:szCs w:val="36"/>
          <w:lang w:val="en-US" w:eastAsia="zh-CN"/>
        </w:rPr>
        <w:t>2026年市级现代农业发展专项—</w:t>
      </w:r>
    </w:p>
    <w:p w14:paraId="1BC2558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sz w:val="44"/>
          <w:szCs w:val="44"/>
          <w:lang w:eastAsia="zh-CN"/>
        </w:rPr>
      </w:pPr>
      <w:r>
        <w:rPr>
          <w:rFonts w:hint="eastAsia" w:ascii="Times New Roman" w:hAnsi="Times New Roman" w:eastAsia="方正小标宋简体"/>
          <w:color w:val="auto"/>
          <w:sz w:val="36"/>
          <w:szCs w:val="36"/>
          <w:lang w:val="en-US" w:eastAsia="zh-CN"/>
        </w:rPr>
        <w:t>新产业新业态培育项目申报指南</w:t>
      </w:r>
    </w:p>
    <w:p w14:paraId="70C1936F">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支持对象</w:t>
      </w:r>
    </w:p>
    <w:p w14:paraId="5583D2F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区级以上农业龙头企业</w:t>
      </w:r>
    </w:p>
    <w:p w14:paraId="06DB614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支持内容</w:t>
      </w:r>
    </w:p>
    <w:p w14:paraId="7982200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支持区级以上农业龙头企业建设农产品加工设施设备、生产加工设施设备（含生产加工端冷藏保鲜设施，不含基础建设）。项目为竞争类项目。</w:t>
      </w:r>
    </w:p>
    <w:p w14:paraId="2F7B8A91">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黑体"/>
          <w:color w:val="auto"/>
          <w:sz w:val="32"/>
          <w:szCs w:val="32"/>
          <w:lang w:eastAsia="zh-CN"/>
        </w:rPr>
      </w:pPr>
      <w:r>
        <w:rPr>
          <w:rFonts w:hint="eastAsia" w:ascii="Times New Roman" w:hAnsi="Times New Roman" w:eastAsia="黑体"/>
          <w:color w:val="auto"/>
          <w:sz w:val="32"/>
          <w:szCs w:val="32"/>
          <w:lang w:eastAsia="zh-CN"/>
        </w:rPr>
        <w:t>申报要求</w:t>
      </w:r>
    </w:p>
    <w:p w14:paraId="33C178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（一）所有申报主体要有专人负责项目申报、</w:t>
      </w:r>
      <w:r>
        <w:rPr>
          <w:rFonts w:hint="eastAsia" w:ascii="Times New Roman" w:hAnsi="Times New Roman" w:eastAsia="方正仿宋_GBK" w:cs="Times New Roman"/>
          <w:color w:val="auto"/>
          <w:sz w:val="32"/>
          <w:szCs w:val="32"/>
          <w:lang w:val="en-US" w:eastAsia="zh-CN"/>
        </w:rPr>
        <w:t>实施、验收等各项环节的材料收集、整理及上报等工作。</w:t>
      </w:r>
    </w:p>
    <w:p w14:paraId="6B421E4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方正楷体_GBK" w:hAnsi="方正楷体_GBK" w:eastAsia="方正楷体_GBK" w:cs="方正楷体_GBK"/>
          <w:color w:val="auto"/>
          <w:sz w:val="32"/>
          <w:szCs w:val="32"/>
          <w:lang w:val="en-US" w:eastAsia="zh-CN"/>
        </w:rPr>
        <w:t>（二）申报条件项目建设优先考虑示范带动作用较好的国家级、</w:t>
      </w:r>
      <w:r>
        <w:rPr>
          <w:rFonts w:hint="eastAsia" w:ascii="Times New Roman" w:hAnsi="Times New Roman" w:eastAsia="方正仿宋_GBK" w:cs="Times New Roman"/>
          <w:color w:val="auto"/>
          <w:sz w:val="32"/>
          <w:szCs w:val="32"/>
          <w:lang w:val="en-US" w:eastAsia="zh-CN"/>
        </w:rPr>
        <w:t>省级、市级、区级农业龙头企业。</w:t>
      </w:r>
    </w:p>
    <w:p w14:paraId="4A59600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1、申报的项目必须为当年新建的项目，开工时间为上年度同类项目申报结束后的项目视同为当年新建。</w:t>
      </w:r>
    </w:p>
    <w:p w14:paraId="281950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2、依法需要办理国土、规划、环保等审批的，项目建设单位须取得相关用地手续。</w:t>
      </w:r>
    </w:p>
    <w:p w14:paraId="5784F7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3、申报主体要进入省级农产品质量安全追溯平台，实现产品质量可追溯且无失信行为。</w:t>
      </w:r>
    </w:p>
    <w:p w14:paraId="0F5D06D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4、凡享受农业、发改等系统财政资金扶持并完成建设内容的项目再次建设相同内容的项目不得重复申报。</w:t>
      </w:r>
    </w:p>
    <w:p w14:paraId="757AFD2D">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黑体"/>
          <w:color w:val="auto"/>
          <w:sz w:val="32"/>
          <w:szCs w:val="32"/>
          <w:lang w:val="en-US" w:eastAsia="zh-CN"/>
        </w:rPr>
      </w:pPr>
      <w:r>
        <w:rPr>
          <w:rFonts w:hint="eastAsia" w:ascii="Times New Roman" w:hAnsi="Times New Roman" w:eastAsia="黑体"/>
          <w:color w:val="auto"/>
          <w:sz w:val="32"/>
          <w:szCs w:val="32"/>
          <w:lang w:val="en-US" w:eastAsia="zh-CN"/>
        </w:rPr>
        <w:t>补助标准</w:t>
      </w:r>
    </w:p>
    <w:p w14:paraId="1F8354D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项目实行先建后补，项目建设补助资金按照财政资金给予最高不超过40%补助。每个项目补助不超过25万元。</w:t>
      </w:r>
    </w:p>
    <w:p w14:paraId="6C558A9F">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仿宋_GBK" w:cs="Times New Roman"/>
          <w:color w:val="auto"/>
          <w:sz w:val="32"/>
          <w:szCs w:val="32"/>
          <w:lang w:val="en-US" w:eastAsia="zh-CN"/>
        </w:rPr>
        <w:br w:type="page"/>
      </w:r>
      <w:r>
        <w:rPr>
          <w:rFonts w:hint="eastAsia" w:ascii="Times New Roman" w:hAnsi="Times New Roman" w:eastAsia="方正小标宋简体"/>
          <w:color w:val="auto"/>
          <w:sz w:val="36"/>
          <w:szCs w:val="36"/>
          <w:lang w:val="en-US" w:eastAsia="zh-CN"/>
        </w:rPr>
        <w:t>2026年市级现代农业发展专项—农村合作经济</w:t>
      </w:r>
    </w:p>
    <w:p w14:paraId="6C70B6FA">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发展新型农村集体经济资金实施指导意见</w:t>
      </w:r>
    </w:p>
    <w:p w14:paraId="04178A7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、工作目标</w:t>
      </w:r>
    </w:p>
    <w:p w14:paraId="60C395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2025年</w:t>
      </w:r>
      <w:r>
        <w:rPr>
          <w:rFonts w:hint="eastAsia" w:ascii="Times New Roman" w:hAnsi="Times New Roman" w:eastAsia="方正仿宋_GBK" w:cs="Times New Roman"/>
          <w:color w:val="auto"/>
          <w:sz w:val="32"/>
          <w:szCs w:val="32"/>
          <w:lang w:eastAsia="zh-CN"/>
        </w:rPr>
        <w:t>依</w:t>
      </w:r>
      <w:r>
        <w:rPr>
          <w:rFonts w:hint="eastAsia" w:ascii="Times New Roman" w:hAnsi="Times New Roman" w:eastAsia="方正仿宋_GBK" w:cs="Times New Roman"/>
          <w:color w:val="auto"/>
          <w:sz w:val="32"/>
          <w:szCs w:val="32"/>
        </w:rPr>
        <w:t>据</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委组织部、</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财政局、</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农业农村局</w:t>
      </w:r>
      <w:r>
        <w:rPr>
          <w:rFonts w:hint="eastAsia" w:ascii="Times New Roman" w:hAnsi="Times New Roman" w:eastAsia="方正仿宋_GBK" w:cs="Times New Roman"/>
          <w:color w:val="auto"/>
          <w:sz w:val="32"/>
          <w:szCs w:val="32"/>
          <w:lang w:val="en-US" w:eastAsia="zh-CN"/>
        </w:rPr>
        <w:t>下达《关于同意2025年栖霞区扶持发展新型农村集体经济项目实施方案的批复并预拨部分财政资金的通知》（</w:t>
      </w:r>
      <w:r>
        <w:rPr>
          <w:rFonts w:hint="eastAsia" w:ascii="Times New Roman" w:hAnsi="Times New Roman" w:eastAsia="方正仿宋_GBK" w:cs="Times New Roman"/>
          <w:color w:val="auto"/>
          <w:sz w:val="32"/>
          <w:szCs w:val="32"/>
        </w:rPr>
        <w:t>宁栖农字〔202</w:t>
      </w:r>
      <w:r>
        <w:rPr>
          <w:rFonts w:hint="eastAsia" w:ascii="Times New Roman" w:hAnsi="Times New Roman" w:eastAsia="方正仿宋_GBK" w:cs="Times New Roman"/>
          <w:color w:val="auto"/>
          <w:sz w:val="32"/>
          <w:szCs w:val="32"/>
          <w:lang w:val="en-US" w:eastAsia="zh-CN"/>
        </w:rPr>
        <w:t>5</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23</w:t>
      </w:r>
      <w:r>
        <w:rPr>
          <w:rFonts w:hint="eastAsia" w:ascii="Times New Roman" w:hAnsi="Times New Roman" w:eastAsia="方正仿宋_GBK" w:cs="Times New Roman"/>
          <w:color w:val="auto"/>
          <w:sz w:val="32"/>
          <w:szCs w:val="32"/>
        </w:rPr>
        <w:t>号</w:t>
      </w:r>
      <w:r>
        <w:rPr>
          <w:rFonts w:hint="eastAsia" w:ascii="Times New Roman" w:hAnsi="Times New Roman" w:eastAsia="方正仿宋_GBK" w:cs="Times New Roman"/>
          <w:color w:val="auto"/>
          <w:sz w:val="32"/>
          <w:szCs w:val="32"/>
          <w:lang w:val="en-US" w:eastAsia="zh-CN"/>
        </w:rPr>
        <w:t>），同意西岗街道桦墅村印象乡村会客厅、龙潭街道陈店村水一方产业融合发展设施农用项目，各村对照方案组织实施。</w:t>
      </w:r>
    </w:p>
    <w:p w14:paraId="1A2BCF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2026年</w:t>
      </w:r>
      <w:r>
        <w:rPr>
          <w:rFonts w:hint="eastAsia" w:ascii="Times New Roman" w:hAnsi="Times New Roman" w:eastAsia="方正仿宋_GBK" w:cs="Times New Roman"/>
          <w:color w:val="auto"/>
          <w:sz w:val="32"/>
          <w:szCs w:val="32"/>
          <w:lang w:eastAsia="zh-CN"/>
        </w:rPr>
        <w:t>依</w:t>
      </w:r>
      <w:r>
        <w:rPr>
          <w:rFonts w:hint="eastAsia" w:ascii="Times New Roman" w:hAnsi="Times New Roman" w:eastAsia="方正仿宋_GBK" w:cs="Times New Roman"/>
          <w:color w:val="auto"/>
          <w:sz w:val="32"/>
          <w:szCs w:val="32"/>
        </w:rPr>
        <w:t>据</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委组织部、</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财政局、</w:t>
      </w:r>
      <w:r>
        <w:rPr>
          <w:rFonts w:hint="eastAsia" w:ascii="Times New Roman" w:hAnsi="Times New Roman" w:eastAsia="方正仿宋_GBK" w:cs="Times New Roman"/>
          <w:color w:val="auto"/>
          <w:sz w:val="32"/>
          <w:szCs w:val="32"/>
          <w:lang w:val="en-US" w:eastAsia="zh-CN"/>
        </w:rPr>
        <w:t>区</w:t>
      </w:r>
      <w:r>
        <w:rPr>
          <w:rFonts w:hint="eastAsia" w:ascii="Times New Roman" w:hAnsi="Times New Roman" w:eastAsia="方正仿宋_GBK" w:cs="Times New Roman"/>
          <w:color w:val="auto"/>
          <w:sz w:val="32"/>
          <w:szCs w:val="32"/>
        </w:rPr>
        <w:t>农业农村局</w:t>
      </w:r>
      <w:r>
        <w:rPr>
          <w:rFonts w:hint="eastAsia" w:ascii="Times New Roman" w:hAnsi="Times New Roman" w:eastAsia="方正仿宋_GBK" w:cs="Times New Roman"/>
          <w:color w:val="auto"/>
          <w:sz w:val="32"/>
          <w:szCs w:val="32"/>
          <w:lang w:val="en-US" w:eastAsia="zh-CN"/>
        </w:rPr>
        <w:t>下达《关于同意2026年栖霞区扶持发展新型农村集体经济项目实施方案的批复并预拨部分财政资金的通知》（宁栖农字〔2026〕51号），同意八卦洲街道外沙村外婆湾民宿集聚区（三期）打造提升建设项目，外沙村对照方案组织实施。</w:t>
      </w:r>
    </w:p>
    <w:p w14:paraId="1632C1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二、补助标准</w:t>
      </w:r>
    </w:p>
    <w:p w14:paraId="0757DE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市级发展新型农村集体经济资金19万元：2025年市级资金尾款15万元用于龙潭街道陈店村项目，2026年市级资金4万元用于外沙村项目。</w:t>
      </w:r>
    </w:p>
    <w:p w14:paraId="7A0F4679">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color w:val="0000FF"/>
          <w:sz w:val="44"/>
          <w:szCs w:val="44"/>
          <w:lang w:val="en-US" w:eastAsia="zh-CN"/>
        </w:rPr>
      </w:pPr>
    </w:p>
    <w:p w14:paraId="350ACE6D">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仿宋_GBK" w:cs="Times New Roman"/>
          <w:color w:val="auto"/>
          <w:sz w:val="32"/>
          <w:szCs w:val="32"/>
          <w:lang w:val="en-US" w:eastAsia="zh-CN"/>
        </w:rPr>
        <w:br w:type="page"/>
      </w:r>
      <w:r>
        <w:rPr>
          <w:rFonts w:hint="eastAsia" w:ascii="Times New Roman" w:hAnsi="Times New Roman" w:eastAsia="方正小标宋简体"/>
          <w:color w:val="auto"/>
          <w:sz w:val="36"/>
          <w:szCs w:val="36"/>
          <w:lang w:val="en-US" w:eastAsia="zh-CN"/>
        </w:rPr>
        <w:t>2026年市级农业农村公共服务专项—</w:t>
      </w:r>
    </w:p>
    <w:p w14:paraId="65BFB8EB">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olor w:val="auto"/>
          <w:sz w:val="36"/>
          <w:szCs w:val="36"/>
          <w:lang w:val="en-US" w:eastAsia="zh-CN"/>
        </w:rPr>
      </w:pPr>
      <w:r>
        <w:rPr>
          <w:rFonts w:hint="eastAsia" w:ascii="Times New Roman" w:hAnsi="Times New Roman" w:eastAsia="方正小标宋简体"/>
          <w:color w:val="auto"/>
          <w:sz w:val="36"/>
          <w:szCs w:val="36"/>
          <w:lang w:val="en-US" w:eastAsia="zh-CN"/>
        </w:rPr>
        <w:t>现代种业发展项目实施申报指南</w:t>
      </w:r>
    </w:p>
    <w:p w14:paraId="1E0CB92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Times New Roman"/>
          <w:sz w:val="44"/>
          <w:szCs w:val="44"/>
        </w:rPr>
      </w:pPr>
    </w:p>
    <w:p w14:paraId="239F620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黑体" w:cs="Times New Roman"/>
          <w:sz w:val="32"/>
          <w:szCs w:val="32"/>
          <w:lang w:val="en-US" w:eastAsia="zh-CN"/>
        </w:rPr>
        <w:t>一</w:t>
      </w:r>
      <w:r>
        <w:rPr>
          <w:rFonts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工作内容</w:t>
      </w:r>
    </w:p>
    <w:p w14:paraId="785C63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建设一批种子种苗繁育基地，引进、示范、推广一批优质农作物新品种。</w:t>
      </w:r>
    </w:p>
    <w:p w14:paraId="2E891AD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黑体" w:cs="Times New Roman"/>
          <w:sz w:val="32"/>
          <w:szCs w:val="32"/>
          <w:lang w:val="en-US" w:eastAsia="zh-CN"/>
        </w:rPr>
        <w:t>二</w:t>
      </w:r>
      <w:r>
        <w:rPr>
          <w:rFonts w:ascii="Times New Roman" w:hAnsi="Times New Roman" w:eastAsia="黑体" w:cs="Times New Roman"/>
          <w:sz w:val="32"/>
          <w:szCs w:val="32"/>
        </w:rPr>
        <w:t>、</w:t>
      </w:r>
      <w:r>
        <w:rPr>
          <w:rFonts w:hint="eastAsia" w:ascii="Times New Roman" w:hAnsi="Times New Roman" w:eastAsia="黑体" w:cs="Times New Roman"/>
          <w:sz w:val="32"/>
          <w:szCs w:val="32"/>
          <w:lang w:val="en-US" w:eastAsia="zh-CN"/>
        </w:rPr>
        <w:t>申报要求</w:t>
      </w:r>
    </w:p>
    <w:p w14:paraId="52341EA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1、申报主体</w:t>
      </w:r>
      <w:r>
        <w:rPr>
          <w:rFonts w:hint="eastAsia" w:ascii="Times New Roman" w:hAnsi="Times New Roman" w:eastAsia="方正仿宋_GBK" w:cs="Times New Roman"/>
          <w:sz w:val="32"/>
          <w:szCs w:val="32"/>
          <w:lang w:val="en-US" w:eastAsia="zh-CN"/>
        </w:rPr>
        <w:t>前期已申报并填写</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年市级</w:t>
      </w:r>
      <w:r>
        <w:rPr>
          <w:rFonts w:hint="eastAsia" w:ascii="Times New Roman" w:hAnsi="Times New Roman" w:eastAsia="方正仿宋_GBK" w:cs="Times New Roman"/>
          <w:sz w:val="32"/>
          <w:szCs w:val="32"/>
          <w:lang w:val="en-US" w:eastAsia="zh-CN"/>
        </w:rPr>
        <w:t>农业专项资金储备情况表</w:t>
      </w:r>
      <w:r>
        <w:rPr>
          <w:rFonts w:ascii="Times New Roman" w:hAnsi="Times New Roman" w:eastAsia="方正仿宋_GBK" w:cs="Times New Roman"/>
          <w:sz w:val="32"/>
          <w:szCs w:val="32"/>
        </w:rPr>
        <w:t>。</w:t>
      </w:r>
    </w:p>
    <w:p w14:paraId="6149401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2、凡享受过农业、发改等系统财政补助资金扶持并完成建设内容的项目，再次建设相同内容的项目不得重复申报。</w:t>
      </w:r>
    </w:p>
    <w:p w14:paraId="2B560A6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ascii="Times New Roman" w:hAnsi="Times New Roman" w:eastAsia="黑体" w:cs="Times New Roman"/>
          <w:sz w:val="32"/>
          <w:szCs w:val="32"/>
        </w:rPr>
        <w:t>、补助标准</w:t>
      </w:r>
    </w:p>
    <w:p w14:paraId="2BD4320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由农业企业、家庭农场、合作社、镇街、村集体等主体通过竞争立项承担的项目，市级以上专项资金补助比例不超过40%；获部省级资金支持的，累计补助比例不超过50%；仅由镇街、村集体承担的项目，产业相关类市级以上专项资金补助比例不超过60%；公益类市级以上专项资金补助比例不超过80%。</w:t>
      </w:r>
    </w:p>
    <w:p w14:paraId="27379CB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全区共计72万元。</w:t>
      </w:r>
    </w:p>
    <w:p w14:paraId="1E3CD2DB">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lang w:val="en-US" w:eastAsia="zh-CN"/>
        </w:rPr>
      </w:pPr>
    </w:p>
    <w:p w14:paraId="50BBC1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方正仿宋_GBK" w:cs="Times New Roman"/>
          <w:color w:val="auto"/>
          <w:sz w:val="32"/>
          <w:szCs w:val="32"/>
          <w:lang w:val="en-US" w:eastAsia="zh-CN"/>
        </w:rPr>
      </w:pPr>
    </w:p>
    <w:bookmarkEnd w:id="0"/>
    <w:p w14:paraId="2AFD67BD">
      <w:pPr>
        <w:pStyle w:val="4"/>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olor w:val="auto"/>
        </w:rPr>
      </w:pPr>
    </w:p>
    <w:p w14:paraId="30F32B4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方正仿宋_GBK" w:cs="Times New Roman"/>
          <w:color w:val="auto"/>
          <w:sz w:val="32"/>
          <w:szCs w:val="32"/>
          <w:lang w:val="en-US" w:eastAsia="zh-CN"/>
        </w:rPr>
      </w:pPr>
    </w:p>
    <w:p w14:paraId="5EAA8879">
      <w:pPr>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br w:type="page"/>
      </w:r>
    </w:p>
    <w:tbl>
      <w:tblPr>
        <w:tblStyle w:val="10"/>
        <w:tblW w:w="9459" w:type="dxa"/>
        <w:tblInd w:w="-24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2593"/>
        <w:gridCol w:w="5"/>
        <w:gridCol w:w="3506"/>
        <w:gridCol w:w="1127"/>
        <w:gridCol w:w="1223"/>
        <w:gridCol w:w="236"/>
      </w:tblGrid>
      <w:tr w14:paraId="2826C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 w:hRule="atLeast"/>
        </w:trPr>
        <w:tc>
          <w:tcPr>
            <w:tcW w:w="3367" w:type="dxa"/>
            <w:gridSpan w:val="3"/>
            <w:tcBorders>
              <w:top w:val="nil"/>
              <w:left w:val="nil"/>
              <w:bottom w:val="nil"/>
              <w:right w:val="nil"/>
            </w:tcBorders>
            <w:shd w:val="clear" w:color="auto" w:fill="auto"/>
            <w:vAlign w:val="center"/>
          </w:tcPr>
          <w:p w14:paraId="0036AEAA">
            <w:pPr>
              <w:keepNext w:val="0"/>
              <w:keepLines w:val="0"/>
              <w:widowControl/>
              <w:suppressLineNumbers w:val="0"/>
              <w:jc w:val="left"/>
              <w:textAlignment w:val="center"/>
              <w:rPr>
                <w:rFonts w:hint="eastAsia" w:ascii="Times New Roman" w:hAnsi="Times New Roman" w:eastAsia="黑体" w:cs="黑体"/>
                <w:i w:val="0"/>
                <w:iCs w:val="0"/>
                <w:color w:val="auto"/>
                <w:kern w:val="0"/>
                <w:sz w:val="32"/>
                <w:szCs w:val="32"/>
                <w:u w:val="none"/>
                <w:lang w:val="en-US" w:eastAsia="zh-CN" w:bidi="ar"/>
              </w:rPr>
            </w:pPr>
            <w:r>
              <w:rPr>
                <w:rFonts w:hint="eastAsia" w:ascii="Times New Roman" w:hAnsi="Times New Roman" w:eastAsia="黑体" w:cs="黑体"/>
                <w:i w:val="0"/>
                <w:iCs w:val="0"/>
                <w:color w:val="auto"/>
                <w:kern w:val="0"/>
                <w:sz w:val="32"/>
                <w:szCs w:val="32"/>
                <w:u w:val="none"/>
                <w:lang w:val="en-US" w:eastAsia="zh-CN" w:bidi="ar"/>
              </w:rPr>
              <w:t>附件2：</w:t>
            </w:r>
          </w:p>
          <w:p w14:paraId="06C956A0">
            <w:pPr>
              <w:keepNext w:val="0"/>
              <w:keepLines w:val="0"/>
              <w:widowControl/>
              <w:suppressLineNumbers w:val="0"/>
              <w:jc w:val="left"/>
              <w:textAlignment w:val="center"/>
              <w:rPr>
                <w:rFonts w:hint="eastAsia" w:ascii="Times New Roman" w:hAnsi="Times New Roman" w:eastAsia="黑体" w:cs="黑体"/>
                <w:i w:val="0"/>
                <w:iCs w:val="0"/>
                <w:color w:val="auto"/>
                <w:kern w:val="0"/>
                <w:sz w:val="32"/>
                <w:szCs w:val="32"/>
                <w:u w:val="none"/>
                <w:lang w:val="en-US" w:eastAsia="zh-CN" w:bidi="ar"/>
              </w:rPr>
            </w:pPr>
          </w:p>
        </w:tc>
        <w:tc>
          <w:tcPr>
            <w:tcW w:w="3506" w:type="dxa"/>
            <w:tcBorders>
              <w:top w:val="nil"/>
              <w:left w:val="nil"/>
              <w:bottom w:val="nil"/>
              <w:right w:val="nil"/>
            </w:tcBorders>
            <w:shd w:val="clear" w:color="auto" w:fill="auto"/>
            <w:vAlign w:val="center"/>
          </w:tcPr>
          <w:p w14:paraId="4A10A982">
            <w:pPr>
              <w:rPr>
                <w:rFonts w:hint="eastAsia" w:ascii="Times New Roman" w:hAnsi="Times New Roman" w:eastAsia="宋体" w:cs="宋体"/>
                <w:i w:val="0"/>
                <w:iCs w:val="0"/>
                <w:color w:val="auto"/>
                <w:sz w:val="22"/>
                <w:szCs w:val="22"/>
                <w:u w:val="none"/>
              </w:rPr>
            </w:pPr>
          </w:p>
        </w:tc>
        <w:tc>
          <w:tcPr>
            <w:tcW w:w="1127" w:type="dxa"/>
            <w:tcBorders>
              <w:top w:val="nil"/>
              <w:left w:val="nil"/>
              <w:bottom w:val="nil"/>
              <w:right w:val="nil"/>
            </w:tcBorders>
            <w:shd w:val="clear" w:color="auto" w:fill="auto"/>
            <w:vAlign w:val="center"/>
          </w:tcPr>
          <w:p w14:paraId="62C5B345">
            <w:pPr>
              <w:jc w:val="center"/>
              <w:rPr>
                <w:rFonts w:hint="eastAsia" w:ascii="Times New Roman" w:hAnsi="Times New Roman" w:eastAsia="宋体" w:cs="宋体"/>
                <w:i w:val="0"/>
                <w:iCs w:val="0"/>
                <w:color w:val="auto"/>
                <w:sz w:val="22"/>
                <w:szCs w:val="22"/>
                <w:u w:val="none"/>
              </w:rPr>
            </w:pPr>
          </w:p>
        </w:tc>
        <w:tc>
          <w:tcPr>
            <w:tcW w:w="1223" w:type="dxa"/>
            <w:tcBorders>
              <w:top w:val="nil"/>
              <w:left w:val="nil"/>
              <w:bottom w:val="nil"/>
              <w:right w:val="nil"/>
            </w:tcBorders>
            <w:shd w:val="clear" w:color="auto" w:fill="auto"/>
            <w:vAlign w:val="center"/>
          </w:tcPr>
          <w:p w14:paraId="3A97F68B">
            <w:pPr>
              <w:jc w:val="center"/>
              <w:rPr>
                <w:rFonts w:hint="eastAsia" w:ascii="Times New Roman" w:hAnsi="Times New Roman" w:eastAsia="宋体" w:cs="宋体"/>
                <w:i w:val="0"/>
                <w:iCs w:val="0"/>
                <w:color w:val="auto"/>
                <w:sz w:val="22"/>
                <w:szCs w:val="22"/>
                <w:u w:val="none"/>
              </w:rPr>
            </w:pPr>
          </w:p>
        </w:tc>
        <w:tc>
          <w:tcPr>
            <w:tcW w:w="236" w:type="dxa"/>
            <w:tcBorders>
              <w:top w:val="nil"/>
              <w:left w:val="nil"/>
              <w:bottom w:val="nil"/>
              <w:right w:val="nil"/>
            </w:tcBorders>
            <w:shd w:val="clear" w:color="auto" w:fill="auto"/>
            <w:vAlign w:val="center"/>
          </w:tcPr>
          <w:p w14:paraId="0D9F0475">
            <w:pPr>
              <w:jc w:val="center"/>
              <w:rPr>
                <w:rFonts w:hint="eastAsia" w:ascii="Times New Roman" w:hAnsi="Times New Roman" w:eastAsia="宋体" w:cs="宋体"/>
                <w:i w:val="0"/>
                <w:iCs w:val="0"/>
                <w:color w:val="auto"/>
                <w:sz w:val="22"/>
                <w:szCs w:val="22"/>
                <w:u w:val="none"/>
              </w:rPr>
            </w:pPr>
          </w:p>
        </w:tc>
      </w:tr>
      <w:tr w14:paraId="1503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9223" w:type="dxa"/>
            <w:gridSpan w:val="6"/>
            <w:tcBorders>
              <w:top w:val="nil"/>
              <w:left w:val="nil"/>
              <w:bottom w:val="nil"/>
              <w:right w:val="nil"/>
            </w:tcBorders>
            <w:shd w:val="clear" w:color="auto" w:fill="auto"/>
            <w:vAlign w:val="center"/>
          </w:tcPr>
          <w:p w14:paraId="264F8D01">
            <w:pPr>
              <w:keepNext w:val="0"/>
              <w:keepLines w:val="0"/>
              <w:pageBreakBefore w:val="0"/>
              <w:widowControl/>
              <w:suppressLineNumbers w:val="0"/>
              <w:kinsoku/>
              <w:wordWrap/>
              <w:overflowPunct/>
              <w:topLinePunct w:val="0"/>
              <w:autoSpaceDE/>
              <w:autoSpaceDN/>
              <w:bidi w:val="0"/>
              <w:adjustRightInd/>
              <w:snapToGrid/>
              <w:spacing w:line="500" w:lineRule="exact"/>
              <w:ind w:left="-1260" w:leftChars="-600" w:firstLine="0" w:firstLineChars="0"/>
              <w:jc w:val="center"/>
              <w:textAlignment w:val="center"/>
              <w:rPr>
                <w:rFonts w:hint="eastAsia" w:ascii="Times New Roman" w:hAnsi="Times New Roman" w:eastAsia="方正小标宋简体" w:cstheme="minorBidi"/>
                <w:b w:val="0"/>
                <w:bCs w:val="0"/>
                <w:color w:val="auto"/>
                <w:kern w:val="2"/>
                <w:sz w:val="36"/>
                <w:szCs w:val="36"/>
                <w:lang w:val="en-US" w:eastAsia="zh-CN" w:bidi="ar-SA"/>
              </w:rPr>
            </w:pPr>
            <w:r>
              <w:rPr>
                <w:rFonts w:hint="eastAsia" w:ascii="Times New Roman" w:hAnsi="Times New Roman" w:eastAsia="方正小标宋简体" w:cstheme="minorBidi"/>
                <w:b w:val="0"/>
                <w:bCs w:val="0"/>
                <w:color w:val="auto"/>
                <w:kern w:val="2"/>
                <w:sz w:val="36"/>
                <w:szCs w:val="36"/>
                <w:lang w:val="en-US" w:eastAsia="zh-CN" w:bidi="ar-SA"/>
              </w:rPr>
              <w:t xml:space="preserve">       栖霞区2026年第二批市级农业专项资金安排计划表</w:t>
            </w:r>
          </w:p>
          <w:p w14:paraId="12FE8E26">
            <w:pPr>
              <w:keepNext w:val="0"/>
              <w:keepLines w:val="0"/>
              <w:pageBreakBefore w:val="0"/>
              <w:widowControl/>
              <w:suppressLineNumbers w:val="0"/>
              <w:kinsoku/>
              <w:wordWrap/>
              <w:overflowPunct/>
              <w:topLinePunct w:val="0"/>
              <w:autoSpaceDE/>
              <w:autoSpaceDN/>
              <w:bidi w:val="0"/>
              <w:adjustRightInd/>
              <w:snapToGrid/>
              <w:spacing w:line="500" w:lineRule="exact"/>
              <w:ind w:left="-1260" w:leftChars="-600" w:firstLine="720" w:firstLineChars="0"/>
              <w:jc w:val="center"/>
              <w:textAlignment w:val="center"/>
              <w:rPr>
                <w:rFonts w:hint="eastAsia" w:ascii="Times New Roman" w:hAnsi="Times New Roman" w:eastAsia="方正小标宋简体" w:cstheme="minorBidi"/>
                <w:b w:val="0"/>
                <w:bCs w:val="0"/>
                <w:color w:val="auto"/>
                <w:kern w:val="2"/>
                <w:sz w:val="36"/>
                <w:szCs w:val="36"/>
                <w:lang w:val="en-US" w:eastAsia="zh-CN" w:bidi="ar-SA"/>
              </w:rPr>
            </w:pPr>
          </w:p>
        </w:tc>
        <w:tc>
          <w:tcPr>
            <w:tcW w:w="236" w:type="dxa"/>
            <w:tcBorders>
              <w:top w:val="nil"/>
              <w:left w:val="nil"/>
              <w:bottom w:val="nil"/>
              <w:right w:val="nil"/>
            </w:tcBorders>
            <w:shd w:val="clear" w:color="auto" w:fill="auto"/>
            <w:vAlign w:val="center"/>
          </w:tcPr>
          <w:p w14:paraId="5FDCD169">
            <w:pPr>
              <w:keepNext w:val="0"/>
              <w:keepLines w:val="0"/>
              <w:widowControl/>
              <w:suppressLineNumbers w:val="0"/>
              <w:jc w:val="center"/>
              <w:textAlignment w:val="center"/>
              <w:rPr>
                <w:rFonts w:hint="eastAsia" w:ascii="Times New Roman" w:hAnsi="Times New Roman" w:eastAsia="宋体" w:cs="宋体"/>
                <w:i w:val="0"/>
                <w:iCs w:val="0"/>
                <w:color w:val="auto"/>
                <w:kern w:val="0"/>
                <w:sz w:val="36"/>
                <w:szCs w:val="36"/>
                <w:u w:val="none"/>
                <w:lang w:val="en-US" w:eastAsia="zh-CN" w:bidi="ar"/>
              </w:rPr>
            </w:pPr>
          </w:p>
        </w:tc>
      </w:tr>
      <w:tr w14:paraId="62A62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87" w:hRule="atLeast"/>
        </w:trPr>
        <w:tc>
          <w:tcPr>
            <w:tcW w:w="769" w:type="dxa"/>
            <w:tcBorders>
              <w:top w:val="single" w:color="000000" w:sz="4" w:space="0"/>
              <w:left w:val="single" w:color="000000" w:sz="4" w:space="0"/>
              <w:right w:val="single" w:color="000000" w:sz="4" w:space="0"/>
            </w:tcBorders>
            <w:shd w:val="clear" w:color="auto" w:fill="auto"/>
            <w:vAlign w:val="center"/>
          </w:tcPr>
          <w:p w14:paraId="2505E2A1">
            <w:pPr>
              <w:keepNext w:val="0"/>
              <w:keepLines w:val="0"/>
              <w:widowControl/>
              <w:suppressLineNumbers w:val="0"/>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序号</w:t>
            </w:r>
          </w:p>
        </w:tc>
        <w:tc>
          <w:tcPr>
            <w:tcW w:w="25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75B0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rPr>
            </w:pPr>
            <w:r>
              <w:rPr>
                <w:rFonts w:hint="eastAsia" w:ascii="Times New Roman" w:hAnsi="Times New Roman" w:eastAsia="黑体" w:cs="黑体"/>
                <w:i w:val="0"/>
                <w:iCs w:val="0"/>
                <w:color w:val="auto"/>
                <w:kern w:val="0"/>
                <w:sz w:val="24"/>
                <w:szCs w:val="24"/>
                <w:u w:val="none"/>
                <w:lang w:val="en-US" w:eastAsia="zh-CN" w:bidi="ar"/>
              </w:rPr>
              <w:t>支持方向名称</w:t>
            </w:r>
          </w:p>
        </w:tc>
        <w:tc>
          <w:tcPr>
            <w:tcW w:w="3506" w:type="dxa"/>
            <w:tcBorders>
              <w:top w:val="single" w:color="000000" w:sz="4" w:space="0"/>
              <w:left w:val="single" w:color="000000" w:sz="4" w:space="0"/>
              <w:bottom w:val="single" w:color="000000" w:sz="4" w:space="0"/>
              <w:right w:val="single" w:color="auto" w:sz="4" w:space="0"/>
            </w:tcBorders>
            <w:shd w:val="clear" w:color="auto" w:fill="auto"/>
            <w:vAlign w:val="center"/>
          </w:tcPr>
          <w:p w14:paraId="72A48CE8">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任务名称（内容）</w:t>
            </w:r>
          </w:p>
        </w:tc>
        <w:tc>
          <w:tcPr>
            <w:tcW w:w="1127" w:type="dxa"/>
            <w:tcBorders>
              <w:top w:val="single" w:color="000000" w:sz="4" w:space="0"/>
              <w:left w:val="single" w:color="auto" w:sz="4" w:space="0"/>
              <w:right w:val="single" w:color="auto" w:sz="4" w:space="0"/>
            </w:tcBorders>
            <w:shd w:val="clear" w:color="auto" w:fill="auto"/>
            <w:vAlign w:val="center"/>
          </w:tcPr>
          <w:p w14:paraId="7BA2C914">
            <w:pPr>
              <w:keepNext w:val="0"/>
              <w:keepLines w:val="0"/>
              <w:widowControl/>
              <w:suppressLineNumbers w:val="0"/>
              <w:jc w:val="center"/>
              <w:textAlignment w:val="center"/>
              <w:rPr>
                <w:rFonts w:hint="eastAsia"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资金</w:t>
            </w:r>
          </w:p>
          <w:p w14:paraId="6FAD2722">
            <w:pPr>
              <w:keepNext w:val="0"/>
              <w:keepLines w:val="0"/>
              <w:widowControl/>
              <w:suppressLineNumbers w:val="0"/>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（万元）</w:t>
            </w:r>
          </w:p>
        </w:tc>
        <w:tc>
          <w:tcPr>
            <w:tcW w:w="1223" w:type="dxa"/>
            <w:tcBorders>
              <w:top w:val="single" w:color="000000" w:sz="4" w:space="0"/>
              <w:left w:val="single" w:color="auto" w:sz="4" w:space="0"/>
              <w:right w:val="single" w:color="000000" w:sz="4" w:space="0"/>
            </w:tcBorders>
            <w:shd w:val="clear" w:color="auto" w:fill="auto"/>
            <w:vAlign w:val="center"/>
          </w:tcPr>
          <w:p w14:paraId="6E7A1510">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rPr>
            </w:pPr>
            <w:r>
              <w:rPr>
                <w:rFonts w:hint="eastAsia" w:ascii="Times New Roman" w:hAnsi="Times New Roman" w:eastAsia="黑体" w:cs="黑体"/>
                <w:i w:val="0"/>
                <w:iCs w:val="0"/>
                <w:color w:val="auto"/>
                <w:kern w:val="0"/>
                <w:sz w:val="24"/>
                <w:szCs w:val="24"/>
                <w:u w:val="none"/>
                <w:lang w:val="en-US" w:eastAsia="zh-CN" w:bidi="ar"/>
              </w:rPr>
              <w:t>牵头科室</w:t>
            </w:r>
          </w:p>
        </w:tc>
      </w:tr>
      <w:tr w14:paraId="4B814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91" w:hRule="atLeast"/>
        </w:trPr>
        <w:tc>
          <w:tcPr>
            <w:tcW w:w="6873" w:type="dxa"/>
            <w:gridSpan w:val="4"/>
            <w:tcBorders>
              <w:top w:val="single" w:color="000000" w:sz="4" w:space="0"/>
              <w:left w:val="single" w:color="000000" w:sz="4" w:space="0"/>
              <w:right w:val="single" w:color="000000" w:sz="4" w:space="0"/>
            </w:tcBorders>
            <w:shd w:val="clear" w:color="auto" w:fill="auto"/>
            <w:vAlign w:val="center"/>
          </w:tcPr>
          <w:p w14:paraId="0BA83E4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黑体" w:cs="黑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总计</w:t>
            </w:r>
          </w:p>
        </w:tc>
        <w:tc>
          <w:tcPr>
            <w:tcW w:w="1127" w:type="dxa"/>
            <w:tcBorders>
              <w:top w:val="single" w:color="000000" w:sz="4" w:space="0"/>
              <w:left w:val="single" w:color="000000" w:sz="4" w:space="0"/>
              <w:right w:val="single" w:color="000000" w:sz="4" w:space="0"/>
            </w:tcBorders>
            <w:shd w:val="clear" w:color="auto" w:fill="auto"/>
            <w:vAlign w:val="center"/>
          </w:tcPr>
          <w:p w14:paraId="23982DD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116</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9D0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p>
        </w:tc>
      </w:tr>
      <w:tr w14:paraId="2DA2D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376" w:hRule="atLeast"/>
        </w:trPr>
        <w:tc>
          <w:tcPr>
            <w:tcW w:w="6873" w:type="dxa"/>
            <w:gridSpan w:val="4"/>
            <w:tcBorders>
              <w:top w:val="single" w:color="000000" w:sz="4" w:space="0"/>
              <w:left w:val="single" w:color="000000" w:sz="4" w:space="0"/>
              <w:right w:val="single" w:color="000000" w:sz="4" w:space="0"/>
            </w:tcBorders>
            <w:shd w:val="clear" w:color="auto" w:fill="auto"/>
            <w:vAlign w:val="center"/>
          </w:tcPr>
          <w:p w14:paraId="00C9C18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现代农业发展专项</w:t>
            </w:r>
          </w:p>
        </w:tc>
        <w:tc>
          <w:tcPr>
            <w:tcW w:w="1127" w:type="dxa"/>
            <w:tcBorders>
              <w:top w:val="single" w:color="000000" w:sz="4" w:space="0"/>
              <w:left w:val="single" w:color="000000" w:sz="4" w:space="0"/>
              <w:right w:val="single" w:color="000000" w:sz="4" w:space="0"/>
            </w:tcBorders>
            <w:shd w:val="clear" w:color="auto" w:fill="auto"/>
            <w:vAlign w:val="center"/>
          </w:tcPr>
          <w:p w14:paraId="2BB52AA7">
            <w:pPr>
              <w:keepNext w:val="0"/>
              <w:keepLines w:val="0"/>
              <w:widowControl/>
              <w:suppressLineNumbers w:val="0"/>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44</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946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0"/>
                <w:szCs w:val="20"/>
                <w:u w:val="none"/>
                <w:lang w:val="en-US" w:eastAsia="zh-CN" w:bidi="ar"/>
              </w:rPr>
            </w:pPr>
          </w:p>
        </w:tc>
      </w:tr>
      <w:tr w14:paraId="4C118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007" w:hRule="atLeast"/>
        </w:trPr>
        <w:tc>
          <w:tcPr>
            <w:tcW w:w="769" w:type="dxa"/>
            <w:tcBorders>
              <w:top w:val="single" w:color="000000" w:sz="4" w:space="0"/>
              <w:left w:val="single" w:color="000000" w:sz="4" w:space="0"/>
              <w:bottom w:val="single" w:color="auto" w:sz="4" w:space="0"/>
              <w:right w:val="single" w:color="auto" w:sz="4" w:space="0"/>
            </w:tcBorders>
            <w:shd w:val="clear" w:color="auto" w:fill="auto"/>
            <w:vAlign w:val="center"/>
          </w:tcPr>
          <w:p w14:paraId="591DAB95">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w:t>
            </w:r>
          </w:p>
        </w:tc>
        <w:tc>
          <w:tcPr>
            <w:tcW w:w="2598" w:type="dxa"/>
            <w:gridSpan w:val="2"/>
            <w:tcBorders>
              <w:top w:val="single" w:color="000000" w:sz="4" w:space="0"/>
              <w:left w:val="single" w:color="000000" w:sz="4" w:space="0"/>
              <w:bottom w:val="single" w:color="auto" w:sz="4" w:space="0"/>
              <w:right w:val="single" w:color="auto" w:sz="4" w:space="0"/>
            </w:tcBorders>
            <w:shd w:val="clear" w:color="auto" w:fill="auto"/>
            <w:vAlign w:val="center"/>
          </w:tcPr>
          <w:p w14:paraId="6F8BD31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新产业新业态培育</w:t>
            </w:r>
          </w:p>
        </w:tc>
        <w:tc>
          <w:tcPr>
            <w:tcW w:w="3506" w:type="dxa"/>
            <w:tcBorders>
              <w:top w:val="single" w:color="000000" w:sz="4" w:space="0"/>
              <w:left w:val="single" w:color="000000" w:sz="4" w:space="0"/>
              <w:right w:val="single" w:color="000000" w:sz="4" w:space="0"/>
            </w:tcBorders>
            <w:shd w:val="clear" w:color="auto" w:fill="auto"/>
            <w:vAlign w:val="center"/>
          </w:tcPr>
          <w:p w14:paraId="21DF98C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支持区级以上农业龙头企业建设农产品加工设施设备、生产加工设施设备（含生产加工端冷藏保鲜设施，不含基础建设）</w:t>
            </w:r>
          </w:p>
        </w:tc>
        <w:tc>
          <w:tcPr>
            <w:tcW w:w="1127" w:type="dxa"/>
            <w:tcBorders>
              <w:top w:val="single" w:color="000000" w:sz="4" w:space="0"/>
              <w:left w:val="single" w:color="000000" w:sz="4" w:space="0"/>
              <w:right w:val="single" w:color="000000" w:sz="4" w:space="0"/>
            </w:tcBorders>
            <w:shd w:val="clear" w:color="auto" w:fill="auto"/>
            <w:vAlign w:val="center"/>
          </w:tcPr>
          <w:p w14:paraId="06BFF5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25</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E4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农村产业发展科</w:t>
            </w:r>
          </w:p>
        </w:tc>
      </w:tr>
      <w:tr w14:paraId="404DF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8" w:hRule="atLeast"/>
        </w:trPr>
        <w:tc>
          <w:tcPr>
            <w:tcW w:w="769" w:type="dxa"/>
            <w:tcBorders>
              <w:top w:val="single" w:color="auto" w:sz="4" w:space="0"/>
              <w:left w:val="single" w:color="000000" w:sz="4" w:space="0"/>
              <w:bottom w:val="single" w:color="auto" w:sz="4" w:space="0"/>
              <w:right w:val="single" w:color="auto" w:sz="4" w:space="0"/>
            </w:tcBorders>
            <w:shd w:val="clear" w:color="auto" w:fill="auto"/>
            <w:vAlign w:val="center"/>
          </w:tcPr>
          <w:p w14:paraId="6DF8A5C6">
            <w:pPr>
              <w:keepNext w:val="0"/>
              <w:keepLines w:val="0"/>
              <w:widowControl/>
              <w:suppressLineNumbers w:val="0"/>
              <w:jc w:val="center"/>
              <w:textAlignment w:val="center"/>
              <w:rPr>
                <w:rFonts w:hint="eastAsia"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2</w:t>
            </w:r>
          </w:p>
        </w:tc>
        <w:tc>
          <w:tcPr>
            <w:tcW w:w="2598" w:type="dxa"/>
            <w:gridSpan w:val="2"/>
            <w:tcBorders>
              <w:top w:val="single" w:color="auto" w:sz="4" w:space="0"/>
              <w:left w:val="single" w:color="000000" w:sz="4" w:space="0"/>
              <w:bottom w:val="single" w:color="auto" w:sz="4" w:space="0"/>
              <w:right w:val="single" w:color="auto" w:sz="4" w:space="0"/>
            </w:tcBorders>
            <w:shd w:val="clear" w:color="auto" w:fill="auto"/>
            <w:vAlign w:val="center"/>
          </w:tcPr>
          <w:p w14:paraId="618CAF4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农村合作经济</w:t>
            </w:r>
          </w:p>
        </w:tc>
        <w:tc>
          <w:tcPr>
            <w:tcW w:w="3506" w:type="dxa"/>
            <w:tcBorders>
              <w:top w:val="single" w:color="auto" w:sz="4" w:space="0"/>
              <w:left w:val="single" w:color="auto" w:sz="4" w:space="0"/>
              <w:bottom w:val="single" w:color="auto" w:sz="4" w:space="0"/>
              <w:right w:val="single" w:color="auto" w:sz="4" w:space="0"/>
            </w:tcBorders>
            <w:shd w:val="clear" w:color="auto" w:fill="auto"/>
            <w:vAlign w:val="center"/>
          </w:tcPr>
          <w:p w14:paraId="23C9147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发展新型农村集体经济资金：</w:t>
            </w:r>
            <w:r>
              <w:rPr>
                <w:rFonts w:hint="default" w:ascii="Times New Roman" w:hAnsi="Times New Roman" w:eastAsia="方正仿宋_GBK" w:cs="方正仿宋_GBK"/>
                <w:i w:val="0"/>
                <w:iCs w:val="0"/>
                <w:color w:val="auto"/>
                <w:kern w:val="0"/>
                <w:sz w:val="24"/>
                <w:szCs w:val="24"/>
                <w:u w:val="none"/>
                <w:lang w:val="en-US" w:eastAsia="zh-CN" w:bidi="ar"/>
              </w:rPr>
              <w:t>龙潭街道陈店村水一方产业融合发展设施农用项目</w:t>
            </w:r>
            <w:r>
              <w:rPr>
                <w:rFonts w:hint="eastAsia" w:ascii="Times New Roman" w:hAnsi="Times New Roman" w:eastAsia="方正仿宋_GBK" w:cs="方正仿宋_GBK"/>
                <w:i w:val="0"/>
                <w:iCs w:val="0"/>
                <w:color w:val="auto"/>
                <w:kern w:val="0"/>
                <w:sz w:val="24"/>
                <w:szCs w:val="24"/>
                <w:u w:val="none"/>
                <w:lang w:val="en-US" w:eastAsia="zh-CN" w:bidi="ar"/>
              </w:rPr>
              <w:t>、八卦洲街道外沙村外婆湾民宿集聚区（三期）打造提升建设项目</w:t>
            </w:r>
          </w:p>
        </w:tc>
        <w:tc>
          <w:tcPr>
            <w:tcW w:w="1127" w:type="dxa"/>
            <w:tcBorders>
              <w:top w:val="single" w:color="auto" w:sz="4" w:space="0"/>
              <w:left w:val="single" w:color="auto" w:sz="4" w:space="0"/>
              <w:bottom w:val="single" w:color="auto" w:sz="4" w:space="0"/>
              <w:right w:val="single" w:color="000000" w:sz="4" w:space="0"/>
            </w:tcBorders>
            <w:shd w:val="clear" w:color="auto" w:fill="auto"/>
            <w:vAlign w:val="center"/>
          </w:tcPr>
          <w:p w14:paraId="074417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黑体"/>
                <w:i w:val="0"/>
                <w:iCs w:val="0"/>
                <w:color w:val="auto"/>
                <w:sz w:val="24"/>
                <w:szCs w:val="24"/>
                <w:u w:val="none"/>
                <w:lang w:val="en-US" w:eastAsia="zh-CN"/>
              </w:rPr>
            </w:pPr>
            <w:r>
              <w:rPr>
                <w:rFonts w:hint="eastAsia" w:ascii="Times New Roman" w:hAnsi="Times New Roman" w:eastAsia="黑体" w:cs="黑体"/>
                <w:i w:val="0"/>
                <w:iCs w:val="0"/>
                <w:color w:val="auto"/>
                <w:sz w:val="24"/>
                <w:szCs w:val="24"/>
                <w:u w:val="none"/>
                <w:lang w:val="en-US" w:eastAsia="zh-CN"/>
              </w:rPr>
              <w:t>19</w:t>
            </w:r>
          </w:p>
        </w:tc>
        <w:tc>
          <w:tcPr>
            <w:tcW w:w="1223" w:type="dxa"/>
            <w:tcBorders>
              <w:top w:val="single" w:color="000000" w:sz="4" w:space="0"/>
              <w:left w:val="single" w:color="000000" w:sz="4" w:space="0"/>
              <w:right w:val="single" w:color="000000" w:sz="4" w:space="0"/>
            </w:tcBorders>
            <w:shd w:val="clear" w:color="auto" w:fill="auto"/>
            <w:vAlign w:val="center"/>
          </w:tcPr>
          <w:p w14:paraId="10B095E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农村统筹发展科</w:t>
            </w:r>
          </w:p>
        </w:tc>
      </w:tr>
      <w:tr w14:paraId="30EA0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23E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Times New Roman" w:hAnsi="Times New Roman" w:eastAsia="宋体" w:cs="宋体"/>
                <w:i w:val="0"/>
                <w:iCs w:val="0"/>
                <w:color w:val="auto"/>
                <w:kern w:val="0"/>
                <w:sz w:val="24"/>
                <w:szCs w:val="24"/>
                <w:u w:val="none"/>
                <w:lang w:val="en-US" w:eastAsia="zh-CN" w:bidi="ar"/>
              </w:rPr>
            </w:pPr>
          </w:p>
        </w:tc>
        <w:tc>
          <w:tcPr>
            <w:tcW w:w="61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03191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黑体" w:cs="黑体"/>
                <w:i w:val="0"/>
                <w:iCs w:val="0"/>
                <w:color w:val="auto"/>
                <w:kern w:val="0"/>
                <w:sz w:val="24"/>
                <w:szCs w:val="24"/>
                <w:u w:val="none"/>
                <w:lang w:val="en-US" w:eastAsia="zh-CN" w:bidi="ar"/>
              </w:rPr>
              <w:t>农业农村公共服务专项</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463C">
            <w:pPr>
              <w:keepNext w:val="0"/>
              <w:keepLines w:val="0"/>
              <w:widowControl/>
              <w:suppressLineNumbers w:val="0"/>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黑体" w:cs="黑体"/>
                <w:i w:val="0"/>
                <w:iCs w:val="0"/>
                <w:color w:val="auto"/>
                <w:sz w:val="24"/>
                <w:szCs w:val="24"/>
                <w:u w:val="none"/>
                <w:lang w:val="en-US" w:eastAsia="zh-CN"/>
              </w:rPr>
              <w:t>72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1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宋体" w:cs="宋体"/>
                <w:i w:val="0"/>
                <w:iCs w:val="0"/>
                <w:color w:val="auto"/>
                <w:kern w:val="0"/>
                <w:sz w:val="24"/>
                <w:szCs w:val="24"/>
                <w:u w:val="none"/>
                <w:lang w:val="en-US" w:eastAsia="zh-CN" w:bidi="ar"/>
              </w:rPr>
            </w:pPr>
          </w:p>
        </w:tc>
      </w:tr>
      <w:tr w14:paraId="40E08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759"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9EA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12</w:t>
            </w:r>
          </w:p>
        </w:tc>
        <w:tc>
          <w:tcPr>
            <w:tcW w:w="2593" w:type="dxa"/>
            <w:tcBorders>
              <w:top w:val="single" w:color="000000" w:sz="4" w:space="0"/>
              <w:left w:val="single" w:color="000000" w:sz="4" w:space="0"/>
              <w:bottom w:val="single" w:color="000000" w:sz="4" w:space="0"/>
              <w:right w:val="single" w:color="auto" w:sz="4" w:space="0"/>
            </w:tcBorders>
            <w:shd w:val="clear" w:color="auto" w:fill="auto"/>
            <w:vAlign w:val="center"/>
          </w:tcPr>
          <w:p w14:paraId="63C9D9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现代种业发展</w:t>
            </w:r>
          </w:p>
        </w:tc>
        <w:tc>
          <w:tcPr>
            <w:tcW w:w="3511"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2F4C425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现代种业发展项目</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990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宋体"/>
                <w:i w:val="0"/>
                <w:iCs w:val="0"/>
                <w:color w:val="auto"/>
                <w:kern w:val="0"/>
                <w:sz w:val="24"/>
                <w:szCs w:val="24"/>
                <w:u w:val="none"/>
                <w:lang w:val="en-US" w:eastAsia="zh-CN" w:bidi="ar"/>
              </w:rPr>
            </w:pPr>
            <w:r>
              <w:rPr>
                <w:rFonts w:hint="eastAsia" w:ascii="Times New Roman" w:hAnsi="Times New Roman" w:eastAsia="宋体" w:cs="宋体"/>
                <w:i w:val="0"/>
                <w:iCs w:val="0"/>
                <w:color w:val="auto"/>
                <w:kern w:val="0"/>
                <w:sz w:val="24"/>
                <w:szCs w:val="24"/>
                <w:u w:val="none"/>
                <w:lang w:val="en-US" w:eastAsia="zh-CN" w:bidi="ar"/>
              </w:rPr>
              <w:t>72</w:t>
            </w:r>
          </w:p>
        </w:tc>
        <w:tc>
          <w:tcPr>
            <w:tcW w:w="12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95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Times New Roman" w:hAnsi="Times New Roman" w:eastAsia="方正仿宋_GBK" w:cs="方正仿宋_GBK"/>
                <w:i w:val="0"/>
                <w:iCs w:val="0"/>
                <w:color w:val="auto"/>
                <w:kern w:val="0"/>
                <w:sz w:val="24"/>
                <w:szCs w:val="24"/>
                <w:u w:val="none"/>
                <w:lang w:val="en-US" w:eastAsia="zh-CN" w:bidi="ar"/>
              </w:rPr>
            </w:pPr>
            <w:r>
              <w:rPr>
                <w:rFonts w:hint="eastAsia" w:ascii="Times New Roman" w:hAnsi="Times New Roman" w:eastAsia="方正仿宋_GBK" w:cs="方正仿宋_GBK"/>
                <w:i w:val="0"/>
                <w:iCs w:val="0"/>
                <w:color w:val="auto"/>
                <w:kern w:val="0"/>
                <w:sz w:val="24"/>
                <w:szCs w:val="24"/>
                <w:u w:val="none"/>
                <w:lang w:val="en-US" w:eastAsia="zh-CN" w:bidi="ar"/>
              </w:rPr>
              <w:t>农业科</w:t>
            </w:r>
          </w:p>
        </w:tc>
      </w:tr>
    </w:tbl>
    <w:p w14:paraId="68FB499A">
      <w:pPr>
        <w:rPr>
          <w:rFonts w:ascii="Times New Roman" w:hAnsi="Times New Roman"/>
          <w:color w:val="auto"/>
        </w:rPr>
      </w:pPr>
      <w:r>
        <w:rPr>
          <w:rFonts w:ascii="Times New Roman" w:hAnsi="Times New Roman"/>
          <w:color w:val="auto"/>
        </w:rPr>
        <w:br w:type="page"/>
      </w:r>
    </w:p>
    <w:tbl>
      <w:tblPr>
        <w:tblStyle w:val="11"/>
        <w:tblpPr w:leftFromText="180" w:rightFromText="180" w:vertAnchor="text" w:horzAnchor="page" w:tblpX="1582" w:tblpY="12144"/>
        <w:tblOverlap w:val="never"/>
        <w:tblW w:w="8948" w:type="dxa"/>
        <w:tblInd w:w="0" w:type="dxa"/>
        <w:tblBorders>
          <w:top w:val="single" w:color="auto" w:sz="8" w:space="0"/>
          <w:left w:val="none" w:color="auto" w:sz="0" w:space="0"/>
          <w:bottom w:val="single" w:color="auto" w:sz="8" w:space="0"/>
          <w:right w:val="none" w:color="auto" w:sz="0" w:space="0"/>
          <w:insideH w:val="single" w:color="auto" w:sz="12" w:space="0"/>
          <w:insideV w:val="none" w:color="auto" w:sz="0" w:space="0"/>
        </w:tblBorders>
        <w:tblLayout w:type="fixed"/>
        <w:tblCellMar>
          <w:top w:w="0" w:type="dxa"/>
          <w:left w:w="108" w:type="dxa"/>
          <w:bottom w:w="0" w:type="dxa"/>
          <w:right w:w="108" w:type="dxa"/>
        </w:tblCellMar>
      </w:tblPr>
      <w:tblGrid>
        <w:gridCol w:w="8948"/>
      </w:tblGrid>
      <w:tr w14:paraId="10740AFF">
        <w:tblPrEx>
          <w:tblBorders>
            <w:top w:val="single" w:color="auto" w:sz="8" w:space="0"/>
            <w:left w:val="none" w:color="auto" w:sz="0" w:space="0"/>
            <w:bottom w:val="single" w:color="auto" w:sz="8" w:space="0"/>
            <w:right w:val="none" w:color="auto" w:sz="0" w:space="0"/>
            <w:insideH w:val="single" w:color="auto" w:sz="12" w:space="0"/>
            <w:insideV w:val="none" w:color="auto" w:sz="0" w:space="0"/>
          </w:tblBorders>
          <w:tblCellMar>
            <w:top w:w="0" w:type="dxa"/>
            <w:left w:w="108" w:type="dxa"/>
            <w:bottom w:w="0" w:type="dxa"/>
            <w:right w:w="108" w:type="dxa"/>
          </w:tblCellMar>
        </w:tblPrEx>
        <w:tc>
          <w:tcPr>
            <w:tcW w:w="8948" w:type="dxa"/>
            <w:tcBorders>
              <w:tl2br w:val="nil"/>
              <w:tr2bl w:val="nil"/>
            </w:tcBorders>
          </w:tcPr>
          <w:p w14:paraId="7661B967">
            <w:pPr>
              <w:keepNext w:val="0"/>
              <w:keepLines w:val="0"/>
              <w:pageBreakBefore w:val="0"/>
              <w:kinsoku/>
              <w:wordWrap/>
              <w:overflowPunct/>
              <w:topLinePunct w:val="0"/>
              <w:autoSpaceDE/>
              <w:autoSpaceDN/>
              <w:bidi w:val="0"/>
              <w:spacing w:line="520" w:lineRule="exact"/>
              <w:textAlignment w:val="auto"/>
              <w:rPr>
                <w:rFonts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val="en-US" w:eastAsia="zh-CN"/>
              </w:rPr>
              <w:t>南京市</w:t>
            </w:r>
            <w:r>
              <w:rPr>
                <w:rFonts w:ascii="Times New Roman" w:hAnsi="Times New Roman" w:eastAsia="方正仿宋_GBK" w:cs="Times New Roman"/>
                <w:color w:val="auto"/>
                <w:kern w:val="0"/>
                <w:sz w:val="28"/>
                <w:szCs w:val="28"/>
              </w:rPr>
              <w:t xml:space="preserve">栖霞区农业农村局办公室   </w:t>
            </w:r>
            <w:r>
              <w:rPr>
                <w:rFonts w:hint="eastAsia" w:ascii="Times New Roman" w:hAnsi="Times New Roman" w:eastAsia="方正仿宋_GBK" w:cs="Times New Roman"/>
                <w:color w:val="auto"/>
                <w:kern w:val="0"/>
                <w:sz w:val="28"/>
                <w:szCs w:val="28"/>
                <w:lang w:val="en-US" w:eastAsia="zh-CN"/>
              </w:rPr>
              <w:t xml:space="preserve">        </w:t>
            </w:r>
            <w:r>
              <w:rPr>
                <w:rFonts w:ascii="Times New Roman" w:hAnsi="Times New Roman" w:eastAsia="方正仿宋_GBK" w:cs="Times New Roman"/>
                <w:color w:val="auto"/>
                <w:kern w:val="0"/>
                <w:sz w:val="28"/>
                <w:szCs w:val="28"/>
              </w:rPr>
              <w:t xml:space="preserve">  </w:t>
            </w:r>
            <w:r>
              <w:rPr>
                <w:rFonts w:hint="eastAsia" w:ascii="Times New Roman" w:hAnsi="Times New Roman" w:eastAsia="方正仿宋_GBK" w:cs="Times New Roman"/>
                <w:color w:val="auto"/>
                <w:kern w:val="0"/>
                <w:sz w:val="28"/>
                <w:szCs w:val="28"/>
                <w:lang w:val="en-US" w:eastAsia="zh-CN"/>
              </w:rPr>
              <w:t xml:space="preserve"> </w:t>
            </w:r>
            <w:r>
              <w:rPr>
                <w:rFonts w:ascii="Times New Roman" w:hAnsi="Times New Roman" w:eastAsia="方正仿宋_GBK" w:cs="Times New Roman"/>
                <w:color w:val="auto"/>
                <w:kern w:val="0"/>
                <w:sz w:val="28"/>
                <w:szCs w:val="28"/>
              </w:rPr>
              <w:t>202</w:t>
            </w:r>
            <w:r>
              <w:rPr>
                <w:rFonts w:hint="eastAsia" w:ascii="Times New Roman" w:hAnsi="Times New Roman" w:eastAsia="方正仿宋_GBK" w:cs="Times New Roman"/>
                <w:color w:val="auto"/>
                <w:kern w:val="0"/>
                <w:sz w:val="28"/>
                <w:szCs w:val="28"/>
                <w:lang w:val="en-US" w:eastAsia="zh-CN"/>
              </w:rPr>
              <w:t>6</w:t>
            </w:r>
            <w:r>
              <w:rPr>
                <w:rFonts w:ascii="Times New Roman" w:hAnsi="Times New Roman" w:eastAsia="方正仿宋_GBK" w:cs="Times New Roman"/>
                <w:color w:val="auto"/>
                <w:kern w:val="0"/>
                <w:sz w:val="28"/>
                <w:szCs w:val="28"/>
              </w:rPr>
              <w:t>年</w:t>
            </w:r>
            <w:r>
              <w:rPr>
                <w:rFonts w:hint="eastAsia" w:ascii="Times New Roman" w:hAnsi="Times New Roman" w:eastAsia="方正仿宋_GBK" w:cs="Times New Roman"/>
                <w:color w:val="auto"/>
                <w:kern w:val="0"/>
                <w:sz w:val="28"/>
                <w:szCs w:val="28"/>
                <w:lang w:val="en-US" w:eastAsia="zh-CN"/>
              </w:rPr>
              <w:t>8</w:t>
            </w:r>
            <w:r>
              <w:rPr>
                <w:rFonts w:ascii="Times New Roman" w:hAnsi="Times New Roman" w:eastAsia="方正仿宋_GBK" w:cs="Times New Roman"/>
                <w:color w:val="auto"/>
                <w:kern w:val="0"/>
                <w:sz w:val="28"/>
                <w:szCs w:val="28"/>
              </w:rPr>
              <w:t>月</w:t>
            </w:r>
            <w:r>
              <w:rPr>
                <w:rFonts w:hint="eastAsia" w:ascii="Times New Roman" w:hAnsi="Times New Roman" w:eastAsia="方正仿宋_GBK" w:cs="Times New Roman"/>
                <w:color w:val="auto"/>
                <w:kern w:val="0"/>
                <w:sz w:val="28"/>
                <w:szCs w:val="28"/>
                <w:lang w:val="en-US" w:eastAsia="zh-CN"/>
              </w:rPr>
              <w:t>13</w:t>
            </w:r>
            <w:r>
              <w:rPr>
                <w:rFonts w:ascii="Times New Roman" w:hAnsi="Times New Roman" w:eastAsia="方正仿宋_GBK" w:cs="Times New Roman"/>
                <w:color w:val="auto"/>
                <w:kern w:val="0"/>
                <w:sz w:val="28"/>
                <w:szCs w:val="28"/>
              </w:rPr>
              <w:t>日印发</w:t>
            </w:r>
          </w:p>
        </w:tc>
      </w:tr>
    </w:tbl>
    <w:p w14:paraId="2D8605E9">
      <w:pPr>
        <w:keepNext w:val="0"/>
        <w:keepLines w:val="0"/>
        <w:pageBreakBefore w:val="0"/>
        <w:widowControl w:val="0"/>
        <w:kinsoku/>
        <w:wordWrap/>
        <w:overflowPunct/>
        <w:topLinePunct w:val="0"/>
        <w:autoSpaceDE/>
        <w:autoSpaceDN/>
        <w:bidi w:val="0"/>
        <w:adjustRightInd/>
        <w:snapToGrid/>
        <w:spacing w:line="520" w:lineRule="atLeast"/>
        <w:ind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（此页无正文）</w:t>
      </w:r>
      <w:bookmarkStart w:id="1" w:name="_GoBack"/>
      <w:bookmarkEnd w:id="1"/>
    </w:p>
    <w:p w14:paraId="3002AFBE">
      <w:pPr>
        <w:pStyle w:val="6"/>
        <w:rPr>
          <w:color w:val="auto"/>
        </w:rPr>
      </w:pPr>
    </w:p>
    <w:sectPr>
      <w:footerReference r:id="rId5" w:type="default"/>
      <w:pgSz w:w="11906" w:h="16838"/>
      <w:pgMar w:top="2098" w:right="1474" w:bottom="1984" w:left="1587"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412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DC9B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5BDC9B8">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09825"/>
    <w:multiLevelType w:val="singleLevel"/>
    <w:tmpl w:val="96909825"/>
    <w:lvl w:ilvl="0" w:tentative="0">
      <w:start w:val="2"/>
      <w:numFmt w:val="decimal"/>
      <w:suff w:val="nothing"/>
      <w:lvlText w:val="%1、"/>
      <w:lvlJc w:val="left"/>
    </w:lvl>
  </w:abstractNum>
  <w:abstractNum w:abstractNumId="1">
    <w:nsid w:val="F7B7188B"/>
    <w:multiLevelType w:val="singleLevel"/>
    <w:tmpl w:val="F7B7188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A734B"/>
    <w:rsid w:val="04E03B18"/>
    <w:rsid w:val="0639688F"/>
    <w:rsid w:val="0B7F4B26"/>
    <w:rsid w:val="11054FE0"/>
    <w:rsid w:val="110B3E49"/>
    <w:rsid w:val="11823EC9"/>
    <w:rsid w:val="13FB26ED"/>
    <w:rsid w:val="15532927"/>
    <w:rsid w:val="175D1D1A"/>
    <w:rsid w:val="19694E9C"/>
    <w:rsid w:val="1B695FF9"/>
    <w:rsid w:val="1EBA64EF"/>
    <w:rsid w:val="20950498"/>
    <w:rsid w:val="20AD00C2"/>
    <w:rsid w:val="22571C6A"/>
    <w:rsid w:val="269126C4"/>
    <w:rsid w:val="26C708A4"/>
    <w:rsid w:val="2A8402DF"/>
    <w:rsid w:val="2D4F7BC4"/>
    <w:rsid w:val="2E3C302E"/>
    <w:rsid w:val="32655C61"/>
    <w:rsid w:val="3490548E"/>
    <w:rsid w:val="34C25AB8"/>
    <w:rsid w:val="360E33E8"/>
    <w:rsid w:val="379245B6"/>
    <w:rsid w:val="383E2BA0"/>
    <w:rsid w:val="3D81721B"/>
    <w:rsid w:val="3DA43295"/>
    <w:rsid w:val="44A40E9B"/>
    <w:rsid w:val="45924171"/>
    <w:rsid w:val="45D27255"/>
    <w:rsid w:val="46615340"/>
    <w:rsid w:val="47FF3D28"/>
    <w:rsid w:val="49183CD4"/>
    <w:rsid w:val="493C2BF3"/>
    <w:rsid w:val="49AF64E7"/>
    <w:rsid w:val="4F857513"/>
    <w:rsid w:val="50753ABE"/>
    <w:rsid w:val="509B43D4"/>
    <w:rsid w:val="50A43E41"/>
    <w:rsid w:val="55527879"/>
    <w:rsid w:val="5CF644C9"/>
    <w:rsid w:val="5CFC11B0"/>
    <w:rsid w:val="5FD657A3"/>
    <w:rsid w:val="603E3D20"/>
    <w:rsid w:val="630E529D"/>
    <w:rsid w:val="6412331D"/>
    <w:rsid w:val="68970F47"/>
    <w:rsid w:val="68C3379F"/>
    <w:rsid w:val="6B696089"/>
    <w:rsid w:val="6ECF7369"/>
    <w:rsid w:val="700E450F"/>
    <w:rsid w:val="74B05E54"/>
    <w:rsid w:val="76A24F2F"/>
    <w:rsid w:val="78FC3087"/>
    <w:rsid w:val="7B525710"/>
    <w:rsid w:val="7B77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0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autoRedefine/>
    <w:qFormat/>
    <w:uiPriority w:val="0"/>
    <w:pPr>
      <w:keepNext/>
      <w:keepLines/>
      <w:spacing w:before="340" w:beforeLines="0" w:beforeAutospacing="0" w:after="330" w:afterLines="0" w:afterAutospacing="0" w:line="576" w:lineRule="auto"/>
      <w:outlineLvl w:val="0"/>
    </w:pPr>
    <w:rPr>
      <w:rFonts w:eastAsia="黑体" w:asciiTheme="minorAscii" w:hAnsiTheme="minorAscii"/>
      <w:kern w:val="44"/>
      <w:sz w:val="32"/>
    </w:rPr>
  </w:style>
  <w:style w:type="paragraph" w:styleId="3">
    <w:name w:val="heading 2"/>
    <w:basedOn w:val="1"/>
    <w:next w:val="1"/>
    <w:autoRedefine/>
    <w:semiHidden/>
    <w:unhideWhenUsed/>
    <w:qFormat/>
    <w:uiPriority w:val="0"/>
    <w:pPr>
      <w:keepNext/>
      <w:keepLines/>
      <w:spacing w:beforeLines="0" w:beforeAutospacing="0" w:afterLines="0" w:afterAutospacing="0" w:line="520" w:lineRule="exact"/>
      <w:outlineLvl w:val="1"/>
    </w:pPr>
    <w:rPr>
      <w:rFonts w:ascii="Arial" w:hAnsi="Arial" w:eastAsia="仿宋_GB2312"/>
      <w:sz w:val="32"/>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pPr>
    <w:rPr>
      <w:rFonts w:ascii="Times New Roman" w:hAnsi="Times New Roman"/>
      <w:szCs w:val="20"/>
    </w:rPr>
  </w:style>
  <w:style w:type="paragraph" w:styleId="5">
    <w:name w:val="Body Text"/>
    <w:basedOn w:val="1"/>
    <w:unhideWhenUsed/>
    <w:qFormat/>
    <w:uiPriority w:val="99"/>
    <w:pPr>
      <w:spacing w:line="560" w:lineRule="exact"/>
      <w:ind w:firstLine="480" w:firstLineChars="200"/>
    </w:pPr>
    <w:rPr>
      <w:rFonts w:ascii="Times New Roman" w:hAnsi="Times New Roman"/>
      <w:sz w:val="28"/>
    </w:rPr>
  </w:style>
  <w:style w:type="paragraph" w:styleId="6">
    <w:name w:val="Body Text Indent 2"/>
    <w:basedOn w:val="1"/>
    <w:qFormat/>
    <w:uiPriority w:val="0"/>
    <w:pPr>
      <w:spacing w:after="120" w:line="480" w:lineRule="auto"/>
      <w:ind w:left="420" w:leftChars="200"/>
    </w:pPr>
  </w:style>
  <w:style w:type="paragraph" w:styleId="7">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1 Char"/>
    <w:link w:val="2"/>
    <w:autoRedefine/>
    <w:qFormat/>
    <w:uiPriority w:val="0"/>
    <w:rPr>
      <w:rFonts w:eastAsia="黑体" w:asciiTheme="minorAscii" w:hAnsiTheme="minorAscii"/>
      <w:kern w:val="44"/>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1748</Words>
  <Characters>1880</Characters>
  <Lines>0</Lines>
  <Paragraphs>0</Paragraphs>
  <TotalTime>19</TotalTime>
  <ScaleCrop>false</ScaleCrop>
  <LinksUpToDate>false</LinksUpToDate>
  <CharactersWithSpaces>2009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禾木</cp:lastModifiedBy>
  <cp:lastPrinted>2026-06-26T07:38:00Z</cp:lastPrinted>
  <dcterms:modified xsi:type="dcterms:W3CDTF">2026-08-13T08:20:54Z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78AF823B25334AA0922044F6DA7206D6</vt:lpwstr>
  </property>
  <property fmtid="{D5CDD505-2E9C-101B-9397-08002B2CF9AE}" pid="4" name="KSOTemplateDocerSaveRecord">
    <vt:lpwstr>eyJoZGlkIjoiNzdmN2E2MWViMWNkZWJlMDU1MWE2YjU0ZTI3NzhiMmQiLCJ1c2VySWQiOiIzNDU4NzE3MTYifQ==</vt:lpwstr>
  </property>
</Properties>
</file>