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54788">
      <w:pPr>
        <w:spacing w:line="580" w:lineRule="exact"/>
        <w:rPr>
          <w:rFonts w:hint="eastAsia" w:ascii="黑体" w:hAnsi="黑体" w:eastAsia="黑体" w:cs="黑体"/>
          <w:sz w:val="32"/>
          <w:szCs w:val="32"/>
        </w:rPr>
      </w:pPr>
      <w:r>
        <w:rPr>
          <w:rFonts w:hint="eastAsia" w:ascii="黑体" w:hAnsi="黑体" w:eastAsia="黑体" w:cs="黑体"/>
          <w:sz w:val="32"/>
          <w:szCs w:val="32"/>
        </w:rPr>
        <w:t>附件</w:t>
      </w:r>
    </w:p>
    <w:p w14:paraId="194623D8">
      <w:pPr>
        <w:spacing w:line="580" w:lineRule="exact"/>
        <w:jc w:val="center"/>
        <w:rPr>
          <w:rFonts w:hint="eastAsia" w:ascii="方正小标宋简体" w:hAnsi="方正小标宋简体" w:eastAsia="方正小标宋简体" w:cs="方正小标宋简体"/>
          <w:w w:val="90"/>
          <w:sz w:val="44"/>
          <w:szCs w:val="44"/>
        </w:rPr>
      </w:pPr>
    </w:p>
    <w:p w14:paraId="32D9DD7A">
      <w:pPr>
        <w:spacing w:line="580" w:lineRule="exact"/>
        <w:jc w:val="center"/>
        <w:rPr>
          <w:rFonts w:hint="eastAsia" w:ascii="方正小标宋简体" w:hAnsi="方正小标宋简体" w:eastAsia="方正小标宋简体" w:cs="方正小标宋简体"/>
          <w:w w:val="90"/>
          <w:sz w:val="44"/>
          <w:szCs w:val="44"/>
          <w:lang w:eastAsia="zh-CN"/>
        </w:rPr>
      </w:pPr>
      <w:r>
        <w:rPr>
          <w:rFonts w:hint="eastAsia" w:ascii="方正小标宋简体" w:hAnsi="方正小标宋简体" w:eastAsia="方正小标宋简体" w:cs="方正小标宋简体"/>
          <w:w w:val="90"/>
          <w:sz w:val="44"/>
          <w:szCs w:val="44"/>
        </w:rPr>
        <w:t>关于加强和规范南京市栖霞区对外开放口岸限定区域管理的通告</w:t>
      </w:r>
      <w:r>
        <w:rPr>
          <w:rFonts w:hint="eastAsia" w:ascii="方正小标宋简体" w:hAnsi="方正小标宋简体" w:eastAsia="方正小标宋简体" w:cs="方正小标宋简体"/>
          <w:w w:val="90"/>
          <w:sz w:val="44"/>
          <w:szCs w:val="44"/>
          <w:lang w:eastAsia="zh-CN"/>
        </w:rPr>
        <w:t>（</w:t>
      </w:r>
      <w:r>
        <w:rPr>
          <w:rFonts w:hint="eastAsia" w:ascii="方正小标宋简体" w:hAnsi="方正小标宋简体" w:eastAsia="方正小标宋简体" w:cs="方正小标宋简体"/>
          <w:w w:val="90"/>
          <w:sz w:val="44"/>
          <w:szCs w:val="44"/>
          <w:lang w:val="en-US" w:eastAsia="zh-CN"/>
        </w:rPr>
        <w:t>征求意见稿</w:t>
      </w:r>
      <w:r>
        <w:rPr>
          <w:rFonts w:hint="eastAsia" w:ascii="方正小标宋简体" w:hAnsi="方正小标宋简体" w:eastAsia="方正小标宋简体" w:cs="方正小标宋简体"/>
          <w:w w:val="90"/>
          <w:sz w:val="44"/>
          <w:szCs w:val="44"/>
          <w:lang w:eastAsia="zh-CN"/>
        </w:rPr>
        <w:t>）</w:t>
      </w:r>
    </w:p>
    <w:p w14:paraId="6B125A26">
      <w:pPr>
        <w:spacing w:line="580" w:lineRule="exact"/>
        <w:ind w:firstLine="880" w:firstLineChars="200"/>
        <w:rPr>
          <w:rFonts w:hint="eastAsia" w:ascii="方正小标宋简体" w:hAnsi="方正小标宋简体" w:eastAsia="方正小标宋简体" w:cs="方正小标宋简体"/>
          <w:sz w:val="44"/>
          <w:szCs w:val="44"/>
        </w:rPr>
      </w:pPr>
    </w:p>
    <w:p w14:paraId="3A1952ED">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为保障人员和交通运输工具正常出入境，确保南京港口岸安全畅通，依据《中华人民共和国出境入境管理法》《中华人民共和国出境入境边防检查条例》等有关法律法规，现就南京市栖霞区对外开放口岸限定区域范围及管理要求通告如下：</w:t>
      </w:r>
    </w:p>
    <w:p w14:paraId="788F0FF5">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一、口岸限定区域划定范围</w:t>
      </w:r>
    </w:p>
    <w:p w14:paraId="23641D3F">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口岸限定区域由南京港出入境边防检查站会同南京市栖霞区人民政府按照因地制宜、有效封闭、有利管理、保证安全的原则进行划定，范围包括出入境边防检查现场、候检区以及需要限制非出境入境的人员或者交通运输工具通行、停留的其他区域。具体划</w:t>
      </w:r>
      <w:r>
        <w:rPr>
          <w:rFonts w:hint="eastAsia" w:ascii="仿宋" w:hAnsi="仿宋" w:eastAsia="仿宋" w:cs="仿宋"/>
          <w:sz w:val="32"/>
          <w:szCs w:val="32"/>
          <w:highlight w:val="none"/>
        </w:rPr>
        <w:t>分情</w:t>
      </w:r>
      <w:r>
        <w:rPr>
          <w:rFonts w:hint="eastAsia" w:ascii="仿宋" w:hAnsi="仿宋" w:eastAsia="仿宋" w:cs="仿宋"/>
          <w:sz w:val="32"/>
          <w:szCs w:val="32"/>
        </w:rPr>
        <w:t>况如下：</w:t>
      </w:r>
    </w:p>
    <w:p w14:paraId="52C2BB73">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（一）南京港（集团）有限公司新生圩港务分公司</w:t>
      </w:r>
    </w:p>
    <w:p w14:paraId="139E0226">
      <w:pPr>
        <w:spacing w:line="580" w:lineRule="exact"/>
        <w:ind w:firstLine="640" w:firstLineChars="200"/>
        <w:rPr>
          <w:rFonts w:hint="eastAsia" w:ascii="楷体" w:hAnsi="楷体" w:eastAsia="楷体" w:cs="楷体"/>
          <w:sz w:val="32"/>
          <w:szCs w:val="32"/>
        </w:rPr>
      </w:pPr>
      <w:r>
        <w:rPr>
          <w:rFonts w:hint="eastAsia" w:ascii="仿宋" w:hAnsi="仿宋" w:eastAsia="仿宋" w:cs="仿宋"/>
          <w:sz w:val="32"/>
          <w:szCs w:val="32"/>
        </w:rPr>
        <w:t>划定区域宽度为400、401、402、403、404、405泊位码头生产作业平台，701、702、703、704、705、706、707、708、709、710泊位码头生产作业平台，长度为国际航行船舶靠泊时前后缆桩之间距离。如图所示（绿色区域为口岸限定区域，下同）</w:t>
      </w:r>
    </w:p>
    <w:p w14:paraId="2FC51757">
      <w:pPr>
        <w:spacing w:line="580" w:lineRule="exact"/>
        <w:rPr>
          <w:rFonts w:hint="eastAsia" w:ascii="楷体" w:hAnsi="楷体" w:eastAsia="楷体" w:cs="楷体"/>
          <w:sz w:val="32"/>
          <w:szCs w:val="32"/>
        </w:rPr>
      </w:pPr>
      <w:r>
        <w:rPr>
          <w:rFonts w:hint="eastAsia" w:ascii="楷体" w:hAnsi="楷体" w:eastAsia="楷体" w:cs="楷体"/>
          <w:sz w:val="32"/>
          <w:szCs w:val="32"/>
        </w:rPr>
        <w:drawing>
          <wp:anchor distT="0" distB="0" distL="114300" distR="114300" simplePos="0" relativeHeight="251659264" behindDoc="0" locked="0" layoutInCell="1" allowOverlap="1">
            <wp:simplePos x="0" y="0"/>
            <wp:positionH relativeFrom="page">
              <wp:posOffset>920115</wp:posOffset>
            </wp:positionH>
            <wp:positionV relativeFrom="line">
              <wp:posOffset>57150</wp:posOffset>
            </wp:positionV>
            <wp:extent cx="5580380" cy="1453515"/>
            <wp:effectExtent l="0" t="0" r="12700" b="9525"/>
            <wp:wrapSquare wrapText="bothSides"/>
            <wp:docPr id="1" name="图片 1" descr="南京港（集团）有限公司新生圩港务分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南京港（集团）有限公司新生圩港务分公司"/>
                    <pic:cNvPicPr>
                      <a:picLocks noChangeAspect="1"/>
                    </pic:cNvPicPr>
                  </pic:nvPicPr>
                  <pic:blipFill>
                    <a:blip r:embed="rId4"/>
                    <a:stretch>
                      <a:fillRect/>
                    </a:stretch>
                  </pic:blipFill>
                  <pic:spPr>
                    <a:xfrm>
                      <a:off x="0" y="0"/>
                      <a:ext cx="5580380" cy="1453515"/>
                    </a:xfrm>
                    <a:prstGeom prst="rect">
                      <a:avLst/>
                    </a:prstGeom>
                  </pic:spPr>
                </pic:pic>
              </a:graphicData>
            </a:graphic>
          </wp:anchor>
        </w:drawing>
      </w:r>
    </w:p>
    <w:p w14:paraId="371D2C8A">
      <w:pPr>
        <w:numPr>
          <w:ilvl w:val="0"/>
          <w:numId w:val="1"/>
        </w:num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中国石化集团金陵石油化工有限责任公司</w:t>
      </w:r>
    </w:p>
    <w:p w14:paraId="75426BFE">
      <w:pPr>
        <w:spacing w:line="580" w:lineRule="exact"/>
        <w:ind w:firstLine="640" w:firstLineChars="200"/>
        <w:rPr>
          <w:rFonts w:hint="eastAsia" w:ascii="楷体" w:hAnsi="楷体" w:eastAsia="楷体" w:cs="楷体"/>
          <w:sz w:val="32"/>
          <w:szCs w:val="32"/>
        </w:rPr>
      </w:pPr>
      <w:r>
        <w:rPr>
          <w:rFonts w:hint="eastAsia" w:ascii="仿宋" w:hAnsi="仿宋" w:eastAsia="仿宋" w:cs="仿宋"/>
          <w:sz w:val="32"/>
          <w:szCs w:val="32"/>
        </w:rPr>
        <w:t>划定区域为3号、6号、7号、10号、11号、12号泊位引桥延伸至码头生产作业平台前沿，金泰码头引桥延伸至码头生产作业平台前沿。</w:t>
      </w:r>
    </w:p>
    <w:p w14:paraId="1035E284">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drawing>
          <wp:anchor distT="0" distB="0" distL="114300" distR="114300" simplePos="0" relativeHeight="251666432" behindDoc="0" locked="0" layoutInCell="1" allowOverlap="1">
            <wp:simplePos x="0" y="0"/>
            <wp:positionH relativeFrom="column">
              <wp:posOffset>98425</wp:posOffset>
            </wp:positionH>
            <wp:positionV relativeFrom="paragraph">
              <wp:posOffset>2236470</wp:posOffset>
            </wp:positionV>
            <wp:extent cx="5579745" cy="1080135"/>
            <wp:effectExtent l="0" t="0" r="13335" b="1905"/>
            <wp:wrapSquare wrapText="bothSides"/>
            <wp:docPr id="14" name="图片 14" descr="中国石化集团金陵石油化工有限责任公司（金泰码头）"/>
            <wp:cNvGraphicFramePr/>
            <a:graphic xmlns:a="http://schemas.openxmlformats.org/drawingml/2006/main">
              <a:graphicData uri="http://schemas.openxmlformats.org/drawingml/2006/picture">
                <pic:pic xmlns:pic="http://schemas.openxmlformats.org/drawingml/2006/picture">
                  <pic:nvPicPr>
                    <pic:cNvPr id="14" name="图片 14" descr="中国石化集团金陵石油化工有限责任公司（金泰码头）"/>
                    <pic:cNvPicPr/>
                  </pic:nvPicPr>
                  <pic:blipFill>
                    <a:blip r:embed="rId5"/>
                    <a:stretch>
                      <a:fillRect/>
                    </a:stretch>
                  </pic:blipFill>
                  <pic:spPr>
                    <a:xfrm>
                      <a:off x="0" y="0"/>
                      <a:ext cx="5579745" cy="1080135"/>
                    </a:xfrm>
                    <a:prstGeom prst="rect">
                      <a:avLst/>
                    </a:prstGeom>
                  </pic:spPr>
                </pic:pic>
              </a:graphicData>
            </a:graphic>
          </wp:anchor>
        </w:drawing>
      </w:r>
      <w:r>
        <w:rPr>
          <w:rFonts w:hint="eastAsia" w:ascii="楷体" w:hAnsi="楷体" w:eastAsia="楷体" w:cs="楷体"/>
          <w:sz w:val="32"/>
          <w:szCs w:val="32"/>
        </w:rPr>
        <w:drawing>
          <wp:anchor distT="0" distB="0" distL="114300" distR="114300" simplePos="0" relativeHeight="251665408" behindDoc="0" locked="0" layoutInCell="1" allowOverlap="1">
            <wp:simplePos x="0" y="0"/>
            <wp:positionH relativeFrom="column">
              <wp:posOffset>104140</wp:posOffset>
            </wp:positionH>
            <wp:positionV relativeFrom="paragraph">
              <wp:posOffset>1164590</wp:posOffset>
            </wp:positionV>
            <wp:extent cx="5579745" cy="1080135"/>
            <wp:effectExtent l="0" t="0" r="13335" b="1905"/>
            <wp:wrapSquare wrapText="bothSides"/>
            <wp:docPr id="13" name="图片 13" descr="中国石化集团金陵石油化工有限责任公司（10、11、12）"/>
            <wp:cNvGraphicFramePr/>
            <a:graphic xmlns:a="http://schemas.openxmlformats.org/drawingml/2006/main">
              <a:graphicData uri="http://schemas.openxmlformats.org/drawingml/2006/picture">
                <pic:pic xmlns:pic="http://schemas.openxmlformats.org/drawingml/2006/picture">
                  <pic:nvPicPr>
                    <pic:cNvPr id="13" name="图片 13" descr="中国石化集团金陵石油化工有限责任公司（10、11、12）"/>
                    <pic:cNvPicPr/>
                  </pic:nvPicPr>
                  <pic:blipFill>
                    <a:blip r:embed="rId6"/>
                    <a:stretch>
                      <a:fillRect/>
                    </a:stretch>
                  </pic:blipFill>
                  <pic:spPr>
                    <a:xfrm>
                      <a:off x="0" y="0"/>
                      <a:ext cx="5579745" cy="1080135"/>
                    </a:xfrm>
                    <a:prstGeom prst="rect">
                      <a:avLst/>
                    </a:prstGeom>
                  </pic:spPr>
                </pic:pic>
              </a:graphicData>
            </a:graphic>
          </wp:anchor>
        </w:drawing>
      </w:r>
      <w:r>
        <w:rPr>
          <w:rFonts w:hint="eastAsia" w:ascii="楷体" w:hAnsi="楷体" w:eastAsia="楷体" w:cs="楷体"/>
          <w:sz w:val="32"/>
          <w:szCs w:val="32"/>
        </w:rPr>
        <w:drawing>
          <wp:anchor distT="0" distB="0" distL="114300" distR="114300" simplePos="0" relativeHeight="251664384" behindDoc="0" locked="0" layoutInCell="1" allowOverlap="1">
            <wp:simplePos x="0" y="0"/>
            <wp:positionH relativeFrom="column">
              <wp:posOffset>100965</wp:posOffset>
            </wp:positionH>
            <wp:positionV relativeFrom="paragraph">
              <wp:posOffset>71120</wp:posOffset>
            </wp:positionV>
            <wp:extent cx="5579745" cy="1080135"/>
            <wp:effectExtent l="0" t="0" r="13335" b="1905"/>
            <wp:wrapSquare wrapText="bothSides"/>
            <wp:docPr id="12" name="图片 12" descr="中国石化集团金陵石油化工有限责任公司（3、6、7）"/>
            <wp:cNvGraphicFramePr/>
            <a:graphic xmlns:a="http://schemas.openxmlformats.org/drawingml/2006/main">
              <a:graphicData uri="http://schemas.openxmlformats.org/drawingml/2006/picture">
                <pic:pic xmlns:pic="http://schemas.openxmlformats.org/drawingml/2006/picture">
                  <pic:nvPicPr>
                    <pic:cNvPr id="12" name="图片 12" descr="中国石化集团金陵石油化工有限责任公司（3、6、7）"/>
                    <pic:cNvPicPr/>
                  </pic:nvPicPr>
                  <pic:blipFill>
                    <a:blip r:embed="rId7"/>
                    <a:stretch>
                      <a:fillRect/>
                    </a:stretch>
                  </pic:blipFill>
                  <pic:spPr>
                    <a:xfrm>
                      <a:off x="0" y="0"/>
                      <a:ext cx="5579745" cy="1080135"/>
                    </a:xfrm>
                    <a:prstGeom prst="rect">
                      <a:avLst/>
                    </a:prstGeom>
                  </pic:spPr>
                </pic:pic>
              </a:graphicData>
            </a:graphic>
          </wp:anchor>
        </w:drawing>
      </w:r>
      <w:r>
        <w:rPr>
          <w:rFonts w:hint="eastAsia" w:ascii="楷体" w:hAnsi="楷体" w:eastAsia="楷体" w:cs="楷体"/>
          <w:sz w:val="32"/>
          <w:szCs w:val="32"/>
        </w:rPr>
        <w:t>（三）南京港龙潭集装箱有限公司</w:t>
      </w:r>
    </w:p>
    <w:p w14:paraId="7E3FA383">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划定区域宽度为801、802、803、804、805、806、807、808、809、810泊位码头生产作业平台，长度为国际航行船舶靠泊时前后缆桩之间距离。</w:t>
      </w:r>
    </w:p>
    <w:p w14:paraId="6A70D651">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drawing>
          <wp:anchor distT="0" distB="0" distL="114300" distR="114300" simplePos="0" relativeHeight="251662336" behindDoc="0" locked="0" layoutInCell="1" allowOverlap="1">
            <wp:simplePos x="0" y="0"/>
            <wp:positionH relativeFrom="column">
              <wp:posOffset>143510</wp:posOffset>
            </wp:positionH>
            <wp:positionV relativeFrom="paragraph">
              <wp:posOffset>45085</wp:posOffset>
            </wp:positionV>
            <wp:extent cx="5579745" cy="1080135"/>
            <wp:effectExtent l="0" t="0" r="13335" b="1905"/>
            <wp:wrapSquare wrapText="bothSides"/>
            <wp:docPr id="6" name="图片 6" descr="南京龙潭集装箱有限公司"/>
            <wp:cNvGraphicFramePr/>
            <a:graphic xmlns:a="http://schemas.openxmlformats.org/drawingml/2006/main">
              <a:graphicData uri="http://schemas.openxmlformats.org/drawingml/2006/picture">
                <pic:pic xmlns:pic="http://schemas.openxmlformats.org/drawingml/2006/picture">
                  <pic:nvPicPr>
                    <pic:cNvPr id="6" name="图片 6" descr="南京龙潭集装箱有限公司"/>
                    <pic:cNvPicPr/>
                  </pic:nvPicPr>
                  <pic:blipFill>
                    <a:blip r:embed="rId8"/>
                    <a:stretch>
                      <a:fillRect/>
                    </a:stretch>
                  </pic:blipFill>
                  <pic:spPr>
                    <a:xfrm>
                      <a:off x="0" y="0"/>
                      <a:ext cx="5579745" cy="1080135"/>
                    </a:xfrm>
                    <a:prstGeom prst="rect">
                      <a:avLst/>
                    </a:prstGeom>
                  </pic:spPr>
                </pic:pic>
              </a:graphicData>
            </a:graphic>
          </wp:anchor>
        </w:drawing>
      </w:r>
      <w:r>
        <w:rPr>
          <w:rFonts w:hint="eastAsia" w:ascii="楷体" w:hAnsi="楷体" w:eastAsia="楷体" w:cs="楷体"/>
          <w:sz w:val="32"/>
          <w:szCs w:val="32"/>
        </w:rPr>
        <w:t>（四）南京明州码头有限公司</w:t>
      </w:r>
    </w:p>
    <w:p w14:paraId="05DAD9D7">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划定区域宽度为3号、4号泊位码头生产作业平台，长度为国际航行船舶靠泊时前后缆桩之间距离。</w:t>
      </w:r>
    </w:p>
    <w:p w14:paraId="37E3BC9C">
      <w:pPr>
        <w:spacing w:line="580" w:lineRule="exact"/>
        <w:ind w:firstLine="640" w:firstLineChars="200"/>
        <w:rPr>
          <w:rFonts w:hint="eastAsia" w:ascii="仿宋" w:hAnsi="仿宋" w:eastAsia="仿宋" w:cs="仿宋"/>
          <w:sz w:val="32"/>
          <w:szCs w:val="32"/>
        </w:rPr>
      </w:pPr>
      <w:r>
        <w:rPr>
          <w:rFonts w:hint="eastAsia" w:ascii="楷体" w:hAnsi="楷体" w:eastAsia="楷体" w:cs="楷体"/>
          <w:sz w:val="32"/>
          <w:szCs w:val="32"/>
        </w:rPr>
        <w:drawing>
          <wp:anchor distT="0" distB="0" distL="114300" distR="114300" simplePos="0" relativeHeight="251663360" behindDoc="0" locked="0" layoutInCell="1" allowOverlap="1">
            <wp:simplePos x="0" y="0"/>
            <wp:positionH relativeFrom="column">
              <wp:posOffset>109220</wp:posOffset>
            </wp:positionH>
            <wp:positionV relativeFrom="paragraph">
              <wp:posOffset>27305</wp:posOffset>
            </wp:positionV>
            <wp:extent cx="5579745" cy="1080135"/>
            <wp:effectExtent l="0" t="0" r="13335" b="1905"/>
            <wp:wrapSquare wrapText="bothSides"/>
            <wp:docPr id="7" name="图片 7" descr="南京明州码头有限公司"/>
            <wp:cNvGraphicFramePr/>
            <a:graphic xmlns:a="http://schemas.openxmlformats.org/drawingml/2006/main">
              <a:graphicData uri="http://schemas.openxmlformats.org/drawingml/2006/picture">
                <pic:pic xmlns:pic="http://schemas.openxmlformats.org/drawingml/2006/picture">
                  <pic:nvPicPr>
                    <pic:cNvPr id="7" name="图片 7" descr="南京明州码头有限公司"/>
                    <pic:cNvPicPr/>
                  </pic:nvPicPr>
                  <pic:blipFill>
                    <a:blip r:embed="rId9"/>
                    <a:stretch>
                      <a:fillRect/>
                    </a:stretch>
                  </pic:blipFill>
                  <pic:spPr>
                    <a:xfrm>
                      <a:off x="0" y="0"/>
                      <a:ext cx="5579745" cy="1080135"/>
                    </a:xfrm>
                    <a:prstGeom prst="rect">
                      <a:avLst/>
                    </a:prstGeom>
                  </pic:spPr>
                </pic:pic>
              </a:graphicData>
            </a:graphic>
          </wp:anchor>
        </w:drawing>
      </w:r>
      <w:r>
        <w:rPr>
          <w:rFonts w:hint="eastAsia" w:ascii="楷体" w:hAnsi="楷体" w:eastAsia="楷体" w:cs="楷体"/>
          <w:sz w:val="32"/>
          <w:szCs w:val="32"/>
        </w:rPr>
        <w:t>（五）南京港龙潭天宇码头有限公司</w:t>
      </w:r>
    </w:p>
    <w:p w14:paraId="36C78CA8">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划定区域宽度为901、902、903泊位码头生产作业平台，长度为国际航行船舶靠泊时前后缆桩之间距离。</w:t>
      </w:r>
    </w:p>
    <w:p w14:paraId="206BD6A9">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drawing>
          <wp:anchor distT="0" distB="0" distL="114300" distR="114300" simplePos="0" relativeHeight="251661312" behindDoc="0" locked="0" layoutInCell="1" allowOverlap="1">
            <wp:simplePos x="0" y="0"/>
            <wp:positionH relativeFrom="column">
              <wp:posOffset>236855</wp:posOffset>
            </wp:positionH>
            <wp:positionV relativeFrom="paragraph">
              <wp:posOffset>75565</wp:posOffset>
            </wp:positionV>
            <wp:extent cx="5579745" cy="1080135"/>
            <wp:effectExtent l="0" t="0" r="13335" b="1905"/>
            <wp:wrapSquare wrapText="bothSides"/>
            <wp:docPr id="4" name="图片 4" descr="南京港龙潭天宇码头有限公司"/>
            <wp:cNvGraphicFramePr/>
            <a:graphic xmlns:a="http://schemas.openxmlformats.org/drawingml/2006/main">
              <a:graphicData uri="http://schemas.openxmlformats.org/drawingml/2006/picture">
                <pic:pic xmlns:pic="http://schemas.openxmlformats.org/drawingml/2006/picture">
                  <pic:nvPicPr>
                    <pic:cNvPr id="4" name="图片 4" descr="南京港龙潭天宇码头有限公司"/>
                    <pic:cNvPicPr/>
                  </pic:nvPicPr>
                  <pic:blipFill>
                    <a:blip r:embed="rId10"/>
                    <a:stretch>
                      <a:fillRect/>
                    </a:stretch>
                  </pic:blipFill>
                  <pic:spPr>
                    <a:xfrm>
                      <a:off x="0" y="0"/>
                      <a:ext cx="5579745" cy="1080135"/>
                    </a:xfrm>
                    <a:prstGeom prst="rect">
                      <a:avLst/>
                    </a:prstGeom>
                  </pic:spPr>
                </pic:pic>
              </a:graphicData>
            </a:graphic>
          </wp:anchor>
        </w:drawing>
      </w:r>
      <w:r>
        <w:rPr>
          <w:rFonts w:hint="eastAsia" w:ascii="楷体" w:hAnsi="楷体" w:eastAsia="楷体" w:cs="楷体"/>
          <w:sz w:val="32"/>
          <w:szCs w:val="32"/>
        </w:rPr>
        <w:t>（六）华能南京金陵发电有限公司</w:t>
      </w:r>
    </w:p>
    <w:p w14:paraId="6416CBC3">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划定区域为码头生产作业平台。</w:t>
      </w:r>
    </w:p>
    <w:p w14:paraId="5993E4C9">
      <w:pPr>
        <w:spacing w:line="580" w:lineRule="exact"/>
        <w:ind w:firstLine="640" w:firstLineChars="200"/>
        <w:rPr>
          <w:rFonts w:hint="eastAsia" w:ascii="楷体" w:hAnsi="楷体" w:eastAsia="楷体" w:cs="楷体"/>
          <w:sz w:val="32"/>
          <w:szCs w:val="32"/>
        </w:rPr>
      </w:pPr>
      <w:r>
        <w:rPr>
          <w:rFonts w:hint="eastAsia" w:ascii="仿宋" w:hAnsi="仿宋" w:eastAsia="仿宋" w:cs="仿宋"/>
          <w:sz w:val="32"/>
          <w:szCs w:val="32"/>
        </w:rPr>
        <w:drawing>
          <wp:anchor distT="0" distB="0" distL="114300" distR="114300" simplePos="0" relativeHeight="251660288" behindDoc="0" locked="0" layoutInCell="1" allowOverlap="1">
            <wp:simplePos x="0" y="0"/>
            <wp:positionH relativeFrom="column">
              <wp:posOffset>310515</wp:posOffset>
            </wp:positionH>
            <wp:positionV relativeFrom="paragraph">
              <wp:posOffset>29210</wp:posOffset>
            </wp:positionV>
            <wp:extent cx="5579745" cy="1080135"/>
            <wp:effectExtent l="0" t="0" r="13335" b="1905"/>
            <wp:wrapSquare wrapText="bothSides"/>
            <wp:docPr id="2" name="图片 2" descr="华能南京金陵发电有限公司"/>
            <wp:cNvGraphicFramePr/>
            <a:graphic xmlns:a="http://schemas.openxmlformats.org/drawingml/2006/main">
              <a:graphicData uri="http://schemas.openxmlformats.org/drawingml/2006/picture">
                <pic:pic xmlns:pic="http://schemas.openxmlformats.org/drawingml/2006/picture">
                  <pic:nvPicPr>
                    <pic:cNvPr id="2" name="图片 2" descr="华能南京金陵发电有限公司"/>
                    <pic:cNvPicPr/>
                  </pic:nvPicPr>
                  <pic:blipFill>
                    <a:blip r:embed="rId11"/>
                    <a:stretch>
                      <a:fillRect/>
                    </a:stretch>
                  </pic:blipFill>
                  <pic:spPr>
                    <a:xfrm>
                      <a:off x="0" y="0"/>
                      <a:ext cx="5579745" cy="1080135"/>
                    </a:xfrm>
                    <a:prstGeom prst="rect">
                      <a:avLst/>
                    </a:prstGeom>
                  </pic:spPr>
                </pic:pic>
              </a:graphicData>
            </a:graphic>
          </wp:anchor>
        </w:drawing>
      </w:r>
      <w:r>
        <w:rPr>
          <w:rFonts w:hint="eastAsia" w:ascii="楷体" w:hAnsi="楷体" w:eastAsia="楷体" w:cs="楷体"/>
          <w:sz w:val="32"/>
          <w:szCs w:val="32"/>
        </w:rPr>
        <w:t>（七）大唐南京发电厂</w:t>
      </w:r>
    </w:p>
    <w:p w14:paraId="19BCD0E8">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划定区域为码头生产作业平台。</w:t>
      </w:r>
    </w:p>
    <w:p w14:paraId="7BA71E9B">
      <w:pPr>
        <w:spacing w:line="58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楷体" w:hAnsi="楷体" w:eastAsia="楷体" w:cs="楷体"/>
          <w:color w:val="000000" w:themeColor="text1"/>
          <w:sz w:val="32"/>
          <w:szCs w:val="32"/>
          <w:highlight w:val="none"/>
          <w14:textFill>
            <w14:solidFill>
              <w14:schemeClr w14:val="tx1"/>
            </w14:solidFill>
          </w14:textFill>
        </w:rPr>
        <w:drawing>
          <wp:anchor distT="0" distB="0" distL="114300" distR="114300" simplePos="0" relativeHeight="251667456" behindDoc="0" locked="0" layoutInCell="1" allowOverlap="1">
            <wp:simplePos x="0" y="0"/>
            <wp:positionH relativeFrom="column">
              <wp:posOffset>278765</wp:posOffset>
            </wp:positionH>
            <wp:positionV relativeFrom="paragraph">
              <wp:posOffset>62230</wp:posOffset>
            </wp:positionV>
            <wp:extent cx="5579745" cy="1080135"/>
            <wp:effectExtent l="0" t="0" r="13335" b="1905"/>
            <wp:wrapSquare wrapText="bothSides"/>
            <wp:docPr id="3" name="图片 3" descr="大唐南京发电厂"/>
            <wp:cNvGraphicFramePr/>
            <a:graphic xmlns:a="http://schemas.openxmlformats.org/drawingml/2006/main">
              <a:graphicData uri="http://schemas.openxmlformats.org/drawingml/2006/picture">
                <pic:pic xmlns:pic="http://schemas.openxmlformats.org/drawingml/2006/picture">
                  <pic:nvPicPr>
                    <pic:cNvPr id="3" name="图片 3" descr="大唐南京发电厂"/>
                    <pic:cNvPicPr/>
                  </pic:nvPicPr>
                  <pic:blipFill>
                    <a:blip r:embed="rId12"/>
                    <a:stretch>
                      <a:fillRect/>
                    </a:stretch>
                  </pic:blipFill>
                  <pic:spPr>
                    <a:xfrm>
                      <a:off x="0" y="0"/>
                      <a:ext cx="5579745" cy="1080135"/>
                    </a:xfrm>
                    <a:prstGeom prst="rect">
                      <a:avLst/>
                    </a:prstGeom>
                  </pic:spPr>
                </pic:pic>
              </a:graphicData>
            </a:graphic>
          </wp:anchor>
        </w:drawing>
      </w:r>
      <w:r>
        <w:rPr>
          <w:rFonts w:hint="eastAsia" w:ascii="楷体" w:hAnsi="楷体" w:eastAsia="楷体" w:cs="楷体"/>
          <w:color w:val="000000" w:themeColor="text1"/>
          <w:sz w:val="32"/>
          <w:szCs w:val="32"/>
          <w:highlight w:val="none"/>
          <w14:textFill>
            <w14:solidFill>
              <w14:schemeClr w14:val="tx1"/>
            </w14:solidFill>
          </w14:textFill>
        </w:rPr>
        <w:t>（八）南京长江油运龙潭船务工程有限公司</w:t>
      </w:r>
    </w:p>
    <w:p w14:paraId="554E27B4">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划定区域宽度为1号、2号、3号、4号泊位码头生产作业平台，长度为国际航行船舶靠泊时前后缆桩之间距离。</w:t>
      </w:r>
    </w:p>
    <w:p w14:paraId="325606EC">
      <w:pPr>
        <w:spacing w:line="580" w:lineRule="exact"/>
        <w:ind w:firstLine="640" w:firstLineChars="200"/>
        <w:rPr>
          <w:rFonts w:hint="eastAsia" w:ascii="楷体" w:hAnsi="楷体" w:eastAsia="楷体" w:cs="楷体"/>
          <w:sz w:val="32"/>
          <w:szCs w:val="32"/>
        </w:rPr>
      </w:pPr>
      <w:r>
        <w:rPr>
          <w:rFonts w:hint="eastAsia" w:ascii="黑体" w:hAnsi="黑体" w:eastAsia="黑体" w:cs="黑体"/>
          <w:sz w:val="32"/>
          <w:szCs w:val="32"/>
          <w:lang w:eastAsia="zh-CN"/>
        </w:rPr>
        <w:drawing>
          <wp:anchor distT="0" distB="0" distL="114300" distR="114300" simplePos="0" relativeHeight="251670528" behindDoc="0" locked="0" layoutInCell="1" allowOverlap="1">
            <wp:simplePos x="0" y="0"/>
            <wp:positionH relativeFrom="column">
              <wp:posOffset>302260</wp:posOffset>
            </wp:positionH>
            <wp:positionV relativeFrom="paragraph">
              <wp:posOffset>85725</wp:posOffset>
            </wp:positionV>
            <wp:extent cx="5579745" cy="1080135"/>
            <wp:effectExtent l="0" t="0" r="1905" b="5715"/>
            <wp:wrapSquare wrapText="bothSides"/>
            <wp:docPr id="9" name="图片 9" descr="南京长江油运龙潭船务工程有限公司"/>
            <wp:cNvGraphicFramePr/>
            <a:graphic xmlns:a="http://schemas.openxmlformats.org/drawingml/2006/main">
              <a:graphicData uri="http://schemas.openxmlformats.org/drawingml/2006/picture">
                <pic:pic xmlns:pic="http://schemas.openxmlformats.org/drawingml/2006/picture">
                  <pic:nvPicPr>
                    <pic:cNvPr id="9" name="图片 9" descr="南京长江油运龙潭船务工程有限公司"/>
                    <pic:cNvPicPr/>
                  </pic:nvPicPr>
                  <pic:blipFill>
                    <a:blip r:embed="rId13"/>
                    <a:stretch>
                      <a:fillRect/>
                    </a:stretch>
                  </pic:blipFill>
                  <pic:spPr>
                    <a:xfrm>
                      <a:off x="0" y="0"/>
                      <a:ext cx="5579745" cy="1080135"/>
                    </a:xfrm>
                    <a:prstGeom prst="rect">
                      <a:avLst/>
                    </a:prstGeom>
                  </pic:spPr>
                </pic:pic>
              </a:graphicData>
            </a:graphic>
          </wp:anchor>
        </w:drawing>
      </w:r>
      <w:r>
        <w:rPr>
          <w:rFonts w:hint="eastAsia" w:ascii="楷体" w:hAnsi="楷体" w:eastAsia="楷体" w:cs="楷体"/>
          <w:sz w:val="32"/>
          <w:szCs w:val="32"/>
        </w:rPr>
        <w:t>（九）南京港江盛汽车码头有限公司</w:t>
      </w:r>
    </w:p>
    <w:p w14:paraId="2954601B">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划定区域为码头生产作业平台。</w:t>
      </w:r>
    </w:p>
    <w:p w14:paraId="24F7B384">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drawing>
          <wp:anchor distT="0" distB="0" distL="114300" distR="114300" simplePos="0" relativeHeight="251668480" behindDoc="0" locked="0" layoutInCell="1" allowOverlap="1">
            <wp:simplePos x="0" y="0"/>
            <wp:positionH relativeFrom="column">
              <wp:posOffset>367665</wp:posOffset>
            </wp:positionH>
            <wp:positionV relativeFrom="paragraph">
              <wp:posOffset>24130</wp:posOffset>
            </wp:positionV>
            <wp:extent cx="5495290" cy="955675"/>
            <wp:effectExtent l="0" t="0" r="10160" b="15875"/>
            <wp:wrapSquare wrapText="bothSides"/>
            <wp:docPr id="8" name="图片 8" descr="图片_0880804010a282edc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_0880804010a282edc302"/>
                    <pic:cNvPicPr>
                      <a:picLocks noChangeAspect="1"/>
                    </pic:cNvPicPr>
                  </pic:nvPicPr>
                  <pic:blipFill>
                    <a:blip r:embed="rId14"/>
                    <a:stretch>
                      <a:fillRect/>
                    </a:stretch>
                  </pic:blipFill>
                  <pic:spPr>
                    <a:xfrm>
                      <a:off x="0" y="0"/>
                      <a:ext cx="5495290" cy="955675"/>
                    </a:xfrm>
                    <a:prstGeom prst="rect">
                      <a:avLst/>
                    </a:prstGeom>
                  </pic:spPr>
                </pic:pic>
              </a:graphicData>
            </a:graphic>
          </wp:anchor>
        </w:drawing>
      </w:r>
      <w:r>
        <w:rPr>
          <w:rFonts w:hint="eastAsia" w:ascii="黑体" w:hAnsi="黑体" w:eastAsia="黑体" w:cs="黑体"/>
          <w:sz w:val="32"/>
          <w:szCs w:val="32"/>
        </w:rPr>
        <w:t xml:space="preserve"> </w:t>
      </w:r>
    </w:p>
    <w:p w14:paraId="4DAEA246">
      <w:pPr>
        <w:spacing w:line="580" w:lineRule="exact"/>
        <w:ind w:firstLine="640" w:firstLineChars="200"/>
        <w:rPr>
          <w:rFonts w:hint="eastAsia" w:ascii="黑体" w:hAnsi="黑体" w:eastAsia="黑体" w:cs="黑体"/>
          <w:sz w:val="32"/>
          <w:szCs w:val="32"/>
        </w:rPr>
      </w:pPr>
    </w:p>
    <w:p w14:paraId="3F9430AB">
      <w:pPr>
        <w:spacing w:line="580" w:lineRule="exact"/>
        <w:ind w:firstLine="640" w:firstLineChars="200"/>
        <w:rPr>
          <w:rFonts w:hint="eastAsia" w:ascii="黑体" w:hAnsi="黑体" w:eastAsia="黑体" w:cs="黑体"/>
          <w:sz w:val="32"/>
          <w:szCs w:val="32"/>
        </w:rPr>
      </w:pPr>
    </w:p>
    <w:p w14:paraId="331BF6C6">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（十）南京港龙潭天辰码头有限公司</w:t>
      </w:r>
    </w:p>
    <w:p w14:paraId="52D6DDEC">
      <w:pPr>
        <w:spacing w:line="580" w:lineRule="exact"/>
        <w:ind w:firstLine="960" w:firstLineChars="300"/>
        <w:rPr>
          <w:rFonts w:hint="eastAsia" w:ascii="仿宋" w:hAnsi="仿宋" w:eastAsia="仿宋" w:cs="仿宋"/>
          <w:sz w:val="32"/>
          <w:szCs w:val="32"/>
        </w:rPr>
      </w:pPr>
      <w:r>
        <w:rPr>
          <w:rFonts w:hint="eastAsia" w:ascii="仿宋" w:hAnsi="仿宋" w:eastAsia="仿宋" w:cs="仿宋"/>
          <w:sz w:val="32"/>
          <w:szCs w:val="32"/>
        </w:rPr>
        <w:t>划定区域为</w:t>
      </w:r>
      <w:r>
        <w:rPr>
          <w:rFonts w:hint="eastAsia" w:ascii="仿宋" w:hAnsi="仿宋" w:eastAsia="仿宋" w:cs="仿宋"/>
          <w:sz w:val="32"/>
          <w:szCs w:val="32"/>
          <w:lang w:val="en-US" w:eastAsia="zh-CN"/>
        </w:rPr>
        <w:t>1002号泊位</w:t>
      </w:r>
      <w:r>
        <w:rPr>
          <w:rFonts w:hint="eastAsia" w:ascii="仿宋" w:hAnsi="仿宋" w:eastAsia="仿宋" w:cs="仿宋"/>
          <w:sz w:val="32"/>
          <w:szCs w:val="32"/>
        </w:rPr>
        <w:t>码头生产作业平台。</w:t>
      </w:r>
    </w:p>
    <w:p w14:paraId="180C9854">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drawing>
          <wp:anchor distT="0" distB="0" distL="114300" distR="114300" simplePos="0" relativeHeight="251669504" behindDoc="0" locked="0" layoutInCell="1" allowOverlap="1">
            <wp:simplePos x="0" y="0"/>
            <wp:positionH relativeFrom="column">
              <wp:posOffset>344805</wp:posOffset>
            </wp:positionH>
            <wp:positionV relativeFrom="paragraph">
              <wp:posOffset>40640</wp:posOffset>
            </wp:positionV>
            <wp:extent cx="5502275" cy="1022350"/>
            <wp:effectExtent l="0" t="0" r="3175" b="6350"/>
            <wp:wrapSquare wrapText="bothSides"/>
            <wp:docPr id="10" name="图片 10" descr="21ca4931440b9ab053d612eebd1107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1ca4931440b9ab053d612eebd1107d4"/>
                    <pic:cNvPicPr>
                      <a:picLocks noChangeAspect="1"/>
                    </pic:cNvPicPr>
                  </pic:nvPicPr>
                  <pic:blipFill>
                    <a:blip r:embed="rId15"/>
                    <a:stretch>
                      <a:fillRect/>
                    </a:stretch>
                  </pic:blipFill>
                  <pic:spPr>
                    <a:xfrm>
                      <a:off x="0" y="0"/>
                      <a:ext cx="5502275" cy="1022350"/>
                    </a:xfrm>
                    <a:prstGeom prst="rect">
                      <a:avLst/>
                    </a:prstGeom>
                  </pic:spPr>
                </pic:pic>
              </a:graphicData>
            </a:graphic>
          </wp:anchor>
        </w:drawing>
      </w:r>
    </w:p>
    <w:p w14:paraId="363C9014">
      <w:pPr>
        <w:pStyle w:val="2"/>
        <w:rPr>
          <w:rFonts w:hint="eastAsia" w:ascii="黑体" w:hAnsi="黑体" w:eastAsia="黑体" w:cs="黑体"/>
          <w:sz w:val="32"/>
          <w:szCs w:val="32"/>
        </w:rPr>
      </w:pPr>
    </w:p>
    <w:p w14:paraId="4C7026A2">
      <w:pPr>
        <w:spacing w:line="580" w:lineRule="exact"/>
        <w:rPr>
          <w:rFonts w:hint="eastAsia" w:ascii="黑体" w:hAnsi="黑体" w:eastAsia="黑体" w:cs="黑体"/>
          <w:sz w:val="32"/>
          <w:szCs w:val="32"/>
        </w:rPr>
      </w:pPr>
    </w:p>
    <w:p w14:paraId="0586E6C1">
      <w:pPr>
        <w:spacing w:line="580" w:lineRule="exact"/>
        <w:ind w:firstLine="960" w:firstLineChars="300"/>
        <w:rPr>
          <w:rFonts w:hint="eastAsia" w:ascii="黑体" w:hAnsi="黑体" w:eastAsia="黑体" w:cs="黑体"/>
          <w:sz w:val="32"/>
          <w:szCs w:val="32"/>
        </w:rPr>
      </w:pPr>
      <w:r>
        <w:rPr>
          <w:rFonts w:hint="eastAsia" w:ascii="黑体" w:hAnsi="黑体" w:eastAsia="黑体" w:cs="黑体"/>
          <w:sz w:val="32"/>
          <w:szCs w:val="32"/>
        </w:rPr>
        <w:t>二、口岸限定区域管理措施</w:t>
      </w:r>
    </w:p>
    <w:p w14:paraId="234F1BAF">
      <w:pPr>
        <w:numPr>
          <w:ilvl w:val="0"/>
          <w:numId w:val="2"/>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出入境边防检查机关依法对本辖区口岸限定区域实施管理，维护正常出入境秩序，对扰乱口岸限定区域管理秩序的行为，依法予以处罚。</w:t>
      </w:r>
    </w:p>
    <w:p w14:paraId="2CE5CA70">
      <w:pPr>
        <w:numPr>
          <w:ilvl w:val="0"/>
          <w:numId w:val="2"/>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出入境边防检查机关会同口岸有关生产经营单位通过物理隔离、电子门禁、电子围栏、标志线等方式对口岸限定区域实施封</w:t>
      </w:r>
      <w:bookmarkStart w:id="0" w:name="_GoBack"/>
      <w:bookmarkEnd w:id="0"/>
      <w:r>
        <w:rPr>
          <w:rFonts w:hint="eastAsia" w:ascii="仿宋" w:hAnsi="仿宋" w:eastAsia="仿宋" w:cs="仿宋"/>
          <w:sz w:val="32"/>
          <w:szCs w:val="32"/>
        </w:rPr>
        <w:t>闭隔离，设置相应的通道、卡口、岗亭，设立口岸限定区域标识。</w:t>
      </w:r>
    </w:p>
    <w:p w14:paraId="0693F791">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（三）出入境边防检查机关与有关职能部门按照职责分工加强执法协作，确保口岸限定区域内各类案（事）件及时、妥善处置，共同维护南京港口岸安全畅通。</w:t>
      </w:r>
    </w:p>
    <w:p w14:paraId="39D537F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val="en-US" w:eastAsia="zh-CN"/>
        </w:rPr>
      </w:pPr>
      <w:r>
        <w:rPr>
          <w:rFonts w:ascii="仿宋" w:hAnsi="仿宋" w:eastAsia="仿宋" w:cs="仿宋"/>
          <w:color w:val="000000" w:themeColor="text1"/>
          <w:sz w:val="32"/>
          <w:szCs w:val="32"/>
          <w:shd w:val="clear" w:color="auto" w:fill="FFFFFF"/>
          <w14:textFill>
            <w14:solidFill>
              <w14:schemeClr w14:val="tx1"/>
            </w14:solidFill>
          </w14:textFill>
        </w:rPr>
        <w:t>（四）</w:t>
      </w:r>
      <w:r>
        <w:rPr>
          <w:rFonts w:hint="eastAsia" w:ascii="仿宋" w:hAnsi="仿宋" w:eastAsia="仿宋" w:cs="仿宋"/>
          <w:sz w:val="32"/>
          <w:szCs w:val="32"/>
          <w:lang w:val="en-US" w:eastAsia="zh-CN"/>
        </w:rPr>
        <w:t>本通告自2026年</w:t>
      </w:r>
      <w:r>
        <w:rPr>
          <w:rFonts w:hint="eastAsia" w:ascii="宋体" w:hAnsi="宋体" w:eastAsia="宋体" w:cs="宋体"/>
          <w:sz w:val="32"/>
          <w:szCs w:val="32"/>
          <w:lang w:val="en-US" w:eastAsia="zh-CN"/>
        </w:rPr>
        <w:t>＊</w:t>
      </w:r>
      <w:r>
        <w:rPr>
          <w:rFonts w:hint="eastAsia" w:ascii="仿宋" w:hAnsi="仿宋" w:eastAsia="仿宋" w:cs="仿宋"/>
          <w:sz w:val="32"/>
          <w:szCs w:val="32"/>
          <w:lang w:val="en-US" w:eastAsia="zh-CN"/>
        </w:rPr>
        <w:t>月</w:t>
      </w:r>
      <w:r>
        <w:rPr>
          <w:rFonts w:hint="eastAsia" w:ascii="宋体" w:hAnsi="宋体" w:eastAsia="宋体" w:cs="宋体"/>
          <w:sz w:val="32"/>
          <w:szCs w:val="32"/>
          <w:lang w:val="en-US" w:eastAsia="zh-CN"/>
        </w:rPr>
        <w:t>＊</w:t>
      </w:r>
      <w:r>
        <w:rPr>
          <w:rFonts w:hint="eastAsia" w:ascii="仿宋" w:hAnsi="仿宋" w:eastAsia="仿宋" w:cs="仿宋"/>
          <w:sz w:val="32"/>
          <w:szCs w:val="32"/>
          <w:lang w:val="en-US" w:eastAsia="zh-CN"/>
        </w:rPr>
        <w:t>日起施行，有效期至2031年</w:t>
      </w:r>
      <w:r>
        <w:rPr>
          <w:rFonts w:hint="eastAsia" w:ascii="宋体" w:hAnsi="宋体" w:eastAsia="宋体" w:cs="宋体"/>
          <w:sz w:val="32"/>
          <w:szCs w:val="32"/>
          <w:lang w:val="en-US" w:eastAsia="zh-CN"/>
        </w:rPr>
        <w:t>＊</w:t>
      </w:r>
      <w:r>
        <w:rPr>
          <w:rFonts w:hint="eastAsia" w:ascii="仿宋" w:hAnsi="仿宋" w:eastAsia="仿宋" w:cs="仿宋"/>
          <w:sz w:val="32"/>
          <w:szCs w:val="32"/>
          <w:lang w:val="en-US" w:eastAsia="zh-CN"/>
        </w:rPr>
        <w:t>月</w:t>
      </w:r>
      <w:r>
        <w:rPr>
          <w:rFonts w:hint="eastAsia" w:ascii="宋体" w:hAnsi="宋体" w:eastAsia="宋体" w:cs="宋体"/>
          <w:sz w:val="32"/>
          <w:szCs w:val="32"/>
          <w:lang w:val="en-US" w:eastAsia="zh-CN"/>
        </w:rPr>
        <w:t>＊</w:t>
      </w:r>
      <w:r>
        <w:rPr>
          <w:rFonts w:hint="eastAsia" w:ascii="仿宋" w:hAnsi="仿宋" w:eastAsia="仿宋" w:cs="仿宋"/>
          <w:sz w:val="32"/>
          <w:szCs w:val="32"/>
          <w:lang w:val="en-US" w:eastAsia="zh-CN"/>
        </w:rPr>
        <w:t>日止。</w:t>
      </w:r>
    </w:p>
    <w:p w14:paraId="37481C5F">
      <w:pPr>
        <w:spacing w:line="580" w:lineRule="exact"/>
        <w:ind w:firstLine="640" w:firstLineChars="200"/>
        <w:rPr>
          <w:rFonts w:ascii="仿宋" w:hAnsi="仿宋" w:eastAsia="仿宋" w:cs="仿宋"/>
          <w:color w:val="000000" w:themeColor="text1"/>
          <w:sz w:val="32"/>
          <w:szCs w:val="32"/>
          <w:shd w:val="clear" w:color="auto" w:fill="FFFFFF"/>
          <w14:textFill>
            <w14:solidFill>
              <w14:schemeClr w14:val="tx1"/>
            </w14:solidFill>
          </w14:textFill>
        </w:rPr>
      </w:pPr>
    </w:p>
    <w:p w14:paraId="5657874F">
      <w:pPr>
        <w:spacing w:line="580" w:lineRule="exact"/>
        <w:rPr>
          <w:rFonts w:ascii="仿宋" w:hAnsi="仿宋" w:eastAsia="仿宋" w:cs="仿宋"/>
          <w:color w:val="000000" w:themeColor="text1"/>
          <w:sz w:val="32"/>
          <w:szCs w:val="32"/>
          <w:shd w:val="clear" w:color="auto" w:fill="FFFFFF"/>
          <w14:textFill>
            <w14:solidFill>
              <w14:schemeClr w14:val="tx1"/>
            </w14:solidFill>
          </w14:textFill>
        </w:rPr>
      </w:pPr>
    </w:p>
    <w:p w14:paraId="76EEC3A1">
      <w:pPr>
        <w:spacing w:line="580" w:lineRule="exact"/>
        <w:rPr>
          <w:rFonts w:ascii="仿宋" w:hAnsi="仿宋" w:eastAsia="仿宋" w:cs="仿宋"/>
          <w:color w:val="000000" w:themeColor="text1"/>
          <w:sz w:val="32"/>
          <w:szCs w:val="32"/>
          <w:shd w:val="clear" w:color="auto" w:fill="FFFFFF"/>
          <w14:textFill>
            <w14:solidFill>
              <w14:schemeClr w14:val="tx1"/>
            </w14:solidFill>
          </w14:textFill>
        </w:rPr>
      </w:pPr>
    </w:p>
    <w:p w14:paraId="1B655A92">
      <w:pPr>
        <w:spacing w:line="580" w:lineRule="exact"/>
        <w:ind w:firstLine="5120" w:firstLineChars="1600"/>
        <w:rPr>
          <w:rFonts w:ascii="仿宋" w:hAnsi="仿宋" w:eastAsia="仿宋" w:cs="仿宋"/>
          <w:color w:val="000000" w:themeColor="text1"/>
          <w:sz w:val="32"/>
          <w:szCs w:val="32"/>
          <w:shd w:val="clear" w:color="auto" w:fill="FFFFFF"/>
          <w14:textFill>
            <w14:solidFill>
              <w14:schemeClr w14:val="tx1"/>
            </w14:solidFill>
          </w14:textFill>
        </w:rPr>
      </w:pPr>
      <w:r>
        <w:rPr>
          <w:rFonts w:ascii="仿宋" w:hAnsi="仿宋" w:eastAsia="仿宋" w:cs="仿宋"/>
          <w:color w:val="000000" w:themeColor="text1"/>
          <w:sz w:val="32"/>
          <w:szCs w:val="32"/>
          <w:shd w:val="clear" w:color="auto" w:fill="FFFFFF"/>
          <w14:textFill>
            <w14:solidFill>
              <w14:schemeClr w14:val="tx1"/>
            </w14:solidFill>
          </w14:textFill>
        </w:rPr>
        <w:t xml:space="preserve">南京市栖霞区人民政府                  </w:t>
      </w:r>
    </w:p>
    <w:p w14:paraId="1A504AF0">
      <w:pPr>
        <w:spacing w:line="580" w:lineRule="exact"/>
        <w:rPr>
          <w:rFonts w:ascii="仿宋" w:hAnsi="仿宋" w:eastAsia="仿宋" w:cs="仿宋"/>
          <w:color w:val="000000" w:themeColor="text1"/>
          <w:sz w:val="32"/>
          <w:szCs w:val="32"/>
          <w:shd w:val="clear" w:color="auto" w:fill="FFFFFF"/>
          <w14:textFill>
            <w14:solidFill>
              <w14:schemeClr w14:val="tx1"/>
            </w14:solidFill>
          </w14:textFill>
        </w:rPr>
      </w:pPr>
      <w:r>
        <w:rPr>
          <w:rFonts w:ascii="仿宋" w:hAnsi="仿宋" w:eastAsia="仿宋" w:cs="仿宋"/>
          <w:color w:val="000000" w:themeColor="text1"/>
          <w:sz w:val="32"/>
          <w:szCs w:val="32"/>
          <w:shd w:val="clear" w:color="auto" w:fill="FFFFFF"/>
          <w14:textFill>
            <w14:solidFill>
              <w14:schemeClr w14:val="tx1"/>
            </w14:solidFill>
          </w14:textFill>
        </w:rPr>
        <w:t xml:space="preserve">                                     年   月   日</w:t>
      </w:r>
    </w:p>
    <w:p w14:paraId="758D3716">
      <w:pPr>
        <w:spacing w:line="580" w:lineRule="exact"/>
        <w:rPr>
          <w:rFonts w:hint="eastAsia" w:ascii="仿宋" w:hAnsi="仿宋" w:eastAsia="仿宋" w:cs="仿宋"/>
          <w:color w:val="000000" w:themeColor="text1"/>
          <w:sz w:val="32"/>
          <w:szCs w:val="32"/>
          <w:shd w:val="clear" w:color="auto" w:fill="FFFFFF"/>
          <w14:textFill>
            <w14:solidFill>
              <w14:schemeClr w14:val="tx1"/>
            </w14:solidFill>
          </w14:textFill>
        </w:rPr>
      </w:pPr>
    </w:p>
    <w:p w14:paraId="458736C9">
      <w:pPr>
        <w:spacing w:line="580" w:lineRule="exact"/>
        <w:rPr>
          <w:rFonts w:hint="eastAsia" w:ascii="仿宋" w:hAnsi="仿宋" w:eastAsia="仿宋" w:cs="仿宋"/>
          <w:color w:val="333333"/>
          <w:sz w:val="32"/>
          <w:szCs w:val="32"/>
          <w:shd w:val="clear" w:color="auto" w:fill="FFFFFF"/>
        </w:rPr>
      </w:pPr>
    </w:p>
    <w:sectPr>
      <w:pgSz w:w="11906" w:h="16838"/>
      <w:pgMar w:top="1814" w:right="1417" w:bottom="204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CD5A6B"/>
    <w:multiLevelType w:val="singleLevel"/>
    <w:tmpl w:val="C4CD5A6B"/>
    <w:lvl w:ilvl="0" w:tentative="0">
      <w:start w:val="1"/>
      <w:numFmt w:val="chineseCounting"/>
      <w:suff w:val="nothing"/>
      <w:lvlText w:val="（%1）"/>
      <w:lvlJc w:val="left"/>
      <w:rPr>
        <w:rFonts w:hint="eastAsia"/>
      </w:rPr>
    </w:lvl>
  </w:abstractNum>
  <w:abstractNum w:abstractNumId="1">
    <w:nsid w:val="2E862A41"/>
    <w:multiLevelType w:val="singleLevel"/>
    <w:tmpl w:val="2E862A41"/>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D7C"/>
    <w:rsid w:val="00266E0C"/>
    <w:rsid w:val="004A6F0F"/>
    <w:rsid w:val="004E5EC4"/>
    <w:rsid w:val="006A7D7C"/>
    <w:rsid w:val="016320EC"/>
    <w:rsid w:val="01DE1773"/>
    <w:rsid w:val="05DC7F8D"/>
    <w:rsid w:val="0AB850BB"/>
    <w:rsid w:val="0AC27289"/>
    <w:rsid w:val="0CAA28A8"/>
    <w:rsid w:val="0D60297E"/>
    <w:rsid w:val="0EFD6FC4"/>
    <w:rsid w:val="0FEC36EF"/>
    <w:rsid w:val="11156BF5"/>
    <w:rsid w:val="115E0B93"/>
    <w:rsid w:val="122858AC"/>
    <w:rsid w:val="1496763A"/>
    <w:rsid w:val="174C1A44"/>
    <w:rsid w:val="184C59D6"/>
    <w:rsid w:val="18827259"/>
    <w:rsid w:val="1BAF17E4"/>
    <w:rsid w:val="1BFA6C62"/>
    <w:rsid w:val="1BFD5C8B"/>
    <w:rsid w:val="1D8B05A9"/>
    <w:rsid w:val="1E6D6754"/>
    <w:rsid w:val="1F7C5277"/>
    <w:rsid w:val="1F983350"/>
    <w:rsid w:val="1FB97650"/>
    <w:rsid w:val="2119430C"/>
    <w:rsid w:val="21A053B2"/>
    <w:rsid w:val="22CE3412"/>
    <w:rsid w:val="24147698"/>
    <w:rsid w:val="24853FA4"/>
    <w:rsid w:val="26E37BD5"/>
    <w:rsid w:val="287039D2"/>
    <w:rsid w:val="2AF25E88"/>
    <w:rsid w:val="2BDD5AAF"/>
    <w:rsid w:val="2DFC4A0C"/>
    <w:rsid w:val="2E98076B"/>
    <w:rsid w:val="2F2F5238"/>
    <w:rsid w:val="3171567B"/>
    <w:rsid w:val="342D547F"/>
    <w:rsid w:val="392F259D"/>
    <w:rsid w:val="394068F4"/>
    <w:rsid w:val="39D56413"/>
    <w:rsid w:val="3A6334FF"/>
    <w:rsid w:val="3BED2703"/>
    <w:rsid w:val="3C1F305C"/>
    <w:rsid w:val="423D5A66"/>
    <w:rsid w:val="46BE49FE"/>
    <w:rsid w:val="496B2064"/>
    <w:rsid w:val="4EA407AA"/>
    <w:rsid w:val="4F3434DC"/>
    <w:rsid w:val="59E912AC"/>
    <w:rsid w:val="59FB7F82"/>
    <w:rsid w:val="5BCA1E74"/>
    <w:rsid w:val="5D6C5C7F"/>
    <w:rsid w:val="5E6C3923"/>
    <w:rsid w:val="5F6471AC"/>
    <w:rsid w:val="60180654"/>
    <w:rsid w:val="60B54B1F"/>
    <w:rsid w:val="61DC274E"/>
    <w:rsid w:val="61E82848"/>
    <w:rsid w:val="622E342D"/>
    <w:rsid w:val="623C31ED"/>
    <w:rsid w:val="625D560E"/>
    <w:rsid w:val="63F64AC4"/>
    <w:rsid w:val="660D737A"/>
    <w:rsid w:val="68174D79"/>
    <w:rsid w:val="69643755"/>
    <w:rsid w:val="6CD31951"/>
    <w:rsid w:val="6DC95799"/>
    <w:rsid w:val="6DFF3A4C"/>
    <w:rsid w:val="6EC15656"/>
    <w:rsid w:val="6EF94940"/>
    <w:rsid w:val="718C7013"/>
    <w:rsid w:val="72916C3D"/>
    <w:rsid w:val="72A42E14"/>
    <w:rsid w:val="74092A93"/>
    <w:rsid w:val="755E77A8"/>
    <w:rsid w:val="760862B5"/>
    <w:rsid w:val="760C73C1"/>
    <w:rsid w:val="7818737A"/>
    <w:rsid w:val="789C45CA"/>
    <w:rsid w:val="798471EA"/>
    <w:rsid w:val="7D3A4675"/>
    <w:rsid w:val="7F56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annotation text"/>
    <w:basedOn w:val="1"/>
    <w:link w:val="13"/>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3"/>
    <w:next w:val="3"/>
    <w:link w:val="14"/>
    <w:qFormat/>
    <w:uiPriority w:val="0"/>
    <w:rPr>
      <w:b/>
      <w:bCs/>
    </w:rPr>
  </w:style>
  <w:style w:type="character" w:styleId="10">
    <w:name w:val="annotation reference"/>
    <w:basedOn w:val="9"/>
    <w:qFormat/>
    <w:uiPriority w:val="0"/>
    <w:rPr>
      <w:sz w:val="21"/>
      <w:szCs w:val="21"/>
    </w:rPr>
  </w:style>
  <w:style w:type="character" w:customStyle="1" w:styleId="11">
    <w:name w:val="页眉 字符"/>
    <w:basedOn w:val="9"/>
    <w:link w:val="5"/>
    <w:qFormat/>
    <w:uiPriority w:val="0"/>
    <w:rPr>
      <w:rFonts w:asciiTheme="minorHAnsi" w:hAnsiTheme="minorHAnsi" w:eastAsiaTheme="minorEastAsia" w:cstheme="minorBidi"/>
      <w:kern w:val="2"/>
      <w:sz w:val="18"/>
      <w:szCs w:val="18"/>
    </w:rPr>
  </w:style>
  <w:style w:type="character" w:customStyle="1" w:styleId="12">
    <w:name w:val="页脚 字符"/>
    <w:basedOn w:val="9"/>
    <w:link w:val="4"/>
    <w:qFormat/>
    <w:uiPriority w:val="0"/>
    <w:rPr>
      <w:rFonts w:asciiTheme="minorHAnsi" w:hAnsiTheme="minorHAnsi" w:eastAsiaTheme="minorEastAsia" w:cstheme="minorBidi"/>
      <w:kern w:val="2"/>
      <w:sz w:val="18"/>
      <w:szCs w:val="18"/>
    </w:rPr>
  </w:style>
  <w:style w:type="character" w:customStyle="1" w:styleId="13">
    <w:name w:val="批注文字 字符"/>
    <w:basedOn w:val="9"/>
    <w:link w:val="3"/>
    <w:qFormat/>
    <w:uiPriority w:val="0"/>
    <w:rPr>
      <w:rFonts w:asciiTheme="minorHAnsi" w:hAnsiTheme="minorHAnsi" w:eastAsiaTheme="minorEastAsia" w:cstheme="minorBidi"/>
      <w:kern w:val="2"/>
      <w:sz w:val="21"/>
      <w:szCs w:val="24"/>
    </w:rPr>
  </w:style>
  <w:style w:type="character" w:customStyle="1" w:styleId="14">
    <w:name w:val="批注主题 字符"/>
    <w:basedOn w:val="13"/>
    <w:link w:val="7"/>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1115</Words>
  <Characters>1185</Characters>
  <Lines>86</Lines>
  <Paragraphs>78</Paragraphs>
  <TotalTime>1</TotalTime>
  <ScaleCrop>false</ScaleCrop>
  <LinksUpToDate>false</LinksUpToDate>
  <CharactersWithSpaces>1247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2026-06-12T06:43:00Z</dcterms:created>
  <dc:creator>Administrator</dc:creator>
  <cp:lastModifiedBy>Administrator</cp:lastModifiedBy>
  <cp:lastPrinted>2026-06-15T02:07:00Z</cp:lastPrinted>
  <dcterms:modified xsi:type="dcterms:W3CDTF">2026-08-17T08:08:25Z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eyJoZGlkIjoiMjFmMjMwNTEzOTU0YjYwOWMyYjliZjIxMjhiYzk2YWUifQ==</vt:lpwstr>
  </property>
  <property fmtid="{D5CDD505-2E9C-101B-9397-08002B2CF9AE}" pid="4" name="ICV">
    <vt:lpwstr>49C2C2DFEF7A48768E2B44FE05BF7018_13</vt:lpwstr>
  </property>
</Properties>
</file>