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6B04">
      <w:pPr>
        <w:spacing w:line="200" w:lineRule="exact"/>
        <w:rPr>
          <w:rFonts w:hint="eastAsia" w:ascii="宋体" w:hAnsi="宋体" w:eastAsia="宋体" w:cs="宋体"/>
          <w:color w:val="auto"/>
          <w:sz w:val="24"/>
        </w:rPr>
      </w:pPr>
    </w:p>
    <w:p w14:paraId="402BE30F">
      <w:pPr>
        <w:pStyle w:val="89"/>
        <w:rPr>
          <w:rFonts w:hint="eastAsia" w:ascii="宋体" w:hAnsi="宋体" w:eastAsia="宋体" w:cs="宋体"/>
          <w:color w:val="auto"/>
          <w:sz w:val="24"/>
        </w:rPr>
      </w:pPr>
    </w:p>
    <w:p w14:paraId="09BD9D37">
      <w:pPr>
        <w:pStyle w:val="89"/>
        <w:rPr>
          <w:rFonts w:hint="eastAsia" w:ascii="宋体" w:hAnsi="宋体" w:eastAsia="宋体" w:cs="宋体"/>
          <w:color w:val="auto"/>
          <w:sz w:val="24"/>
        </w:rPr>
      </w:pPr>
    </w:p>
    <w:p w14:paraId="2B7B4649">
      <w:pPr>
        <w:spacing w:line="200" w:lineRule="exact"/>
        <w:rPr>
          <w:rFonts w:hint="eastAsia" w:ascii="宋体" w:hAnsi="宋体" w:eastAsia="宋体" w:cs="宋体"/>
          <w:color w:val="auto"/>
          <w:sz w:val="24"/>
        </w:rPr>
      </w:pPr>
    </w:p>
    <w:p w14:paraId="680E6103">
      <w:pPr>
        <w:spacing w:line="200" w:lineRule="exact"/>
        <w:rPr>
          <w:rFonts w:hint="eastAsia" w:ascii="宋体" w:hAnsi="宋体" w:eastAsia="宋体" w:cs="宋体"/>
          <w:color w:val="auto"/>
          <w:sz w:val="24"/>
        </w:rPr>
      </w:pPr>
    </w:p>
    <w:p w14:paraId="7EB1A506">
      <w:pPr>
        <w:spacing w:line="200" w:lineRule="exact"/>
        <w:rPr>
          <w:rFonts w:hint="eastAsia" w:ascii="宋体" w:hAnsi="宋体" w:eastAsia="宋体" w:cs="宋体"/>
          <w:color w:val="auto"/>
          <w:sz w:val="24"/>
        </w:rPr>
      </w:pPr>
    </w:p>
    <w:p w14:paraId="6A4A4EBC">
      <w:pPr>
        <w:spacing w:line="360" w:lineRule="auto"/>
        <w:jc w:val="center"/>
        <w:rPr>
          <w:rFonts w:hint="eastAsia" w:ascii="宋体" w:hAnsi="宋体" w:eastAsia="宋体" w:cs="宋体"/>
          <w:color w:val="auto"/>
          <w:sz w:val="24"/>
        </w:rPr>
      </w:pPr>
      <w:r>
        <w:rPr>
          <w:rFonts w:hint="eastAsia" w:ascii="宋体" w:hAnsi="宋体" w:eastAsia="宋体" w:cs="宋体"/>
          <w:b/>
          <w:bCs/>
          <w:color w:val="auto"/>
          <w:sz w:val="32"/>
          <w:szCs w:val="32"/>
        </w:rPr>
        <w:t>2027年南京市栖霞区农药包装废弃物与废旧农膜回收处置项目</w:t>
      </w:r>
    </w:p>
    <w:p w14:paraId="2856CADE">
      <w:pPr>
        <w:spacing w:line="200" w:lineRule="exact"/>
        <w:rPr>
          <w:rFonts w:hint="eastAsia" w:ascii="宋体" w:hAnsi="宋体" w:eastAsia="宋体" w:cs="宋体"/>
          <w:color w:val="auto"/>
          <w:sz w:val="24"/>
        </w:rPr>
      </w:pPr>
    </w:p>
    <w:p w14:paraId="1684B151">
      <w:pPr>
        <w:pStyle w:val="15"/>
        <w:jc w:val="center"/>
        <w:rPr>
          <w:rFonts w:hint="eastAsia" w:ascii="宋体" w:hAnsi="宋体" w:eastAsia="宋体" w:cs="宋体"/>
          <w:b/>
          <w:bCs/>
          <w:color w:val="auto"/>
          <w:sz w:val="48"/>
          <w:szCs w:val="16"/>
        </w:rPr>
      </w:pPr>
    </w:p>
    <w:p w14:paraId="0294FA8C">
      <w:pPr>
        <w:spacing w:line="0" w:lineRule="atLeast"/>
        <w:rPr>
          <w:rFonts w:hint="eastAsia" w:ascii="宋体" w:hAnsi="宋体" w:eastAsia="宋体" w:cs="宋体"/>
          <w:b/>
          <w:color w:val="auto"/>
          <w:sz w:val="96"/>
          <w:szCs w:val="72"/>
        </w:rPr>
      </w:pPr>
    </w:p>
    <w:p w14:paraId="6ACD512A">
      <w:pPr>
        <w:spacing w:line="0" w:lineRule="atLeast"/>
        <w:jc w:val="center"/>
        <w:rPr>
          <w:rFonts w:hint="eastAsia" w:ascii="宋体" w:hAnsi="宋体" w:eastAsia="宋体" w:cs="宋体"/>
          <w:color w:val="auto"/>
          <w:sz w:val="52"/>
          <w:szCs w:val="52"/>
        </w:rPr>
      </w:pPr>
      <w:r>
        <w:rPr>
          <w:rFonts w:hint="eastAsia" w:ascii="宋体" w:hAnsi="宋体" w:eastAsia="宋体" w:cs="宋体"/>
          <w:b/>
          <w:color w:val="auto"/>
          <w:sz w:val="52"/>
          <w:szCs w:val="52"/>
        </w:rPr>
        <w:t>招 标 文 件</w:t>
      </w:r>
    </w:p>
    <w:p w14:paraId="5F07406E">
      <w:pPr>
        <w:jc w:val="center"/>
        <w:rPr>
          <w:rFonts w:hint="eastAsia" w:ascii="宋体" w:hAnsi="宋体" w:eastAsia="宋体" w:cs="宋体"/>
          <w:color w:val="auto"/>
          <w:sz w:val="28"/>
        </w:rPr>
      </w:pPr>
    </w:p>
    <w:p w14:paraId="3266183A">
      <w:pPr>
        <w:rPr>
          <w:rFonts w:hint="eastAsia" w:ascii="宋体" w:hAnsi="宋体" w:eastAsia="宋体" w:cs="宋体"/>
          <w:color w:val="auto"/>
        </w:rPr>
      </w:pPr>
    </w:p>
    <w:p w14:paraId="4DDE6F26">
      <w:pPr>
        <w:jc w:val="center"/>
        <w:rPr>
          <w:rFonts w:hint="eastAsia" w:ascii="宋体" w:hAnsi="宋体" w:eastAsia="宋体" w:cs="宋体"/>
          <w:color w:val="auto"/>
          <w:sz w:val="28"/>
        </w:rPr>
      </w:pPr>
    </w:p>
    <w:p w14:paraId="6172884B">
      <w:pPr>
        <w:jc w:val="center"/>
        <w:rPr>
          <w:rFonts w:hint="eastAsia" w:ascii="宋体" w:hAnsi="宋体" w:eastAsia="宋体" w:cs="宋体"/>
          <w:color w:val="auto"/>
          <w:sz w:val="28"/>
        </w:rPr>
      </w:pPr>
      <w:r>
        <w:rPr>
          <w:rFonts w:hint="eastAsia" w:ascii="宋体" w:hAnsi="宋体" w:eastAsia="宋体" w:cs="宋体"/>
          <w:color w:val="auto"/>
          <w:sz w:val="28"/>
        </w:rPr>
        <w:t>项目编号：NJQZD-26069-FW</w:t>
      </w:r>
    </w:p>
    <w:p w14:paraId="096C2496">
      <w:pPr>
        <w:spacing w:line="237" w:lineRule="exact"/>
        <w:rPr>
          <w:rFonts w:hint="eastAsia" w:ascii="宋体" w:hAnsi="宋体" w:eastAsia="宋体" w:cs="宋体"/>
          <w:color w:val="auto"/>
          <w:sz w:val="24"/>
        </w:rPr>
      </w:pPr>
    </w:p>
    <w:p w14:paraId="48C1A593">
      <w:pPr>
        <w:rPr>
          <w:rFonts w:hint="eastAsia" w:ascii="宋体" w:hAnsi="宋体" w:eastAsia="宋体" w:cs="宋体"/>
          <w:color w:val="auto"/>
          <w:sz w:val="28"/>
        </w:rPr>
      </w:pPr>
    </w:p>
    <w:p w14:paraId="095B48FD">
      <w:pPr>
        <w:pStyle w:val="15"/>
        <w:rPr>
          <w:rFonts w:hint="eastAsia" w:ascii="宋体" w:hAnsi="宋体" w:eastAsia="宋体" w:cs="宋体"/>
          <w:color w:val="auto"/>
        </w:rPr>
      </w:pPr>
    </w:p>
    <w:p w14:paraId="6C8AB42C">
      <w:pPr>
        <w:spacing w:line="200" w:lineRule="exact"/>
        <w:rPr>
          <w:rFonts w:hint="eastAsia" w:ascii="宋体" w:hAnsi="宋体" w:eastAsia="宋体" w:cs="宋体"/>
          <w:color w:val="auto"/>
          <w:sz w:val="24"/>
        </w:rPr>
      </w:pPr>
    </w:p>
    <w:p w14:paraId="712B06CF">
      <w:pPr>
        <w:spacing w:line="200" w:lineRule="exact"/>
        <w:rPr>
          <w:rFonts w:hint="eastAsia" w:ascii="宋体" w:hAnsi="宋体" w:eastAsia="宋体" w:cs="宋体"/>
          <w:color w:val="auto"/>
          <w:sz w:val="24"/>
        </w:rPr>
      </w:pPr>
    </w:p>
    <w:p w14:paraId="37F6A712">
      <w:pPr>
        <w:spacing w:line="200" w:lineRule="exact"/>
        <w:rPr>
          <w:rFonts w:hint="eastAsia" w:ascii="宋体" w:hAnsi="宋体" w:eastAsia="宋体" w:cs="宋体"/>
          <w:color w:val="auto"/>
          <w:sz w:val="24"/>
        </w:rPr>
      </w:pPr>
    </w:p>
    <w:p w14:paraId="24482CED">
      <w:pPr>
        <w:spacing w:line="200" w:lineRule="exact"/>
        <w:rPr>
          <w:rFonts w:hint="eastAsia" w:ascii="宋体" w:hAnsi="宋体" w:eastAsia="宋体" w:cs="宋体"/>
          <w:color w:val="auto"/>
          <w:sz w:val="24"/>
        </w:rPr>
      </w:pPr>
    </w:p>
    <w:p w14:paraId="78C435F4">
      <w:pPr>
        <w:spacing w:line="336" w:lineRule="exact"/>
        <w:rPr>
          <w:rFonts w:hint="eastAsia" w:ascii="宋体" w:hAnsi="宋体" w:eastAsia="宋体" w:cs="宋体"/>
          <w:color w:val="auto"/>
          <w:sz w:val="24"/>
        </w:rPr>
      </w:pPr>
    </w:p>
    <w:p w14:paraId="4D7ED476">
      <w:pPr>
        <w:spacing w:line="360" w:lineRule="auto"/>
        <w:ind w:firstLine="480"/>
        <w:rPr>
          <w:rFonts w:hint="eastAsia" w:ascii="宋体" w:hAnsi="宋体" w:eastAsia="宋体" w:cs="宋体"/>
          <w:color w:val="auto"/>
          <w:sz w:val="24"/>
        </w:rPr>
      </w:pPr>
    </w:p>
    <w:p w14:paraId="31504304">
      <w:pPr>
        <w:spacing w:line="360" w:lineRule="auto"/>
        <w:rPr>
          <w:rFonts w:hint="eastAsia" w:ascii="宋体" w:hAnsi="宋体" w:eastAsia="宋体" w:cs="宋体"/>
          <w:color w:val="auto"/>
          <w:sz w:val="24"/>
        </w:rPr>
      </w:pPr>
    </w:p>
    <w:p w14:paraId="0838927E">
      <w:pPr>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采购人：南京市栖霞区农业农村局</w:t>
      </w:r>
    </w:p>
    <w:p w14:paraId="2BF121A5">
      <w:pPr>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代理人：南京勤泽道工程项目管理有限公司</w:t>
      </w:r>
    </w:p>
    <w:p w14:paraId="44D43495">
      <w:pPr>
        <w:spacing w:line="360" w:lineRule="auto"/>
        <w:jc w:val="center"/>
        <w:rPr>
          <w:rFonts w:hint="eastAsia" w:ascii="宋体" w:hAnsi="宋体" w:cs="仿宋"/>
          <w:b/>
          <w:bCs/>
          <w:color w:val="auto"/>
          <w:sz w:val="28"/>
          <w:szCs w:val="28"/>
        </w:rPr>
      </w:pPr>
      <w:bookmarkStart w:id="0" w:name="page2"/>
      <w:bookmarkEnd w:id="0"/>
      <w:r>
        <w:rPr>
          <w:rFonts w:hint="eastAsia" w:ascii="宋体" w:hAnsi="宋体" w:cs="仿宋"/>
          <w:b/>
          <w:bCs/>
          <w:color w:val="auto"/>
          <w:sz w:val="28"/>
          <w:szCs w:val="28"/>
        </w:rPr>
        <w:t>二〇二六年</w:t>
      </w:r>
      <w:r>
        <w:rPr>
          <w:rFonts w:hint="eastAsia" w:ascii="宋体" w:hAnsi="宋体" w:cs="仿宋"/>
          <w:b/>
          <w:bCs/>
          <w:color w:val="auto"/>
          <w:sz w:val="28"/>
          <w:szCs w:val="28"/>
          <w:lang w:val="en-US" w:eastAsia="zh-CN"/>
        </w:rPr>
        <w:t>十</w:t>
      </w:r>
      <w:r>
        <w:rPr>
          <w:rFonts w:hint="eastAsia" w:ascii="宋体" w:hAnsi="宋体" w:cs="仿宋"/>
          <w:b/>
          <w:bCs/>
          <w:color w:val="auto"/>
          <w:sz w:val="28"/>
          <w:szCs w:val="28"/>
        </w:rPr>
        <w:t>月</w:t>
      </w:r>
    </w:p>
    <w:p w14:paraId="5A9D4317">
      <w:pPr>
        <w:spacing w:line="360" w:lineRule="auto"/>
        <w:jc w:val="center"/>
        <w:rPr>
          <w:rFonts w:hint="eastAsia" w:ascii="宋体" w:hAnsi="宋体" w:eastAsia="宋体" w:cs="宋体"/>
          <w:b/>
          <w:bCs/>
          <w:color w:val="auto"/>
          <w:sz w:val="32"/>
          <w:szCs w:val="32"/>
        </w:rPr>
      </w:pPr>
    </w:p>
    <w:p w14:paraId="557A674B">
      <w:pPr>
        <w:spacing w:line="312" w:lineRule="auto"/>
        <w:ind w:firstLine="482"/>
        <w:rPr>
          <w:rFonts w:hint="eastAsia" w:ascii="宋体" w:hAnsi="宋体" w:eastAsia="宋体" w:cs="宋体"/>
          <w:color w:val="auto"/>
          <w:sz w:val="24"/>
          <w:lang w:val="zh-CN"/>
        </w:rPr>
        <w:sectPr>
          <w:pgSz w:w="11900" w:h="16838"/>
          <w:pgMar w:top="1440" w:right="1304" w:bottom="1440" w:left="1304" w:header="0" w:footer="567" w:gutter="0"/>
          <w:pgNumType w:start="1"/>
          <w:cols w:space="720" w:num="1"/>
          <w:docGrid w:linePitch="360" w:charSpace="0"/>
        </w:sectPr>
      </w:pPr>
    </w:p>
    <w:p w14:paraId="75E4035C">
      <w:pPr>
        <w:numPr>
          <w:ilvl w:val="0"/>
          <w:numId w:val="1"/>
        </w:numPr>
        <w:jc w:val="center"/>
        <w:rPr>
          <w:rFonts w:hint="eastAsia" w:ascii="宋体" w:hAnsi="宋体" w:eastAsia="宋体" w:cs="宋体"/>
          <w:b/>
          <w:bCs/>
          <w:color w:val="auto"/>
          <w:sz w:val="36"/>
          <w:szCs w:val="36"/>
          <w:lang w:val="zh-CN"/>
        </w:rPr>
      </w:pPr>
      <w:r>
        <w:rPr>
          <w:rFonts w:hint="eastAsia" w:ascii="宋体" w:hAnsi="宋体" w:eastAsia="宋体" w:cs="宋体"/>
          <w:b/>
          <w:bCs/>
          <w:color w:val="auto"/>
          <w:sz w:val="36"/>
          <w:szCs w:val="36"/>
          <w:lang w:val="zh-CN"/>
        </w:rPr>
        <w:t>招标公告</w:t>
      </w:r>
    </w:p>
    <w:p w14:paraId="48F26E3B">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lang w:val="en-US" w:eastAsia="zh-CN"/>
        </w:rPr>
        <w:t>一、</w:t>
      </w:r>
      <w:r>
        <w:rPr>
          <w:rFonts w:hint="eastAsia" w:ascii="宋体" w:hAnsi="宋体" w:eastAsia="宋体" w:cs="宋体"/>
          <w:i w:val="0"/>
          <w:iCs w:val="0"/>
          <w:color w:val="auto"/>
          <w:sz w:val="24"/>
        </w:rPr>
        <w:t>项目概况</w:t>
      </w:r>
    </w:p>
    <w:p w14:paraId="6C9E2F41">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rPr>
        <w:t>2027年南京市栖霞区农药包装废弃物与废旧农膜回收处置项目的潜在供应商应在“南京市栖霞区人民政府”网站获取招标文件，并于2026-</w:t>
      </w:r>
      <w:r>
        <w:rPr>
          <w:rFonts w:hint="eastAsia" w:ascii="宋体" w:hAnsi="宋体" w:eastAsia="宋体" w:cs="宋体"/>
          <w:i w:val="0"/>
          <w:iCs w:val="0"/>
          <w:color w:val="auto"/>
          <w:sz w:val="24"/>
          <w:lang w:val="en-US" w:eastAsia="zh-CN"/>
        </w:rPr>
        <w:t>11</w:t>
      </w:r>
      <w:r>
        <w:rPr>
          <w:rFonts w:hint="eastAsia" w:ascii="宋体" w:hAnsi="宋体" w:eastAsia="宋体" w:cs="宋体"/>
          <w:i w:val="0"/>
          <w:iCs w:val="0"/>
          <w:color w:val="auto"/>
          <w:sz w:val="24"/>
        </w:rPr>
        <w:t>-</w:t>
      </w:r>
      <w:r>
        <w:rPr>
          <w:rFonts w:hint="eastAsia" w:ascii="宋体" w:hAnsi="宋体" w:eastAsia="宋体" w:cs="宋体"/>
          <w:i w:val="0"/>
          <w:iCs w:val="0"/>
          <w:color w:val="auto"/>
          <w:sz w:val="24"/>
          <w:lang w:val="en-US" w:eastAsia="zh-CN"/>
        </w:rPr>
        <w:t>05</w:t>
      </w:r>
      <w:r>
        <w:rPr>
          <w:rFonts w:hint="eastAsia" w:ascii="宋体" w:hAnsi="宋体" w:eastAsia="宋体" w:cs="宋体"/>
          <w:i w:val="0"/>
          <w:iCs w:val="0"/>
          <w:color w:val="auto"/>
          <w:sz w:val="24"/>
        </w:rPr>
        <w:t xml:space="preserve"> 09:30（北京时间）前递交投标文件。</w:t>
      </w:r>
    </w:p>
    <w:p w14:paraId="4F3E7DAC">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lang w:val="en-US" w:eastAsia="zh-CN"/>
        </w:rPr>
        <w:t>二</w:t>
      </w:r>
      <w:r>
        <w:rPr>
          <w:rFonts w:hint="eastAsia" w:ascii="宋体" w:hAnsi="宋体" w:eastAsia="宋体" w:cs="宋体"/>
          <w:i w:val="0"/>
          <w:iCs w:val="0"/>
          <w:color w:val="auto"/>
          <w:sz w:val="24"/>
        </w:rPr>
        <w:t>、项目基本情况</w:t>
      </w:r>
    </w:p>
    <w:p w14:paraId="0B3BB15B">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rPr>
        <w:t>项目编号：NJQZD-26069-FW</w:t>
      </w:r>
    </w:p>
    <w:p w14:paraId="2BF5969E">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rPr>
        <w:t>项目名称：2027年南京市栖霞区农药包装废弃物与废旧农膜回收处置项目</w:t>
      </w:r>
    </w:p>
    <w:p w14:paraId="7DD282B4">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rPr>
        <w:t>预算金额：95.00万元</w:t>
      </w:r>
    </w:p>
    <w:p w14:paraId="2EAE92A4">
      <w:pPr>
        <w:spacing w:line="312" w:lineRule="auto"/>
        <w:ind w:firstLine="482"/>
        <w:rPr>
          <w:rFonts w:hint="eastAsia" w:ascii="宋体" w:hAnsi="宋体" w:eastAsia="宋体" w:cs="宋体"/>
          <w:i w:val="0"/>
          <w:iCs w:val="0"/>
          <w:color w:val="auto"/>
          <w:sz w:val="24"/>
        </w:rPr>
      </w:pPr>
      <w:r>
        <w:rPr>
          <w:rFonts w:hint="eastAsia" w:ascii="宋体" w:hAnsi="宋体" w:eastAsia="宋体" w:cs="宋体"/>
          <w:i w:val="0"/>
          <w:iCs w:val="0"/>
          <w:color w:val="auto"/>
          <w:sz w:val="24"/>
        </w:rPr>
        <w:t>最高限价：95.00万元</w:t>
      </w:r>
      <w:r>
        <w:rPr>
          <w:rFonts w:hint="eastAsia" w:ascii="宋体" w:hAnsi="宋体" w:eastAsia="宋体" w:cs="宋体"/>
          <w:i w:val="0"/>
          <w:iCs w:val="0"/>
          <w:color w:val="auto"/>
          <w:sz w:val="24"/>
          <w:lang w:eastAsia="zh-CN"/>
        </w:rPr>
        <w:t>，</w:t>
      </w:r>
      <w:r>
        <w:rPr>
          <w:rFonts w:hint="eastAsia" w:ascii="宋体" w:hAnsi="宋体" w:eastAsia="宋体" w:cs="宋体"/>
          <w:i w:val="0"/>
          <w:iCs w:val="0"/>
          <w:color w:val="auto"/>
          <w:sz w:val="24"/>
          <w:lang w:val="en-US" w:eastAsia="zh-CN"/>
        </w:rPr>
        <w:t>其中</w:t>
      </w:r>
      <w:r>
        <w:rPr>
          <w:rFonts w:hint="eastAsia" w:ascii="宋体" w:hAnsi="宋体" w:eastAsia="宋体" w:cs="宋体"/>
          <w:color w:val="auto"/>
          <w:sz w:val="24"/>
        </w:rPr>
        <w:t>农药包装废弃物与站点建设费用</w:t>
      </w:r>
      <w:r>
        <w:rPr>
          <w:rFonts w:hint="eastAsia" w:ascii="宋体" w:hAnsi="宋体" w:eastAsia="宋体" w:cs="宋体"/>
          <w:i w:val="0"/>
          <w:iCs w:val="0"/>
          <w:color w:val="auto"/>
          <w:sz w:val="24"/>
          <w:lang w:val="en-US" w:eastAsia="zh-CN"/>
        </w:rPr>
        <w:t>55.00万元，</w:t>
      </w:r>
      <w:r>
        <w:rPr>
          <w:rFonts w:hint="eastAsia" w:ascii="宋体" w:hAnsi="宋体" w:eastAsia="宋体" w:cs="宋体"/>
          <w:color w:val="auto"/>
          <w:sz w:val="24"/>
        </w:rPr>
        <w:t>废旧农膜回收处置</w:t>
      </w:r>
      <w:r>
        <w:rPr>
          <w:rFonts w:hint="eastAsia" w:ascii="宋体" w:hAnsi="宋体" w:eastAsia="宋体" w:cs="宋体"/>
          <w:color w:val="auto"/>
          <w:sz w:val="24"/>
          <w:lang w:val="en-US" w:eastAsia="zh-CN"/>
        </w:rPr>
        <w:t>费用40.00万元（超过最高限价作无效投标处理）</w:t>
      </w:r>
    </w:p>
    <w:p w14:paraId="648D97E3">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采购需求：2027年南京市栖霞区农药包装废弃物与废旧农膜回收处置项目，具体详见招标文件。</w:t>
      </w:r>
    </w:p>
    <w:p w14:paraId="7A8E31B1">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合同履行期限：</w:t>
      </w:r>
      <w:r>
        <w:rPr>
          <w:rFonts w:hint="eastAsia" w:ascii="宋体" w:hAnsi="宋体" w:eastAsia="宋体" w:cs="宋体"/>
          <w:color w:val="auto"/>
          <w:sz w:val="24"/>
          <w:lang w:val="en-US" w:eastAsia="zh-CN"/>
        </w:rPr>
        <w:t>自合同签订之日起至2027年11月</w:t>
      </w:r>
      <w:r>
        <w:rPr>
          <w:rFonts w:hint="eastAsia" w:ascii="宋体" w:hAnsi="宋体" w:eastAsia="宋体" w:cs="宋体"/>
          <w:color w:val="auto"/>
          <w:sz w:val="24"/>
        </w:rPr>
        <w:t>。</w:t>
      </w:r>
    </w:p>
    <w:p w14:paraId="6019B8BF">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本项目（是/否）接受联合体投标：否。</w:t>
      </w:r>
    </w:p>
    <w:p w14:paraId="04916DAE">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lang w:val="en-US" w:eastAsia="zh-CN"/>
        </w:rPr>
        <w:t>三</w:t>
      </w:r>
      <w:r>
        <w:rPr>
          <w:rFonts w:hint="eastAsia" w:ascii="宋体" w:hAnsi="宋体" w:eastAsia="宋体" w:cs="宋体"/>
          <w:color w:val="auto"/>
          <w:sz w:val="24"/>
        </w:rPr>
        <w:t>、申请人的资格要求：</w:t>
      </w:r>
    </w:p>
    <w:p w14:paraId="2C01B2BB">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1.符合《中华人民共和国政府采购法》第二十二条规定：</w:t>
      </w:r>
    </w:p>
    <w:p w14:paraId="697A9B9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（1）具有独立承担民事责任的能力（提供法人或者其他组织的营业执照，自然人的身份证明，复印件并加盖公章）；</w:t>
      </w:r>
    </w:p>
    <w:p w14:paraId="5CD4E487">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具有良好的商业信誉和健全的财务会计制度（提供参加本次采购活动投标文件递交截止时间前半年任意一个月的会计报表或提供2025年度的财务报告，或投标文件递交截止时间前六个月内银行出具的资信证明，成立不满一个月不需提供）；</w:t>
      </w:r>
    </w:p>
    <w:p w14:paraId="7973D56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（3）具有履行合同所必需的设备和专业技术能力的书面声明（供应商根据履行采购项目合同需要，提供履行合同所必需的设备和专业技术能力的证明材料）；</w:t>
      </w:r>
    </w:p>
    <w:p w14:paraId="3037DBA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（4）具有依法缴纳税收和社会保障资金的良好记录（提供参加本次采购活动投标文件递交截止时间前</w:t>
      </w:r>
      <w:r>
        <w:rPr>
          <w:rFonts w:hint="eastAsia" w:ascii="宋体" w:hAnsi="宋体" w:eastAsia="宋体" w:cs="宋体"/>
          <w:color w:val="auto"/>
          <w:sz w:val="24"/>
          <w:lang w:val="en-US" w:eastAsia="zh-CN"/>
        </w:rPr>
        <w:t>半年内任意一个月</w:t>
      </w:r>
      <w:r>
        <w:rPr>
          <w:rFonts w:hint="eastAsia" w:ascii="宋体" w:hAnsi="宋体" w:eastAsia="宋体" w:cs="宋体"/>
          <w:color w:val="auto"/>
          <w:sz w:val="24"/>
        </w:rPr>
        <w:t>缴纳税收的凭据；提供参加本次采购活动投标文件递交截止时间前</w:t>
      </w:r>
      <w:r>
        <w:rPr>
          <w:rFonts w:hint="eastAsia" w:ascii="宋体" w:hAnsi="宋体" w:eastAsia="宋体" w:cs="宋体"/>
          <w:color w:val="auto"/>
          <w:sz w:val="24"/>
          <w:lang w:val="en-US" w:eastAsia="zh-CN"/>
        </w:rPr>
        <w:t>半年内任意一个月</w:t>
      </w:r>
      <w:r>
        <w:rPr>
          <w:rFonts w:hint="eastAsia" w:ascii="宋体" w:hAnsi="宋体" w:eastAsia="宋体" w:cs="宋体"/>
          <w:color w:val="auto"/>
          <w:sz w:val="24"/>
        </w:rPr>
        <w:t>缴纳社会保险的凭据（专用收据或社会保险缴纳清单），成立不满一个月不需提供）；</w:t>
      </w:r>
    </w:p>
    <w:p w14:paraId="74DC01E0">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（5）参加政府采购活动前三年内，在经营活动中没有重大违法记录（格式见附件）；</w:t>
      </w:r>
    </w:p>
    <w:p w14:paraId="0E5D42A2">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（6）法律、行政法规规定的其他条件：无。</w:t>
      </w:r>
    </w:p>
    <w:p w14:paraId="4AAD7AE8">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落实政府采购政策需满足的资格要求：本项目非专门面向中小企业（或监狱企业或残疾人福利性单位）采购。本项目执行《政府采购促进中小企业发展管理办法》《关于政府采购支持监狱企业发展有关问题的通知》《关于促进残疾人就业政府采购政策的通知》《财政部、发展改革委、生态环境部、市场监管总局关于调整优化节能产品、环境标志产品政府采购执行机制的通知》（财库〔2019〕9号）和《财政部、发展改革委关于印发节能产品政府采购品目清单的通知》（财库〔2019〕19号）等政府采购文件</w:t>
      </w:r>
      <w:r>
        <w:rPr>
          <w:rFonts w:ascii="宋体" w:hAnsi="宋体" w:eastAsia="宋体" w:cs="宋体"/>
          <w:color w:val="auto"/>
          <w:sz w:val="24"/>
        </w:rPr>
        <w:t>。</w:t>
      </w:r>
    </w:p>
    <w:p w14:paraId="33E89329">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3.本项目的特定资格要求：无</w:t>
      </w:r>
    </w:p>
    <w:p w14:paraId="52C0E62F">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lang w:val="en-US" w:eastAsia="zh-CN"/>
        </w:rPr>
        <w:t>四</w:t>
      </w:r>
      <w:r>
        <w:rPr>
          <w:rFonts w:hint="eastAsia" w:ascii="宋体" w:hAnsi="宋体" w:eastAsia="宋体" w:cs="宋体"/>
          <w:color w:val="auto"/>
          <w:sz w:val="24"/>
        </w:rPr>
        <w:t>、获取招标文件</w:t>
      </w:r>
    </w:p>
    <w:p w14:paraId="35F38456">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获取时间：2026年</w:t>
      </w:r>
      <w:r>
        <w:rPr>
          <w:rFonts w:hint="eastAsia" w:ascii="宋体" w:hAnsi="宋体" w:eastAsia="宋体" w:cs="宋体"/>
          <w:color w:val="auto"/>
          <w:sz w:val="24"/>
          <w:lang w:val="en-US" w:eastAsia="zh-CN"/>
        </w:rPr>
        <w:t>10</w:t>
      </w:r>
      <w:r>
        <w:rPr>
          <w:rFonts w:hint="eastAsia" w:ascii="宋体" w:hAnsi="宋体" w:eastAsia="宋体" w:cs="宋体"/>
          <w:color w:val="auto"/>
          <w:sz w:val="24"/>
        </w:rPr>
        <w:t>月</w:t>
      </w:r>
      <w:r>
        <w:rPr>
          <w:rFonts w:hint="eastAsia" w:ascii="宋体" w:hAnsi="宋体" w:eastAsia="宋体" w:cs="宋体"/>
          <w:color w:val="auto"/>
          <w:sz w:val="24"/>
          <w:lang w:val="en-US" w:eastAsia="zh-CN"/>
        </w:rPr>
        <w:t>16</w:t>
      </w:r>
      <w:r>
        <w:rPr>
          <w:rFonts w:hint="eastAsia" w:ascii="宋体" w:hAnsi="宋体" w:eastAsia="宋体" w:cs="宋体"/>
          <w:color w:val="auto"/>
          <w:sz w:val="24"/>
        </w:rPr>
        <w:t>日起至2026年</w:t>
      </w:r>
      <w:r>
        <w:rPr>
          <w:rFonts w:hint="eastAsia" w:ascii="宋体" w:hAnsi="宋体" w:eastAsia="宋体" w:cs="宋体"/>
          <w:color w:val="auto"/>
          <w:sz w:val="24"/>
          <w:lang w:val="en-US" w:eastAsia="zh-CN"/>
        </w:rPr>
        <w:t>10</w:t>
      </w:r>
      <w:r>
        <w:rPr>
          <w:rFonts w:hint="eastAsia" w:ascii="宋体" w:hAnsi="宋体" w:eastAsia="宋体" w:cs="宋体"/>
          <w:color w:val="auto"/>
          <w:sz w:val="24"/>
        </w:rPr>
        <w:t>月</w:t>
      </w:r>
      <w:r>
        <w:rPr>
          <w:rFonts w:hint="eastAsia" w:ascii="宋体" w:hAnsi="宋体" w:eastAsia="宋体" w:cs="宋体"/>
          <w:color w:val="auto"/>
          <w:sz w:val="24"/>
          <w:lang w:val="en-US" w:eastAsia="zh-CN"/>
        </w:rPr>
        <w:t>22</w:t>
      </w:r>
      <w:r>
        <w:rPr>
          <w:rFonts w:hint="eastAsia" w:ascii="宋体" w:hAnsi="宋体" w:eastAsia="宋体" w:cs="宋体"/>
          <w:color w:val="auto"/>
          <w:sz w:val="24"/>
        </w:rPr>
        <w:t>日（北京时间，法定节假日除外）。</w:t>
      </w:r>
    </w:p>
    <w:p w14:paraId="0428BB65">
      <w:pPr>
        <w:pStyle w:val="35"/>
        <w:spacing w:before="0" w:beforeAutospacing="0" w:after="0" w:afterAutospacing="0" w:line="360" w:lineRule="auto"/>
        <w:ind w:firstLine="480" w:firstLineChars="200"/>
        <w:rPr>
          <w:rFonts w:hint="eastAsia"/>
          <w:color w:val="auto"/>
        </w:rPr>
      </w:pPr>
      <w:r>
        <w:rPr>
          <w:rFonts w:hint="eastAsia" w:eastAsia="宋体"/>
          <w:color w:val="auto"/>
        </w:rPr>
        <w:t>获取方式：免费下载获取，</w:t>
      </w:r>
      <w:r>
        <w:rPr>
          <w:color w:val="auto"/>
        </w:rPr>
        <w:fldChar w:fldCharType="begin"/>
      </w:r>
      <w:r>
        <w:rPr>
          <w:color w:val="auto"/>
        </w:rPr>
        <w:instrText xml:space="preserve"> HYPERLINK "mailto:请将经办人身份证复印件加盖公章以附件形式上传发送至代理机构邮箱2068841442@qq.com，邮件主题标明项目编号NJQZD-26015-FW+申请人名称，免费获取。" </w:instrText>
      </w:r>
      <w:r>
        <w:rPr>
          <w:color w:val="auto"/>
        </w:rPr>
        <w:fldChar w:fldCharType="separate"/>
      </w:r>
      <w:r>
        <w:rPr>
          <w:rFonts w:hint="eastAsia" w:eastAsia="宋体"/>
          <w:color w:val="auto"/>
        </w:rPr>
        <w:t>供应商在获取招标文件规定时间内将单位介绍信原件（或授权委托书原件）、委托代理人身份证复印件并加盖公章以附件形式上传发送至代理机构邮箱2068841442@qq.com，邮件主题标明项目编号+申请人名称。</w:t>
      </w:r>
      <w:r>
        <w:rPr>
          <w:rFonts w:hint="eastAsia" w:eastAsia="宋体"/>
          <w:color w:val="auto"/>
        </w:rPr>
        <w:fldChar w:fldCharType="end"/>
      </w:r>
    </w:p>
    <w:p w14:paraId="5E7032A3">
      <w:pPr>
        <w:pStyle w:val="35"/>
        <w:spacing w:before="0" w:beforeAutospacing="0" w:after="0" w:afterAutospacing="0" w:line="312" w:lineRule="auto"/>
        <w:ind w:firstLine="480" w:firstLineChars="200"/>
        <w:rPr>
          <w:rFonts w:hint="eastAsia"/>
          <w:color w:val="auto"/>
        </w:rPr>
      </w:pPr>
      <w:r>
        <w:rPr>
          <w:rFonts w:hint="eastAsia"/>
          <w:color w:val="auto"/>
          <w:lang w:val="en-US" w:eastAsia="zh-CN"/>
        </w:rPr>
        <w:t>五</w:t>
      </w:r>
      <w:r>
        <w:rPr>
          <w:rFonts w:hint="eastAsia"/>
          <w:color w:val="auto"/>
        </w:rPr>
        <w:t>、响应文件递交</w:t>
      </w:r>
    </w:p>
    <w:p w14:paraId="600A8463">
      <w:pPr>
        <w:spacing w:line="312" w:lineRule="auto"/>
        <w:ind w:firstLine="480"/>
        <w:rPr>
          <w:rFonts w:hint="eastAsia" w:ascii="宋体" w:hAnsi="宋体" w:cs="宋体"/>
          <w:color w:val="auto"/>
          <w:sz w:val="24"/>
        </w:rPr>
      </w:pPr>
      <w:r>
        <w:rPr>
          <w:rFonts w:hint="eastAsia" w:ascii="宋体" w:hAnsi="宋体" w:cs="宋体"/>
          <w:color w:val="auto"/>
          <w:sz w:val="24"/>
        </w:rPr>
        <w:t>递交开始时间：2026年</w:t>
      </w:r>
      <w:r>
        <w:rPr>
          <w:rFonts w:hint="eastAsia" w:ascii="宋体" w:hAnsi="宋体" w:cs="宋体"/>
          <w:color w:val="auto"/>
          <w:sz w:val="24"/>
          <w:lang w:val="en-US" w:eastAsia="zh-CN"/>
        </w:rPr>
        <w:t>11</w:t>
      </w:r>
      <w:r>
        <w:rPr>
          <w:rFonts w:hint="eastAsia" w:ascii="宋体" w:hAnsi="宋体" w:cs="宋体"/>
          <w:color w:val="auto"/>
          <w:sz w:val="24"/>
        </w:rPr>
        <w:t>月</w:t>
      </w:r>
      <w:r>
        <w:rPr>
          <w:rFonts w:hint="eastAsia" w:ascii="宋体" w:hAnsi="宋体" w:cs="宋体"/>
          <w:color w:val="auto"/>
          <w:sz w:val="24"/>
          <w:lang w:val="en-US" w:eastAsia="zh-CN"/>
        </w:rPr>
        <w:t>05</w:t>
      </w:r>
      <w:r>
        <w:rPr>
          <w:rFonts w:hint="eastAsia" w:ascii="宋体" w:hAnsi="宋体" w:cs="宋体"/>
          <w:color w:val="auto"/>
          <w:sz w:val="24"/>
        </w:rPr>
        <w:t>日09时00分（北京时间）；</w:t>
      </w:r>
    </w:p>
    <w:p w14:paraId="43B88219">
      <w:pPr>
        <w:spacing w:line="312" w:lineRule="auto"/>
        <w:ind w:firstLine="480"/>
        <w:rPr>
          <w:rFonts w:hint="eastAsia" w:ascii="宋体" w:hAnsi="宋体" w:cs="宋体"/>
          <w:color w:val="auto"/>
          <w:sz w:val="24"/>
        </w:rPr>
      </w:pPr>
      <w:r>
        <w:rPr>
          <w:rFonts w:hint="eastAsia" w:ascii="宋体" w:hAnsi="宋体" w:cs="宋体"/>
          <w:color w:val="auto"/>
          <w:sz w:val="24"/>
        </w:rPr>
        <w:t>递交截止时间：2026年</w:t>
      </w:r>
      <w:r>
        <w:rPr>
          <w:rFonts w:hint="eastAsia" w:ascii="宋体" w:hAnsi="宋体" w:cs="宋体"/>
          <w:color w:val="auto"/>
          <w:sz w:val="24"/>
          <w:lang w:val="en-US" w:eastAsia="zh-CN"/>
        </w:rPr>
        <w:t>11</w:t>
      </w:r>
      <w:r>
        <w:rPr>
          <w:rFonts w:hint="eastAsia" w:ascii="宋体" w:hAnsi="宋体" w:cs="宋体"/>
          <w:color w:val="auto"/>
          <w:sz w:val="24"/>
        </w:rPr>
        <w:t>月</w:t>
      </w:r>
      <w:r>
        <w:rPr>
          <w:rFonts w:hint="eastAsia" w:ascii="宋体" w:hAnsi="宋体" w:cs="宋体"/>
          <w:color w:val="auto"/>
          <w:sz w:val="24"/>
          <w:lang w:val="en-US" w:eastAsia="zh-CN"/>
        </w:rPr>
        <w:t>05</w:t>
      </w:r>
      <w:r>
        <w:rPr>
          <w:rFonts w:hint="eastAsia" w:ascii="宋体" w:hAnsi="宋体" w:cs="宋体"/>
          <w:color w:val="auto"/>
          <w:sz w:val="24"/>
        </w:rPr>
        <w:t>日09时30分（北京时间）；</w:t>
      </w:r>
    </w:p>
    <w:p w14:paraId="49F250C5">
      <w:pPr>
        <w:pStyle w:val="35"/>
        <w:spacing w:before="0" w:beforeAutospacing="0" w:after="0" w:afterAutospacing="0" w:line="312" w:lineRule="auto"/>
        <w:ind w:firstLine="480" w:firstLineChars="200"/>
        <w:rPr>
          <w:rFonts w:hint="eastAsia"/>
          <w:color w:val="auto"/>
        </w:rPr>
      </w:pPr>
      <w:r>
        <w:rPr>
          <w:rFonts w:hint="eastAsia"/>
          <w:color w:val="auto"/>
        </w:rPr>
        <w:t>递交地点：南京市玄武区红山路常发广场2号楼520室。</w:t>
      </w:r>
    </w:p>
    <w:p w14:paraId="4C3699EF">
      <w:pPr>
        <w:pStyle w:val="35"/>
        <w:spacing w:before="0" w:beforeAutospacing="0" w:after="0" w:afterAutospacing="0" w:line="312" w:lineRule="auto"/>
        <w:ind w:firstLine="480" w:firstLineChars="200"/>
        <w:rPr>
          <w:rFonts w:hint="eastAsia"/>
          <w:color w:val="auto"/>
        </w:rPr>
      </w:pPr>
      <w:r>
        <w:rPr>
          <w:rFonts w:hint="eastAsia"/>
          <w:color w:val="auto"/>
          <w:lang w:val="en-US" w:eastAsia="zh-CN"/>
        </w:rPr>
        <w:t>六</w:t>
      </w:r>
      <w:r>
        <w:rPr>
          <w:rFonts w:hint="eastAsia"/>
          <w:color w:val="auto"/>
        </w:rPr>
        <w:t>、开启</w:t>
      </w:r>
    </w:p>
    <w:p w14:paraId="28DA514B">
      <w:pPr>
        <w:pStyle w:val="35"/>
        <w:spacing w:before="0" w:beforeAutospacing="0" w:after="0" w:afterAutospacing="0" w:line="312" w:lineRule="auto"/>
        <w:ind w:firstLine="480"/>
        <w:rPr>
          <w:rFonts w:hint="eastAsia"/>
          <w:color w:val="auto"/>
        </w:rPr>
      </w:pPr>
      <w:r>
        <w:rPr>
          <w:rFonts w:hint="eastAsia"/>
          <w:color w:val="auto"/>
        </w:rPr>
        <w:t>时间：2026年</w:t>
      </w:r>
      <w:r>
        <w:rPr>
          <w:rFonts w:hint="eastAsia"/>
          <w:color w:val="auto"/>
          <w:lang w:val="en-US" w:eastAsia="zh-CN"/>
        </w:rPr>
        <w:t>11</w:t>
      </w:r>
      <w:r>
        <w:rPr>
          <w:rFonts w:hint="eastAsia"/>
          <w:color w:val="auto"/>
        </w:rPr>
        <w:t>月</w:t>
      </w:r>
      <w:r>
        <w:rPr>
          <w:rFonts w:hint="eastAsia"/>
          <w:color w:val="auto"/>
          <w:lang w:val="en-US" w:eastAsia="zh-CN"/>
        </w:rPr>
        <w:t>05</w:t>
      </w:r>
      <w:r>
        <w:rPr>
          <w:rFonts w:hint="eastAsia"/>
          <w:color w:val="auto"/>
        </w:rPr>
        <w:t>日09时30分（北京时间）</w:t>
      </w:r>
    </w:p>
    <w:p w14:paraId="5DFA1298">
      <w:pPr>
        <w:pStyle w:val="35"/>
        <w:spacing w:before="0" w:beforeAutospacing="0" w:after="0" w:afterAutospacing="0" w:line="312" w:lineRule="auto"/>
        <w:ind w:firstLine="420"/>
        <w:rPr>
          <w:rFonts w:hint="eastAsia" w:eastAsia="宋体"/>
          <w:color w:val="auto"/>
        </w:rPr>
      </w:pPr>
      <w:r>
        <w:rPr>
          <w:rFonts w:hint="eastAsia"/>
          <w:color w:val="auto"/>
        </w:rPr>
        <w:t>地点：南京市玄武区红山路常发广场2号楼520室</w:t>
      </w:r>
    </w:p>
    <w:p w14:paraId="41D3FD8B">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lang w:val="en-US" w:eastAsia="zh-CN"/>
        </w:rPr>
        <w:t>七</w:t>
      </w:r>
      <w:r>
        <w:rPr>
          <w:rFonts w:hint="eastAsia" w:ascii="宋体" w:hAnsi="宋体" w:eastAsia="宋体" w:cs="宋体"/>
          <w:color w:val="auto"/>
          <w:sz w:val="24"/>
        </w:rPr>
        <w:t>、公告期限</w:t>
      </w:r>
    </w:p>
    <w:p w14:paraId="72665D5E">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自本公告发布之日起5个工作日。</w:t>
      </w:r>
    </w:p>
    <w:p w14:paraId="19B44F41">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lang w:val="en-US" w:eastAsia="zh-CN"/>
        </w:rPr>
        <w:t>八</w:t>
      </w:r>
      <w:r>
        <w:rPr>
          <w:rFonts w:hint="eastAsia" w:ascii="宋体" w:hAnsi="宋体" w:eastAsia="宋体" w:cs="宋体"/>
          <w:color w:val="auto"/>
          <w:sz w:val="24"/>
        </w:rPr>
        <w:t>、其他补充事宜</w:t>
      </w:r>
    </w:p>
    <w:p w14:paraId="1F7691F7">
      <w:pPr>
        <w:pStyle w:val="35"/>
        <w:spacing w:before="0" w:beforeAutospacing="0" w:after="0" w:afterAutospacing="0" w:line="312" w:lineRule="auto"/>
        <w:ind w:firstLine="480"/>
        <w:rPr>
          <w:rFonts w:hint="eastAsia"/>
          <w:color w:val="auto"/>
        </w:rPr>
      </w:pPr>
      <w:r>
        <w:rPr>
          <w:rFonts w:hint="eastAsia"/>
          <w:color w:val="auto"/>
        </w:rPr>
        <w:t>1.拒绝下述供应商参加本次采购活动：</w:t>
      </w:r>
    </w:p>
    <w:p w14:paraId="4BA0D384">
      <w:pPr>
        <w:spacing w:line="312" w:lineRule="auto"/>
        <w:ind w:firstLine="480"/>
        <w:rPr>
          <w:rFonts w:hint="eastAsia" w:ascii="宋体" w:hAnsi="宋体" w:cs="宋体"/>
          <w:color w:val="auto"/>
          <w:sz w:val="24"/>
        </w:rPr>
      </w:pPr>
      <w:r>
        <w:rPr>
          <w:rFonts w:hint="eastAsia" w:ascii="宋体" w:hAnsi="宋体" w:cs="宋体"/>
          <w:color w:val="auto"/>
          <w:sz w:val="24"/>
        </w:rPr>
        <w:t>（1）供应商单位负责人为同一人或者存在直接控股、管理关系的不同供应商，不得参加本项目的采购活动。</w:t>
      </w:r>
    </w:p>
    <w:p w14:paraId="227E307F">
      <w:pPr>
        <w:spacing w:line="312" w:lineRule="auto"/>
        <w:ind w:firstLine="480"/>
        <w:rPr>
          <w:rFonts w:hint="eastAsia" w:ascii="宋体" w:hAnsi="宋体" w:cs="宋体"/>
          <w:color w:val="auto"/>
          <w:sz w:val="24"/>
        </w:rPr>
      </w:pPr>
      <w:r>
        <w:rPr>
          <w:rFonts w:hint="eastAsia" w:ascii="宋体" w:hAnsi="宋体" w:cs="宋体"/>
          <w:color w:val="auto"/>
          <w:sz w:val="24"/>
        </w:rPr>
        <w:t>（2）凡为采购项目提供整体设计、规范编制或者项目管理、监理、检测等服务的供应商，不得再参加本项目的采购活动。</w:t>
      </w:r>
    </w:p>
    <w:p w14:paraId="5BAD791C">
      <w:pPr>
        <w:spacing w:line="312" w:lineRule="auto"/>
        <w:ind w:firstLine="480"/>
        <w:rPr>
          <w:rFonts w:hint="eastAsia" w:ascii="宋体" w:hAnsi="宋体" w:cs="宋体"/>
          <w:color w:val="auto"/>
          <w:sz w:val="24"/>
        </w:rPr>
      </w:pPr>
      <w:r>
        <w:rPr>
          <w:rFonts w:hint="eastAsia" w:ascii="宋体" w:hAnsi="宋体" w:cs="宋体"/>
          <w:color w:val="auto"/>
          <w:sz w:val="24"/>
        </w:rPr>
        <w:t>（3）供应商被“信用中国”网站、“中国政府采购网”网站、</w:t>
      </w:r>
      <w:r>
        <w:rPr>
          <w:rFonts w:hint="eastAsia" w:ascii="宋体" w:hAnsi="宋体" w:cs="宋体"/>
          <w:bCs/>
          <w:color w:val="auto"/>
          <w:sz w:val="24"/>
        </w:rPr>
        <w:t>“信用江苏”</w:t>
      </w:r>
      <w:r>
        <w:rPr>
          <w:rFonts w:hint="eastAsia" w:ascii="宋体" w:hAnsi="宋体" w:cs="宋体"/>
          <w:color w:val="auto"/>
          <w:sz w:val="24"/>
        </w:rPr>
        <w:t>列入失信被执行人、重大税收违法案件当事人名单、政府采购严重违法失信行为记录名单。</w:t>
      </w:r>
    </w:p>
    <w:p w14:paraId="54477E48">
      <w:pPr>
        <w:pStyle w:val="35"/>
        <w:spacing w:before="0" w:beforeAutospacing="0" w:after="0" w:afterAutospacing="0" w:line="312" w:lineRule="auto"/>
        <w:ind w:firstLine="480"/>
        <w:rPr>
          <w:rFonts w:hint="eastAsia"/>
          <w:color w:val="auto"/>
        </w:rPr>
      </w:pPr>
      <w:r>
        <w:rPr>
          <w:rFonts w:hint="eastAsia"/>
          <w:color w:val="auto"/>
        </w:rPr>
        <w:t>2.采购人不统一组织进行现场踏勘。关于本次招标的事项若存在变动或修改，敬请及时关注南京市栖霞区人民政府平台发布的信息更正公告。若因供应商未及时关注网站公告导致误投标，其责任由供应商自行承担。</w:t>
      </w:r>
    </w:p>
    <w:p w14:paraId="66ED6656">
      <w:pPr>
        <w:spacing w:line="312" w:lineRule="auto"/>
        <w:ind w:firstLine="480"/>
        <w:rPr>
          <w:rFonts w:hint="eastAsia" w:ascii="宋体" w:hAnsi="宋体" w:cs="宋体"/>
          <w:color w:val="auto"/>
          <w:sz w:val="24"/>
        </w:rPr>
      </w:pPr>
      <w:r>
        <w:rPr>
          <w:rFonts w:hint="eastAsia" w:ascii="宋体" w:hAnsi="宋体" w:cs="宋体"/>
          <w:color w:val="auto"/>
          <w:sz w:val="24"/>
        </w:rPr>
        <w:t>3.政府采购信用承诺</w:t>
      </w:r>
    </w:p>
    <w:p w14:paraId="2D90683A">
      <w:pPr>
        <w:spacing w:line="312" w:lineRule="auto"/>
        <w:ind w:firstLine="480"/>
        <w:rPr>
          <w:rFonts w:hint="eastAsia" w:ascii="宋体" w:hAnsi="宋体" w:cs="宋体"/>
          <w:color w:val="auto"/>
          <w:sz w:val="24"/>
        </w:rPr>
      </w:pPr>
      <w:r>
        <w:rPr>
          <w:rFonts w:hint="eastAsia" w:ascii="宋体" w:hAnsi="宋体" w:cs="宋体"/>
          <w:color w:val="auto"/>
          <w:sz w:val="24"/>
        </w:rPr>
        <w:t xml:space="preserve">在资格审查环节，供应商只需提供书面《南京市政府采购供应商信用记录表暨信用承诺书》，由法定代表人签字并加盖单位公章，随投标文件一并递交即可替代以下证明材料： </w:t>
      </w:r>
    </w:p>
    <w:p w14:paraId="0FE6EFBB">
      <w:pPr>
        <w:spacing w:line="312" w:lineRule="auto"/>
        <w:ind w:firstLine="480"/>
        <w:rPr>
          <w:rFonts w:hint="eastAsia" w:ascii="宋体" w:hAnsi="宋体" w:cs="宋体"/>
          <w:color w:val="auto"/>
          <w:sz w:val="24"/>
        </w:rPr>
      </w:pPr>
      <w:r>
        <w:rPr>
          <w:rFonts w:hint="eastAsia" w:ascii="宋体" w:hAnsi="宋体" w:cs="宋体"/>
          <w:color w:val="auto"/>
          <w:sz w:val="24"/>
        </w:rPr>
        <w:t xml:space="preserve">（1）符合国家相关规定的财务状况报告； </w:t>
      </w:r>
    </w:p>
    <w:p w14:paraId="36E83778">
      <w:pPr>
        <w:spacing w:line="312" w:lineRule="auto"/>
        <w:ind w:firstLine="480"/>
        <w:rPr>
          <w:rFonts w:hint="eastAsia" w:ascii="宋体" w:hAnsi="宋体" w:cs="宋体"/>
          <w:color w:val="auto"/>
          <w:sz w:val="24"/>
        </w:rPr>
      </w:pPr>
      <w:r>
        <w:rPr>
          <w:rFonts w:hint="eastAsia" w:ascii="宋体" w:hAnsi="宋体" w:cs="宋体"/>
          <w:color w:val="auto"/>
          <w:sz w:val="24"/>
        </w:rPr>
        <w:t xml:space="preserve">（2）依法缴纳税收的证明材料； </w:t>
      </w:r>
    </w:p>
    <w:p w14:paraId="488E46B5">
      <w:pPr>
        <w:spacing w:line="312" w:lineRule="auto"/>
        <w:ind w:firstLine="480"/>
        <w:rPr>
          <w:rFonts w:hint="eastAsia" w:ascii="宋体" w:hAnsi="宋体" w:cs="宋体"/>
          <w:color w:val="auto"/>
          <w:sz w:val="24"/>
        </w:rPr>
      </w:pPr>
      <w:r>
        <w:rPr>
          <w:rFonts w:hint="eastAsia" w:ascii="宋体" w:hAnsi="宋体" w:cs="宋体"/>
          <w:color w:val="auto"/>
          <w:sz w:val="24"/>
        </w:rPr>
        <w:t xml:space="preserve">（3）依法缴纳社会保障资金的证明材料； </w:t>
      </w:r>
    </w:p>
    <w:p w14:paraId="049498D5">
      <w:pPr>
        <w:spacing w:line="312" w:lineRule="auto"/>
        <w:ind w:firstLine="480"/>
        <w:rPr>
          <w:rFonts w:hint="eastAsia" w:ascii="宋体" w:hAnsi="宋体" w:cs="宋体"/>
          <w:color w:val="auto"/>
          <w:sz w:val="24"/>
        </w:rPr>
      </w:pPr>
      <w:r>
        <w:rPr>
          <w:rFonts w:hint="eastAsia" w:ascii="宋体" w:hAnsi="宋体" w:cs="宋体"/>
          <w:color w:val="auto"/>
          <w:sz w:val="24"/>
        </w:rPr>
        <w:t xml:space="preserve">（4）具备履行采购合同所必需的设备和专业技术能力的证明材料； </w:t>
      </w:r>
    </w:p>
    <w:p w14:paraId="037AE81E">
      <w:pPr>
        <w:spacing w:line="312" w:lineRule="auto"/>
        <w:ind w:firstLine="480"/>
        <w:rPr>
          <w:rFonts w:hint="eastAsia" w:ascii="宋体" w:hAnsi="宋体" w:cs="宋体"/>
          <w:color w:val="auto"/>
          <w:sz w:val="24"/>
        </w:rPr>
      </w:pPr>
      <w:r>
        <w:rPr>
          <w:rFonts w:hint="eastAsia" w:ascii="宋体" w:hAnsi="宋体" w:cs="宋体"/>
          <w:color w:val="auto"/>
          <w:sz w:val="24"/>
        </w:rPr>
        <w:t xml:space="preserve">（5）参加本次采购活动前三年内在经营活动中没有重大违法记录的证明材料； </w:t>
      </w:r>
    </w:p>
    <w:p w14:paraId="7B7F97EA">
      <w:pPr>
        <w:spacing w:line="312" w:lineRule="auto"/>
        <w:ind w:firstLine="480"/>
        <w:rPr>
          <w:rFonts w:hint="eastAsia" w:ascii="宋体" w:hAnsi="宋体" w:cs="宋体"/>
          <w:color w:val="auto"/>
          <w:sz w:val="24"/>
        </w:rPr>
      </w:pPr>
      <w:r>
        <w:rPr>
          <w:rFonts w:hint="eastAsia" w:ascii="宋体" w:hAnsi="宋体" w:cs="宋体"/>
          <w:color w:val="auto"/>
          <w:sz w:val="24"/>
        </w:rPr>
        <w:t xml:space="preserve">（6）未被列入失信被执行人、重大税收违法失信主体、政府采购严重违法失信行为记录名单的证明材料。 </w:t>
      </w:r>
    </w:p>
    <w:p w14:paraId="4D965950">
      <w:pPr>
        <w:spacing w:line="312" w:lineRule="auto"/>
        <w:ind w:firstLine="480"/>
        <w:rPr>
          <w:rFonts w:hint="eastAsia" w:ascii="宋体" w:hAnsi="宋体" w:cs="宋体"/>
          <w:color w:val="auto"/>
          <w:sz w:val="24"/>
        </w:rPr>
      </w:pPr>
      <w:r>
        <w:rPr>
          <w:rFonts w:hint="eastAsia" w:ascii="宋体" w:hAnsi="宋体" w:cs="宋体"/>
          <w:color w:val="auto"/>
          <w:sz w:val="24"/>
        </w:rPr>
        <w:t xml:space="preserve">供应商在成交后，应按招标文件要求，将上述由信用承诺书替代的证明材料提交采购人或采购代理机构核验。经核验无误后，由采购人或采购代理机构发出成交结果通知书。 </w:t>
      </w:r>
    </w:p>
    <w:p w14:paraId="0AC941D9">
      <w:pPr>
        <w:spacing w:line="312" w:lineRule="auto"/>
        <w:ind w:firstLine="480"/>
        <w:rPr>
          <w:rFonts w:hint="eastAsia" w:ascii="宋体" w:hAnsi="宋体" w:cs="宋体"/>
          <w:color w:val="auto"/>
          <w:sz w:val="24"/>
        </w:rPr>
      </w:pPr>
      <w:r>
        <w:rPr>
          <w:rFonts w:hint="eastAsia" w:ascii="宋体" w:hAnsi="宋体" w:cs="宋体"/>
          <w:color w:val="auto"/>
          <w:sz w:val="24"/>
        </w:rPr>
        <w:t xml:space="preserve">供应商涉及以下情形的，不适用信用承诺： </w:t>
      </w:r>
    </w:p>
    <w:p w14:paraId="1E556500">
      <w:pPr>
        <w:spacing w:line="312" w:lineRule="auto"/>
        <w:ind w:firstLine="480"/>
        <w:rPr>
          <w:rFonts w:hint="eastAsia" w:ascii="宋体" w:hAnsi="宋体" w:cs="宋体"/>
          <w:color w:val="auto"/>
          <w:sz w:val="24"/>
        </w:rPr>
      </w:pPr>
      <w:r>
        <w:rPr>
          <w:rFonts w:hint="eastAsia" w:ascii="宋体" w:hAnsi="宋体" w:cs="宋体"/>
          <w:color w:val="auto"/>
          <w:sz w:val="24"/>
        </w:rPr>
        <w:t xml:space="preserve">（1）供应商被列入严重失信主体名单； </w:t>
      </w:r>
    </w:p>
    <w:p w14:paraId="0880DDD9">
      <w:pPr>
        <w:spacing w:line="312" w:lineRule="auto"/>
        <w:ind w:firstLine="480"/>
        <w:rPr>
          <w:rFonts w:hint="eastAsia" w:ascii="宋体" w:hAnsi="宋体" w:cs="宋体"/>
          <w:color w:val="auto"/>
          <w:sz w:val="24"/>
        </w:rPr>
      </w:pPr>
      <w:r>
        <w:rPr>
          <w:rFonts w:hint="eastAsia" w:ascii="宋体" w:hAnsi="宋体" w:cs="宋体"/>
          <w:color w:val="auto"/>
          <w:sz w:val="24"/>
        </w:rPr>
        <w:t xml:space="preserve">（2）被相关监管部门作出行政处罚且尚在处罚有效期内； </w:t>
      </w:r>
    </w:p>
    <w:p w14:paraId="4564052D">
      <w:pPr>
        <w:spacing w:line="312" w:lineRule="auto"/>
        <w:ind w:firstLine="480"/>
        <w:rPr>
          <w:rFonts w:hint="eastAsia" w:ascii="宋体" w:hAnsi="宋体" w:cs="宋体"/>
          <w:color w:val="auto"/>
          <w:sz w:val="24"/>
        </w:rPr>
      </w:pPr>
      <w:r>
        <w:rPr>
          <w:rFonts w:hint="eastAsia" w:ascii="宋体" w:hAnsi="宋体" w:cs="宋体"/>
          <w:color w:val="auto"/>
          <w:sz w:val="24"/>
        </w:rPr>
        <w:t xml:space="preserve">（3）其他法律、行政法规规定的不适用信用承诺的情形。 </w:t>
      </w:r>
    </w:p>
    <w:p w14:paraId="34CCA79A">
      <w:pPr>
        <w:spacing w:line="312" w:lineRule="auto"/>
        <w:ind w:firstLine="480"/>
        <w:rPr>
          <w:rFonts w:hint="eastAsia" w:ascii="宋体" w:hAnsi="宋体" w:cs="宋体"/>
          <w:color w:val="auto"/>
          <w:sz w:val="24"/>
        </w:rPr>
      </w:pPr>
      <w:r>
        <w:rPr>
          <w:rFonts w:hint="eastAsia" w:ascii="宋体" w:hAnsi="宋体" w:cs="宋体"/>
          <w:color w:val="auto"/>
          <w:sz w:val="24"/>
        </w:rPr>
        <w:t>供应商对信用承诺内容的真实性、合法性、有效性负责。如作出虚假信用承诺，视同为“提供虚假材料谋取成交”的违法行为。</w:t>
      </w:r>
    </w:p>
    <w:p w14:paraId="63DDEE2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lang w:val="en-US" w:eastAsia="zh-CN"/>
        </w:rPr>
        <w:t>九</w:t>
      </w:r>
      <w:bookmarkStart w:id="16" w:name="_GoBack"/>
      <w:bookmarkEnd w:id="16"/>
      <w:r>
        <w:rPr>
          <w:rFonts w:hint="eastAsia" w:ascii="宋体" w:hAnsi="宋体" w:eastAsia="宋体" w:cs="宋体"/>
          <w:color w:val="auto"/>
          <w:sz w:val="24"/>
        </w:rPr>
        <w:t>、对本次招标提出询问，请按以下方式联系</w:t>
      </w:r>
    </w:p>
    <w:p w14:paraId="52A1840A">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名称：南京市栖霞区农业农村局</w:t>
      </w:r>
    </w:p>
    <w:p w14:paraId="43C63A9C">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地址：南京市栖霞区文苑路118号仙林商务办公中心7810室</w:t>
      </w:r>
    </w:p>
    <w:p w14:paraId="66ECBEB0">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联系人：陈紫龄</w:t>
      </w:r>
    </w:p>
    <w:p w14:paraId="227515AA">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联系电话：</w:t>
      </w:r>
      <w:r>
        <w:rPr>
          <w:rFonts w:ascii="宋体" w:hAnsi="宋体" w:eastAsia="宋体" w:cs="宋体"/>
          <w:color w:val="auto"/>
          <w:sz w:val="24"/>
        </w:rPr>
        <w:t>025</w:t>
      </w:r>
      <w:r>
        <w:rPr>
          <w:rFonts w:hint="eastAsia" w:ascii="宋体" w:hAnsi="宋体" w:eastAsia="宋体" w:cs="宋体"/>
          <w:color w:val="auto"/>
          <w:sz w:val="24"/>
        </w:rPr>
        <w:t>-</w:t>
      </w:r>
      <w:r>
        <w:rPr>
          <w:rFonts w:ascii="宋体" w:hAnsi="宋体" w:eastAsia="宋体" w:cs="宋体"/>
          <w:color w:val="auto"/>
          <w:sz w:val="24"/>
        </w:rPr>
        <w:t>85561213</w:t>
      </w:r>
    </w:p>
    <w:p w14:paraId="3875C5D1">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2.采购代理机构信息</w:t>
      </w:r>
    </w:p>
    <w:p w14:paraId="2C9F6EB2">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名称：南京勤泽道工程项目管理有限公司</w:t>
      </w:r>
    </w:p>
    <w:p w14:paraId="2FD90D05">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地址：南京市玄武区红山路常发广场2号商务楼520室</w:t>
      </w:r>
    </w:p>
    <w:p w14:paraId="0ED5AAA6">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联系方式：18694995032</w:t>
      </w:r>
    </w:p>
    <w:p w14:paraId="43B7DB98">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3.项目联系方式</w:t>
      </w:r>
    </w:p>
    <w:p w14:paraId="63920121">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 xml:space="preserve">项目联系人：王心雨          </w:t>
      </w:r>
    </w:p>
    <w:p w14:paraId="4F94FA63">
      <w:pPr>
        <w:spacing w:line="324" w:lineRule="auto"/>
        <w:ind w:firstLine="480"/>
        <w:rPr>
          <w:rFonts w:hint="eastAsia" w:ascii="宋体" w:hAnsi="宋体" w:eastAsia="宋体" w:cs="宋体"/>
          <w:color w:val="auto"/>
          <w:sz w:val="24"/>
        </w:rPr>
      </w:pPr>
      <w:r>
        <w:rPr>
          <w:rFonts w:hint="eastAsia" w:ascii="宋体" w:hAnsi="宋体" w:eastAsia="宋体" w:cs="宋体"/>
          <w:color w:val="auto"/>
          <w:sz w:val="24"/>
        </w:rPr>
        <w:t>电话：18694995032</w:t>
      </w:r>
    </w:p>
    <w:p w14:paraId="6E8C89A2">
      <w:pPr>
        <w:rPr>
          <w:rFonts w:hint="eastAsia" w:ascii="宋体" w:hAnsi="宋体" w:eastAsia="宋体" w:cs="宋体"/>
          <w:b/>
          <w:bCs/>
          <w:color w:val="auto"/>
          <w:sz w:val="36"/>
          <w:szCs w:val="36"/>
          <w:lang w:val="zh-CN"/>
        </w:rPr>
      </w:pPr>
      <w:r>
        <w:rPr>
          <w:rFonts w:hint="eastAsia" w:ascii="宋体" w:hAnsi="宋体" w:eastAsia="宋体" w:cs="宋体"/>
          <w:b/>
          <w:bCs/>
          <w:color w:val="auto"/>
          <w:sz w:val="36"/>
          <w:szCs w:val="36"/>
          <w:lang w:val="zh-CN"/>
        </w:rPr>
        <w:br w:type="page"/>
      </w:r>
    </w:p>
    <w:p w14:paraId="1CB536C8">
      <w:pPr>
        <w:spacing w:line="312" w:lineRule="auto"/>
        <w:ind w:left="720"/>
        <w:jc w:val="center"/>
        <w:rPr>
          <w:rFonts w:hint="eastAsia" w:ascii="宋体" w:hAnsi="宋体" w:eastAsia="宋体" w:cs="宋体"/>
          <w:b/>
          <w:bCs/>
          <w:color w:val="auto"/>
          <w:sz w:val="36"/>
          <w:szCs w:val="36"/>
          <w:lang w:val="zh-CN"/>
        </w:rPr>
      </w:pPr>
      <w:r>
        <w:rPr>
          <w:rFonts w:hint="eastAsia" w:ascii="宋体" w:hAnsi="宋体" w:eastAsia="宋体" w:cs="宋体"/>
          <w:b/>
          <w:bCs/>
          <w:color w:val="auto"/>
          <w:sz w:val="36"/>
          <w:szCs w:val="36"/>
          <w:lang w:val="zh-CN"/>
        </w:rPr>
        <w:t>第二章</w:t>
      </w:r>
      <w:r>
        <w:rPr>
          <w:rFonts w:hint="eastAsia" w:ascii="宋体" w:hAnsi="宋体" w:eastAsia="宋体" w:cs="宋体"/>
          <w:b/>
          <w:bCs/>
          <w:color w:val="auto"/>
          <w:sz w:val="36"/>
          <w:szCs w:val="36"/>
        </w:rPr>
        <w:t xml:space="preserve"> </w:t>
      </w:r>
      <w:r>
        <w:rPr>
          <w:rFonts w:hint="eastAsia" w:ascii="宋体" w:hAnsi="宋体" w:eastAsia="宋体" w:cs="宋体"/>
          <w:b/>
          <w:bCs/>
          <w:color w:val="auto"/>
          <w:sz w:val="36"/>
          <w:szCs w:val="36"/>
          <w:lang w:val="zh-CN"/>
        </w:rPr>
        <w:t>供应商须知</w:t>
      </w:r>
    </w:p>
    <w:p w14:paraId="01FD5774">
      <w:pPr>
        <w:spacing w:line="312" w:lineRule="auto"/>
        <w:ind w:firstLine="482"/>
        <w:rPr>
          <w:rFonts w:hint="eastAsia" w:ascii="宋体" w:hAnsi="宋体" w:eastAsia="宋体" w:cs="宋体"/>
          <w:b/>
          <w:color w:val="auto"/>
          <w:sz w:val="24"/>
        </w:rPr>
      </w:pPr>
      <w:r>
        <w:rPr>
          <w:rFonts w:hint="eastAsia" w:ascii="宋体" w:hAnsi="宋体" w:eastAsia="宋体" w:cs="宋体"/>
          <w:b/>
          <w:color w:val="auto"/>
          <w:sz w:val="24"/>
        </w:rPr>
        <w:t>一、总则</w:t>
      </w:r>
    </w:p>
    <w:p w14:paraId="792027FD">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1.适用法律</w:t>
      </w:r>
    </w:p>
    <w:p w14:paraId="60279CD8">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1.1现行有效的有关法律、规章和规定等。</w:t>
      </w:r>
    </w:p>
    <w:p w14:paraId="7A7CA536">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2.定义</w:t>
      </w:r>
    </w:p>
    <w:p w14:paraId="21635972">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2.1“供应商”是指参加投标竞争，并符合招标文件规定资格条件的法人、其他组织或者自然人。</w:t>
      </w:r>
    </w:p>
    <w:p w14:paraId="567918F4">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2.2“产品”指本招标文件中所述产品及相关服务。</w:t>
      </w:r>
    </w:p>
    <w:p w14:paraId="5605E9FC">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2.3“采购人或使用单位”是指使用的单位。</w:t>
      </w:r>
    </w:p>
    <w:p w14:paraId="7C18F03B">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3.政策功能</w:t>
      </w:r>
    </w:p>
    <w:p w14:paraId="0B592A2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3.1政府采购促进中小企业发展，小企业（含小型、微型企业）提供的产品和服务或货物在评审时将获得优势，参加投标的小企业，应当提供《中小企业声明函》（“中小企业划型标准”详见《关于印发中小企业划型标准规定的通知》工信部联企业〔2011〕300号及《国家统计局关于印发统计上大中小微型企业划分办法（2017）的通知》国统字〔2017〕213号）。</w:t>
      </w:r>
    </w:p>
    <w:p w14:paraId="60F03ED2">
      <w:pPr>
        <w:spacing w:line="312" w:lineRule="auto"/>
        <w:ind w:firstLine="482"/>
        <w:rPr>
          <w:rFonts w:hint="eastAsia" w:ascii="宋体" w:hAnsi="宋体" w:eastAsia="宋体" w:cs="宋体"/>
          <w:b/>
          <w:bCs/>
          <w:color w:val="auto"/>
          <w:sz w:val="24"/>
        </w:rPr>
      </w:pPr>
      <w:r>
        <w:rPr>
          <w:rFonts w:hint="eastAsia" w:ascii="宋体" w:hAnsi="宋体" w:eastAsia="宋体" w:cs="宋体"/>
          <w:b/>
          <w:bCs/>
          <w:color w:val="auto"/>
          <w:sz w:val="24"/>
        </w:rPr>
        <w:t>在货物采购项目中，供应商提供的货物既有中小企业制造货物，也有大型企业制造货物的，不享受中小企业扶持政策。</w:t>
      </w:r>
    </w:p>
    <w:p w14:paraId="7046E16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以联合体形式参加政府采购活动，联合体各方均为中小企业的，联合体视同中小企业。其中，联合体各方均为小微企业的，联合体视同小微企业。</w:t>
      </w:r>
    </w:p>
    <w:p w14:paraId="60692B3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3.2政府采购支持监狱和戒毒企业发展政策，监狱和戒毒企业提供的产品和服务或货物在评审时将获得优势，参加投标的监狱和戒毒企业，应当提供由省级以上监狱管理局、戒毒管理局（含新疆生产建设兵团）出具的属于监狱企业的证明文件，监狱和戒毒企业享受政府采购支持政策的要求详见财库〔2014〕68号文。</w:t>
      </w:r>
    </w:p>
    <w:p w14:paraId="1971417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3.3政府采购促进残疾人就业政策，残疾人福利性单位提供的产品和服务在评审时将获得优势，参加投标的残疾人福利性单位，应当提供《残疾人福利性单位声明函》，残疾人福利性单位享受政府采购支持政策的要求详见财库〔2017〕141号。</w:t>
      </w:r>
    </w:p>
    <w:p w14:paraId="678A199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3.4小型、微型企业提供中型或大型企业制造的货物的，视同为中型或大型企业。参加政府采购活动的中小企业应当按“关于印发《政府采购促进中小企业发展管理办法》的通知[财库〔2020〕46号]” 和《财库〔2022〕19号》规定提供《中小企业声明函》，未提供上述资料不得享受相关中小企业扶持政策。</w:t>
      </w:r>
    </w:p>
    <w:p w14:paraId="550B16A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3.5强制采购节能产品、信息安全产品，优先采购环境标志产品。节能产品是指列入财政部、国家发展和改革委员会制定的节能产品品目政府采购清单，且经过认定的节能产品；信息安全产品是指列入国家质检总局国家认监委《信息安全产品强制性认证目录》，并获得强制性产品认证证书的产品；环境标志产品是指列入财政部、国家环保总局制定的环境标志产品品目政府采购清单，且经过认证的环境标志产品。</w:t>
      </w:r>
    </w:p>
    <w:p w14:paraId="1F5E739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3.6提供的产品属于信息安全产品的，供应商应当选择经国家认证的信息安全产品投标，并提供由中国信息安全认证中心按国家标准认证颁发的有效认证证书复印件。</w:t>
      </w:r>
    </w:p>
    <w:p w14:paraId="454BC80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3.7提供的产品属于政府强制采购节能产品的，供应商应当选择经过认证的节能产品投标，并提供有效的节能产品认证证书复印件。</w:t>
      </w:r>
    </w:p>
    <w:p w14:paraId="16AF631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3.8提供的产品属于环境标志产品的，供应商应当选择经过认证的环境标志产品投标，并提供有效的环境标志产品认证证书复印件。</w:t>
      </w:r>
    </w:p>
    <w:p w14:paraId="79A985D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3.9招标文件中的参考产品品牌或型号，是采购人根据项目所要实现的功能列出的品牌或型号，并不是限制条件。供应商可以采用不低于参考的产品档次参与竞争，但是所有技术和功能不得低于采购要求，并提供证明材料以保证整体功能的实现，并在方案中加以合理的阐述说明，否则将可能作为无效投标处理。</w:t>
      </w:r>
    </w:p>
    <w:p w14:paraId="2B83BF3F">
      <w:pPr>
        <w:numPr>
          <w:ilvl w:val="0"/>
          <w:numId w:val="2"/>
        </w:numPr>
        <w:spacing w:line="312" w:lineRule="auto"/>
        <w:ind w:firstLine="482"/>
        <w:rPr>
          <w:rFonts w:hint="eastAsia" w:ascii="宋体" w:hAnsi="宋体" w:eastAsia="宋体" w:cs="宋体"/>
          <w:b/>
          <w:color w:val="auto"/>
          <w:sz w:val="24"/>
        </w:rPr>
      </w:pPr>
      <w:r>
        <w:rPr>
          <w:rFonts w:hint="eastAsia" w:ascii="宋体" w:hAnsi="宋体" w:eastAsia="宋体" w:cs="宋体"/>
          <w:b/>
          <w:color w:val="auto"/>
          <w:sz w:val="24"/>
        </w:rPr>
        <w:t>招标文件</w:t>
      </w:r>
    </w:p>
    <w:p w14:paraId="28A3FC12">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4.招标文件组成</w:t>
      </w:r>
    </w:p>
    <w:p w14:paraId="7E7261C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招标文件组成：招标公告、供应商须知、供应商应当提交的资格和资信证明文件、投标报价要求、投标文件编制要求、投标项目的技术规格、要求和数量、合同主要条款及合同签订方式、合同履行期限、付款条件、评审方法、评审标准、无效投标和废标条款、附件等。</w:t>
      </w:r>
    </w:p>
    <w:p w14:paraId="496CCFA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招标的最小单位是包。招标服务数量及技术要求中未分包的，供应商对要求提供的服务不得部分投标；招标服务数量及技术要求中已经分包的，应当以包为单位投标。</w:t>
      </w:r>
    </w:p>
    <w:p w14:paraId="0CEEC00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招标文件如果要求供应商提交备选投标方案的，供应商可以提交备选方案；否则，备选方案将被拒绝。</w:t>
      </w:r>
    </w:p>
    <w:p w14:paraId="6509875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5.招标文件的澄清、修改</w:t>
      </w:r>
    </w:p>
    <w:p w14:paraId="11E4674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采购人或采购代理机构对已发出的招标文件进行必要澄清或者修改的，将在招标文件要求提交投标文件截止时间十五日前，在原公告媒体发布更正公告，该澄清或者修改的内容为招标文件的组成部分。</w:t>
      </w:r>
    </w:p>
    <w:p w14:paraId="5392EF38">
      <w:pPr>
        <w:spacing w:line="312" w:lineRule="auto"/>
        <w:ind w:firstLine="480"/>
        <w:rPr>
          <w:rFonts w:hint="eastAsia" w:ascii="宋体" w:hAnsi="宋体" w:eastAsia="宋体" w:cs="宋体"/>
          <w:b/>
          <w:color w:val="auto"/>
          <w:sz w:val="24"/>
        </w:rPr>
      </w:pPr>
      <w:r>
        <w:rPr>
          <w:rFonts w:hint="eastAsia" w:ascii="宋体" w:hAnsi="宋体" w:eastAsia="宋体" w:cs="宋体"/>
          <w:color w:val="auto"/>
          <w:sz w:val="24"/>
        </w:rPr>
        <w:t>供应商应在递交投标文件截止时间前关注原采购信息发布媒体上有关本招标项目有无变更公告。</w:t>
      </w:r>
    </w:p>
    <w:p w14:paraId="79DC0F52">
      <w:pPr>
        <w:numPr>
          <w:ilvl w:val="0"/>
          <w:numId w:val="2"/>
        </w:numPr>
        <w:spacing w:line="312" w:lineRule="auto"/>
        <w:ind w:firstLine="482"/>
        <w:rPr>
          <w:rFonts w:hint="eastAsia" w:ascii="宋体" w:hAnsi="宋体" w:eastAsia="宋体" w:cs="宋体"/>
          <w:b/>
          <w:color w:val="auto"/>
          <w:sz w:val="24"/>
        </w:rPr>
      </w:pPr>
      <w:r>
        <w:rPr>
          <w:rFonts w:hint="eastAsia" w:ascii="宋体" w:hAnsi="宋体" w:eastAsia="宋体" w:cs="宋体"/>
          <w:b/>
          <w:color w:val="auto"/>
          <w:sz w:val="24"/>
        </w:rPr>
        <w:t>投标</w:t>
      </w:r>
    </w:p>
    <w:p w14:paraId="3312DB51">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6.投标文件的语言、计量单位、货币和编制</w:t>
      </w:r>
    </w:p>
    <w:p w14:paraId="3DBCC07F">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供应商提交的投标文件、技术文件和资料，包括图纸中的说明，以及供应商与采购代理机构就有关投标响应的所有来往函电均应使用中文。投标文件中若有英文或其他语言文字的资料，应提供相应的中文翻译资料。对不同文本投标文件的解释发生异议的，以中文文本为准。</w:t>
      </w:r>
    </w:p>
    <w:p w14:paraId="54DD104F">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供应商所使用的计量单位应为国家法定计量单位。</w:t>
      </w:r>
    </w:p>
    <w:p w14:paraId="0033F2EC">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供应商应用人民币报价。</w:t>
      </w:r>
    </w:p>
    <w:p w14:paraId="44D75AFB">
      <w:pPr>
        <w:spacing w:line="312" w:lineRule="auto"/>
        <w:ind w:left="437"/>
        <w:rPr>
          <w:rFonts w:hint="eastAsia" w:ascii="宋体" w:hAnsi="宋体" w:eastAsia="宋体" w:cs="宋体"/>
          <w:bCs/>
          <w:color w:val="auto"/>
          <w:sz w:val="24"/>
        </w:rPr>
      </w:pPr>
      <w:r>
        <w:rPr>
          <w:rFonts w:hint="eastAsia" w:ascii="宋体" w:hAnsi="宋体" w:eastAsia="宋体" w:cs="宋体"/>
          <w:bCs/>
          <w:color w:val="auto"/>
          <w:sz w:val="24"/>
        </w:rPr>
        <w:t>7.联合投标</w:t>
      </w:r>
    </w:p>
    <w:p w14:paraId="7330797A">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两个以上的自然人、法人或者其他组织可以组成一个联合体，以一个供应商的身份共同参加政府采购。</w:t>
      </w:r>
    </w:p>
    <w:p w14:paraId="53DEB1FB">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鼓励大中型企业和其他自然人、法人或者其他组织与小型、微型企业组成联合体共同参加非专门面向中小企业的政府采购活动。</w:t>
      </w:r>
    </w:p>
    <w:p w14:paraId="5B417441">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以联合体形式参加投标的，联合体各方均应当符合政府采购法第二十二条第一款规定的条件；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投标全权代表方的应答材料作为商务评审的依据。由不同专业的供应商组成联合体，首先以投标全权代表方的应答材料作为认定资质以及商务评审的依据，涉及行业专属的资质，按照所属行业对应的供应商的应答材料确定。</w:t>
      </w:r>
    </w:p>
    <w:p w14:paraId="22BDA28C">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联合体各方之间应当签订共同投标协议，明确约定联合体各方承担的工作和相应的责任，并将共同投标协议连同投标文件一并提交。联合体各方签订共同投标协议后，不得再以自己名义单独在同一项目中投标，也不得组成新的联合体参加同一项目投标。</w:t>
      </w:r>
    </w:p>
    <w:p w14:paraId="7F8054A7">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本次招标不接受联合体投标。</w:t>
      </w:r>
    </w:p>
    <w:p w14:paraId="2773B6EF">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8.投标费用</w:t>
      </w:r>
    </w:p>
    <w:p w14:paraId="04A0FA0A">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8.1供应商应自行承担所有与准备和参加投标有关的费用。无论采购结果如何，采购代理和采购人在任何情况下均无义务和责任承担这些费用。</w:t>
      </w:r>
    </w:p>
    <w:p w14:paraId="75442681">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9.投标文件组成</w:t>
      </w:r>
    </w:p>
    <w:p w14:paraId="7C7CAFE0">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供应商应当根据招标文件要求编制投标文件，投标文件应对招标文件提出的要求和条件作出实质性响应，并在《商务条款偏离表》和《技术条款偏离表》等处逐条标明满足与否。对带星号（“★”）的技术条款必须在投标文件中提供技术支持资料（如白皮书、彩页、手册、检测报告等），未提供技术支持资料的，评审时不予认可。（采购需求中另有规定的，也可从其规定）</w:t>
      </w:r>
    </w:p>
    <w:p w14:paraId="1B1BA45F">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投标文件由商务部分、技术部分、价格部分以及其他部分组成。</w:t>
      </w:r>
    </w:p>
    <w:p w14:paraId="14F7C786">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10.投标文件的商务部分</w:t>
      </w:r>
    </w:p>
    <w:p w14:paraId="104EBB37">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10.1商务部分是证明供应商有资格参加投标响应和中标后有能力履行合同的文件，这些文件应能满足投标的要求，包括但不限于下列文件，其中加★项目不得有缺失或无效。</w:t>
      </w:r>
    </w:p>
    <w:p w14:paraId="57F09D40">
      <w:pPr>
        <w:numPr>
          <w:ilvl w:val="0"/>
          <w:numId w:val="3"/>
        </w:num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★投标响应申请及声明；</w:t>
      </w:r>
    </w:p>
    <w:p w14:paraId="0F965FB2">
      <w:pPr>
        <w:numPr>
          <w:ilvl w:val="0"/>
          <w:numId w:val="3"/>
        </w:num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★法定代表人授权委托书及委托代理人的身份证明文件的复印件；</w:t>
      </w:r>
    </w:p>
    <w:p w14:paraId="29C94C9E">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（3）★第一章招标公告中第二条申请人的资格要求《中华人民共和国政府采购法》规定的资格条件承诺书（证明文件由中标供应商按招标文件要求提供）；</w:t>
      </w:r>
    </w:p>
    <w:p w14:paraId="5107C2AE">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（4）★第一章招标公告中第二条申请人的资格要求，采购人根据采购项目的特殊要求规定的特定条件证明文件（若有）；</w:t>
      </w:r>
    </w:p>
    <w:p w14:paraId="5C2DBF17">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（5）★开标一览表；</w:t>
      </w:r>
    </w:p>
    <w:p w14:paraId="2564B796">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（6）★《商务条款偏离表》；</w:t>
      </w:r>
    </w:p>
    <w:p w14:paraId="78B40FED">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（7）供应商类似业绩情况表；</w:t>
      </w:r>
    </w:p>
    <w:p w14:paraId="71444CC4">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（8）企业声明函；</w:t>
      </w:r>
    </w:p>
    <w:p w14:paraId="15E44CE2">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（9）★声明函；</w:t>
      </w:r>
    </w:p>
    <w:p w14:paraId="6301F8FC">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（10）《南京市政府采购供应商信用记录表暨信用承诺书》；</w:t>
      </w:r>
    </w:p>
    <w:p w14:paraId="3C549617">
      <w:pPr>
        <w:adjustRightInd w:val="0"/>
        <w:snapToGrid w:val="0"/>
        <w:spacing w:line="312" w:lineRule="auto"/>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（11）供应商认为需要提供的其他资格证明文件和商务资料等。</w:t>
      </w:r>
    </w:p>
    <w:p w14:paraId="2938D95C">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11.投标文件的技术部分</w:t>
      </w:r>
    </w:p>
    <w:p w14:paraId="36515A19">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技术部分是证明供应商提供的产品和服务是合格的、并符合招标文件要求的证明文件，以及对投标报价表中的服务的详细说明，这些文件可以是文字资料、图纸和数据等。</w:t>
      </w:r>
    </w:p>
    <w:p w14:paraId="1B069773">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若技术性能无特殊说明，则按国家有关部门最新颁布的标准及规范为准；提供的服务如与招标文件要求有不符之处，应说明其差别之所在，并在《技术条款偏离表》中逐条予以说明。</w:t>
      </w:r>
    </w:p>
    <w:p w14:paraId="472861AF">
      <w:p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11.1投标文件应按照招标文件要求提供技术资料、文件和有关证明，包括但不限于其中加★项目不得有缺失或无效：</w:t>
      </w:r>
    </w:p>
    <w:p w14:paraId="6C3513DC">
      <w:pPr>
        <w:numPr>
          <w:ilvl w:val="0"/>
          <w:numId w:val="4"/>
        </w:num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★《技术条款偏离表》；</w:t>
      </w:r>
    </w:p>
    <w:p w14:paraId="6BCB4022">
      <w:pPr>
        <w:numPr>
          <w:ilvl w:val="0"/>
          <w:numId w:val="4"/>
        </w:num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方案及服务承诺；</w:t>
      </w:r>
    </w:p>
    <w:p w14:paraId="4360557F">
      <w:pPr>
        <w:numPr>
          <w:ilvl w:val="0"/>
          <w:numId w:val="4"/>
        </w:numPr>
        <w:spacing w:line="312" w:lineRule="auto"/>
        <w:ind w:firstLine="480"/>
        <w:rPr>
          <w:rFonts w:hint="eastAsia" w:ascii="宋体" w:hAnsi="宋体" w:eastAsia="宋体" w:cs="宋体"/>
          <w:bCs/>
          <w:color w:val="auto"/>
          <w:sz w:val="24"/>
        </w:rPr>
      </w:pPr>
      <w:r>
        <w:rPr>
          <w:rFonts w:hint="eastAsia" w:ascii="宋体" w:hAnsi="宋体" w:eastAsia="宋体" w:cs="宋体"/>
          <w:bCs/>
          <w:color w:val="auto"/>
          <w:sz w:val="24"/>
        </w:rPr>
        <w:t>供应商认为需要提供的其他技术资料。</w:t>
      </w:r>
    </w:p>
    <w:p w14:paraId="477D2EB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12.投标文件的价格部分</w:t>
      </w:r>
    </w:p>
    <w:p w14:paraId="0E728C1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12.1价格部分是对货物和服务价格构成的说明，招标文件如没有特别说明的话，对每一项货物和服务仅接受一个价格。</w:t>
      </w:r>
    </w:p>
    <w:p w14:paraId="61EBEC7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12.2报价应包含本次招标的所有费用、支付给员工的工资和国家强制缴纳的各种社会保障资金，以及供应商认为需要的其他费用等。</w:t>
      </w:r>
    </w:p>
    <w:p w14:paraId="386F1C7E">
      <w:pPr>
        <w:spacing w:line="312" w:lineRule="auto"/>
        <w:ind w:firstLine="480"/>
        <w:rPr>
          <w:rFonts w:hint="eastAsia" w:ascii="宋体" w:hAnsi="宋体" w:eastAsia="宋体" w:cs="宋体"/>
          <w:color w:val="auto"/>
          <w:sz w:val="20"/>
        </w:rPr>
      </w:pPr>
      <w:r>
        <w:rPr>
          <w:rFonts w:hint="eastAsia" w:ascii="宋体" w:hAnsi="宋体" w:eastAsia="宋体" w:cs="宋体"/>
          <w:color w:val="auto"/>
          <w:sz w:val="24"/>
        </w:rPr>
        <w:t>12.3供应商应充分考虑到市场价格变动，以及项目实施过程中的不可预见因素。如果有漏项，视同让利。供应商的任何错漏、优惠、竞争性报价不得作为减轻责任、减少服务、增加收费、降低质量的理由。</w:t>
      </w:r>
    </w:p>
    <w:p w14:paraId="5455FC9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12.4供应商应在《开标一览表》《分项报价表》等标明提供服务的单价、总价以及分项报价。供应商系小企业（含小型、微型企业），并提供本企业制造的货物、承担的工程或者服务，或者提供其他小企业制造的货物，须在《开标一览表》《分项报价表》中注明。</w:t>
      </w:r>
    </w:p>
    <w:p w14:paraId="360AE9F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13.投标文件的其他部分</w:t>
      </w:r>
    </w:p>
    <w:p w14:paraId="7F00576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其他部分由供应商根据编制投标文件需要提供的其他相关文件。</w:t>
      </w:r>
    </w:p>
    <w:p w14:paraId="63C9D5E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14.投标保证金</w:t>
      </w:r>
    </w:p>
    <w:p w14:paraId="73052F26">
      <w:pPr>
        <w:spacing w:line="312" w:lineRule="auto"/>
        <w:ind w:left="420"/>
        <w:rPr>
          <w:rFonts w:hint="eastAsia" w:ascii="宋体" w:hAnsi="宋体" w:eastAsia="宋体" w:cs="宋体"/>
          <w:color w:val="auto"/>
          <w:sz w:val="24"/>
        </w:rPr>
      </w:pPr>
      <w:r>
        <w:rPr>
          <w:rFonts w:hint="eastAsia" w:ascii="宋体" w:hAnsi="宋体" w:eastAsia="宋体" w:cs="宋体"/>
          <w:color w:val="auto"/>
          <w:sz w:val="24"/>
        </w:rPr>
        <w:t>本项目不需要交纳投标保证金。</w:t>
      </w:r>
    </w:p>
    <w:p w14:paraId="15BB379A">
      <w:pPr>
        <w:spacing w:line="312" w:lineRule="auto"/>
        <w:ind w:left="420"/>
        <w:rPr>
          <w:rFonts w:ascii="宋体" w:hAnsi="宋体" w:eastAsia="宋体" w:cs="宋体"/>
          <w:color w:val="auto"/>
          <w:sz w:val="24"/>
        </w:rPr>
      </w:pPr>
      <w:r>
        <w:rPr>
          <w:rFonts w:hint="eastAsia" w:ascii="宋体" w:hAnsi="宋体" w:eastAsia="宋体" w:cs="宋体"/>
          <w:color w:val="auto"/>
          <w:sz w:val="24"/>
        </w:rPr>
        <w:t>15.投标有效期自提交响应文件截止之日起90天内投标有效。投标文件中承诺的投标</w:t>
      </w:r>
    </w:p>
    <w:p w14:paraId="259184F5">
      <w:pPr>
        <w:spacing w:line="312" w:lineRule="auto"/>
        <w:rPr>
          <w:rFonts w:hint="eastAsia" w:ascii="宋体" w:hAnsi="宋体" w:eastAsia="宋体" w:cs="宋体"/>
          <w:color w:val="auto"/>
          <w:sz w:val="24"/>
        </w:rPr>
      </w:pPr>
      <w:r>
        <w:rPr>
          <w:rFonts w:hint="eastAsia" w:ascii="宋体" w:hAnsi="宋体" w:eastAsia="宋体" w:cs="宋体"/>
          <w:color w:val="auto"/>
          <w:sz w:val="24"/>
        </w:rPr>
        <w:t>有效期应当不少于招标文件中载明的投标有效期。</w:t>
      </w:r>
    </w:p>
    <w:p w14:paraId="1EED79B2">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在特殊情况下，在原投标有效期截止之前，采购代理机构可要求供应商同意延长投标有效期，这种要求与答复均以书面形式提交。供应商可拒绝这种要求，并且不影响保证金退还。接受延长投标有效期的供应商将不会要求和允许修正其投标，而只会被要求相应地延长其投标保证金的有效期。在这种情况下，有关投标保证金的退还规定在延长了的有效期内继续有效。</w:t>
      </w:r>
    </w:p>
    <w:p w14:paraId="212AF16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16.投标文件的签署</w:t>
      </w:r>
    </w:p>
    <w:p w14:paraId="63010E5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16.1投标文件应按照招标文件要求签字、盖章，否则视为无效投标。</w:t>
      </w:r>
    </w:p>
    <w:p w14:paraId="5A890044">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17.投标文件的密封和递交</w:t>
      </w:r>
    </w:p>
    <w:p w14:paraId="0982932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17.1投标文件份数：壹式伍份（壹份正本、肆份副本），每份投标文件须清楚标明“正本”或“副本”字样；需装订成册并逐页加注页码，投标文件提倡按照 A4 幅面打印或复印并进行装订。一旦正本和副本不符，以正本为准。</w:t>
      </w:r>
    </w:p>
    <w:p w14:paraId="6DA1752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17.2《开标一览表》除需要装订在投标文件中外，还应另外单独封装一份，并标明“开标一览表”字样，随投标文件一并递交，以便唱标时使用。</w:t>
      </w:r>
    </w:p>
    <w:p w14:paraId="0D99E37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17.3供应商应提供电子版投标文件（一般为正本加盖公章PDF格式，介质形式为U盘，投标文件电子版中必须包含投标文件的全部内容，不得加密，所有文档、图表等采用PDF格式或WORD格式，电子版投标文件应随纸质版投标文件一并密封提交）。如出现电子版文件和纸质正本文件不一致时，以纸质版正本文件为准。电子文件用于辅助评审和采购人存档，供应商应承担前述不一致造成的不利后果。</w:t>
      </w:r>
    </w:p>
    <w:p w14:paraId="19F1C26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17.4供应商应当将投标文件密封。</w:t>
      </w:r>
    </w:p>
    <w:p w14:paraId="4A729BD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17.5供应商应当在招标文件要求提交投标文件的截止时间前，将密封的投标文件送达投标地点。任何单位和个人不得在开标前开启投标文件。</w:t>
      </w:r>
    </w:p>
    <w:p w14:paraId="3B35321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18.有下列情形之一的投标文件将拒收：</w:t>
      </w:r>
    </w:p>
    <w:p w14:paraId="3CB45C4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（1）在招标文件要求提交投标文件的截止时间之后送达的；</w:t>
      </w:r>
    </w:p>
    <w:p w14:paraId="7B65459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（2）投标文件及《开标一览表》未按照招标文件要求密封的。</w:t>
      </w:r>
    </w:p>
    <w:p w14:paraId="2EF746A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19.投标文件的修改和撤回。</w:t>
      </w:r>
    </w:p>
    <w:p w14:paraId="2870DB5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19.1供应商在递交投标文件截止时间前，可以对所递交的投标文件进行补充、修改或撤回，并书面通知采购代理机构。补充、修改的内容应当按照招标文件要求签署、盖章，并作为投标文件的组成部分。</w:t>
      </w:r>
    </w:p>
    <w:p w14:paraId="0CCFA68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19.2投标文件截止时间之后，</w:t>
      </w:r>
      <w:r>
        <w:rPr>
          <w:rFonts w:hint="eastAsia" w:ascii="宋体" w:hAnsi="宋体" w:eastAsia="宋体" w:cs="宋体"/>
          <w:color w:val="auto"/>
          <w:sz w:val="24"/>
          <w:lang w:val="zh-CN"/>
        </w:rPr>
        <w:t>供应商不得对其投标文件作任何修改。</w:t>
      </w:r>
    </w:p>
    <w:p w14:paraId="254630B2">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19</w:t>
      </w:r>
      <w:r>
        <w:rPr>
          <w:rFonts w:hint="eastAsia" w:ascii="宋体" w:hAnsi="宋体" w:eastAsia="宋体" w:cs="宋体"/>
          <w:color w:val="auto"/>
          <w:sz w:val="24"/>
          <w:lang w:val="zh-CN"/>
        </w:rPr>
        <w:t>.</w:t>
      </w:r>
      <w:r>
        <w:rPr>
          <w:rFonts w:hint="eastAsia" w:ascii="宋体" w:hAnsi="宋体" w:eastAsia="宋体" w:cs="宋体"/>
          <w:color w:val="auto"/>
          <w:sz w:val="24"/>
        </w:rPr>
        <w:t>3</w:t>
      </w:r>
      <w:r>
        <w:rPr>
          <w:rFonts w:hint="eastAsia" w:ascii="宋体" w:hAnsi="宋体" w:eastAsia="宋体" w:cs="宋体"/>
          <w:color w:val="auto"/>
          <w:sz w:val="24"/>
          <w:lang w:val="zh-CN"/>
        </w:rPr>
        <w:t>在投标截止时间至招标文件中规定的投标有效期满之间的这段时间内，供应商不得撤回其投标。</w:t>
      </w:r>
    </w:p>
    <w:p w14:paraId="3A83BCB3">
      <w:pPr>
        <w:numPr>
          <w:ilvl w:val="0"/>
          <w:numId w:val="2"/>
        </w:numPr>
        <w:spacing w:line="312" w:lineRule="auto"/>
        <w:ind w:firstLine="482"/>
        <w:rPr>
          <w:rFonts w:hint="eastAsia" w:ascii="宋体" w:hAnsi="宋体" w:eastAsia="宋体" w:cs="宋体"/>
          <w:b/>
          <w:bCs/>
          <w:color w:val="auto"/>
          <w:sz w:val="24"/>
        </w:rPr>
      </w:pPr>
      <w:r>
        <w:rPr>
          <w:rFonts w:hint="eastAsia" w:ascii="宋体" w:hAnsi="宋体" w:eastAsia="宋体" w:cs="宋体"/>
          <w:b/>
          <w:bCs/>
          <w:color w:val="auto"/>
          <w:sz w:val="24"/>
        </w:rPr>
        <w:t>开标、评标与确定中标供应商</w:t>
      </w:r>
    </w:p>
    <w:p w14:paraId="5A1C3164">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20.开标</w:t>
      </w:r>
    </w:p>
    <w:p w14:paraId="1BA5B07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20.1采购代理机构将在招标文件确定的时间和地点进行开标。供应商应委派代表准时参加，参加开标的代表须签名报到以证明其出席。</w:t>
      </w:r>
    </w:p>
    <w:p w14:paraId="303E52D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20.2开标时，采购代理机构将邀请供应商代表检查投标文件的密封情况，投标人如对文件密封及递交情况存在疑义，应当场提出。经确认无误后，由采购代理机构工作人员当众拆封，宣读供应商名称、报价、公开招标文件允许提供的备选投标方案和投标文件的其他主要内容。</w:t>
      </w:r>
    </w:p>
    <w:p w14:paraId="7A06B93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20.3供应商不足3家的，不得开标。</w:t>
      </w:r>
    </w:p>
    <w:p w14:paraId="04117F4B">
      <w:pPr>
        <w:tabs>
          <w:tab w:val="left" w:pos="920"/>
        </w:tabs>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20.4供应商如果对开标过程和开标结果有疑义，以及认为采购人、采购代理机构相关工作人员有需要回避的情形的，应当场提出询问或者回避申请。采购人、采购代理机构对投标人代表提出的询问或者回避申请将及时处理。投标人未参加开标的，视同认可开标结果。</w:t>
      </w:r>
    </w:p>
    <w:p w14:paraId="65C162F6">
      <w:pPr>
        <w:tabs>
          <w:tab w:val="left" w:pos="920"/>
        </w:tabs>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20.5公开招标数额标准以上的采购项目，递交投标文件截止后供应商不足3家或者通过资格审查</w:t>
      </w:r>
      <w:bookmarkStart w:id="1" w:name="page15"/>
      <w:bookmarkEnd w:id="1"/>
      <w:r>
        <w:rPr>
          <w:rFonts w:hint="eastAsia" w:ascii="宋体" w:hAnsi="宋体" w:eastAsia="宋体" w:cs="宋体"/>
          <w:color w:val="auto"/>
          <w:sz w:val="24"/>
        </w:rPr>
        <w:t>或符合性审查的供应商不足3家的，除采购任务取消情形外，按照以下方式处理：</w:t>
      </w:r>
    </w:p>
    <w:p w14:paraId="6C26ECA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（1）招标文件存在不合理条款或者开标程序不符合规定的，采购人、采购代理机构改正后依法重新开标；</w:t>
      </w:r>
    </w:p>
    <w:p w14:paraId="0466BD4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招标文件没有不合理条款、开标程序符合规定，需要采用其他采购方式采购的，采购人依法报财政部门批准，经批准后，可变更为其他采购方式采购。本次招标文件中对供应商资格条件要求、技术要求和商务等要求，将作为其他采购方式采购的基本要求和谈判依据。</w:t>
      </w:r>
    </w:p>
    <w:p w14:paraId="023F4AF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21.评标</w:t>
      </w:r>
    </w:p>
    <w:p w14:paraId="4B17061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21.1评标组织</w:t>
      </w:r>
    </w:p>
    <w:p w14:paraId="6E471F3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21.1.1评标工作由采购代理机构负责组织，具体评标事务由依法组建的评标委员会负责，并独立履行下列职责：</w:t>
      </w:r>
    </w:p>
    <w:p w14:paraId="1FD0BC77">
      <w:pPr>
        <w:numPr>
          <w:ilvl w:val="0"/>
          <w:numId w:val="5"/>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审查投标文件是否符合招标文件要求，并作出评价；</w:t>
      </w:r>
    </w:p>
    <w:p w14:paraId="1261B342">
      <w:pPr>
        <w:numPr>
          <w:ilvl w:val="0"/>
          <w:numId w:val="5"/>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要求供应商对投标文件有关事项作出解释或者澄清；</w:t>
      </w:r>
    </w:p>
    <w:p w14:paraId="68781A70">
      <w:pPr>
        <w:numPr>
          <w:ilvl w:val="0"/>
          <w:numId w:val="5"/>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推荐中标候选供应商名单，或者按照招标文件规定直接确定供应商；</w:t>
      </w:r>
    </w:p>
    <w:p w14:paraId="690E76B7">
      <w:pPr>
        <w:numPr>
          <w:ilvl w:val="0"/>
          <w:numId w:val="5"/>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向财政部门报告非法干预评审工作的行为。</w:t>
      </w:r>
    </w:p>
    <w:p w14:paraId="2104EC4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21.1.2评标委员会由采购人代表和有关技术、经济等方面的专家组成，独立开展评审工作。</w:t>
      </w:r>
    </w:p>
    <w:p w14:paraId="5708481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21.2评审程序</w:t>
      </w:r>
    </w:p>
    <w:p w14:paraId="31C6D45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21.2.1投标文件的资格性检查。公开招标采购项目开标结束后，采购人或者采购代理机构应当依法对供应商的资格进行审查，并将审查的结论向评委会进行反馈。合格供应商不足3家的，不得评标。</w:t>
      </w:r>
    </w:p>
    <w:p w14:paraId="37A54D34">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21.2.2投标文件的符合性检查。评标委员会对通过资格性检查的供应商的投标文件进行符合性审查，以确定其是否满足招标文件的实质性要求。投标文件有下列情况之一的，在符合性检查时按照无效投标处理：</w:t>
      </w:r>
    </w:p>
    <w:p w14:paraId="1AE8F96E">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供应商未按照招标文件要求递交投标文件的；</w:t>
      </w:r>
    </w:p>
    <w:p w14:paraId="5E81A070">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同一供应商提交两个（含两个）以上不同的投标报价的；</w:t>
      </w:r>
    </w:p>
    <w:p w14:paraId="170E12F4">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供应商未按照招标文件要求签署、盖章的；</w:t>
      </w:r>
    </w:p>
    <w:p w14:paraId="152D40EC">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不具备招标文件中规定资格要求的；</w:t>
      </w:r>
    </w:p>
    <w:p w14:paraId="289A277E">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报价超过招标文件中规定的预算金额或者最高限价的；</w:t>
      </w:r>
    </w:p>
    <w:p w14:paraId="107F0E68">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投标文件含有采购人不能接受的附加条件的；</w:t>
      </w:r>
    </w:p>
    <w:p w14:paraId="34ECB127">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投标文件内容不全或不符合招标文件中规定的其他实质性要求的；</w:t>
      </w:r>
    </w:p>
    <w:p w14:paraId="236368D2">
      <w:pPr>
        <w:numPr>
          <w:ilvl w:val="0"/>
          <w:numId w:val="6"/>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现行法律法规、规章和招标文件规定的其他无效情形。</w:t>
      </w:r>
    </w:p>
    <w:p w14:paraId="0B9F718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21.2.2.1实质性要求是指本招标文件中用带星号（“★”）、“必须”或“应（应当）”等其他文字说明的商务和技术要求。</w:t>
      </w:r>
    </w:p>
    <w:p w14:paraId="03B73C8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21.2.2.2有下列情形之一的予以废标，同时将废标理由通知所有供应商：</w:t>
      </w:r>
    </w:p>
    <w:p w14:paraId="123B43BD">
      <w:pPr>
        <w:numPr>
          <w:ilvl w:val="0"/>
          <w:numId w:val="7"/>
        </w:num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符合专业条件的供应商或者对招标文件作实质性响应的供应商不足三家的；</w:t>
      </w:r>
    </w:p>
    <w:p w14:paraId="310C14E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（2）出现影响采购公正的违法、违规行为的；</w:t>
      </w:r>
    </w:p>
    <w:p w14:paraId="7E81F31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（3）供应商的报价均超过了采购预算，采购人不能支付的；</w:t>
      </w:r>
    </w:p>
    <w:p w14:paraId="4E88260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（4）供应商以明显低于其他通过符合性审查供应商的报价，有可能影响产品质量或者不能诚信履约的，且不能证明其报价合理性的。</w:t>
      </w:r>
    </w:p>
    <w:p w14:paraId="1D41D0D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（5）因重大变故，采购任务取消的；</w:t>
      </w:r>
    </w:p>
    <w:p w14:paraId="21FBD19F">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21.2.2.3在评标期间，出现符合专业条件的供应商或者对招标文件作出实质性响应的供应商不足三家情形的，比照20.5款执行。</w:t>
      </w:r>
    </w:p>
    <w:p w14:paraId="5E73BA0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21.2.3澄清有关问题。对投标文件中含义不明确、同类问题表述不一致或者明显文字和计算错误的内容，评标委员会可以要求供应商作出必要的澄清、说明或者补正。供应商的澄清、说明、补正应当采用书面形式，由其法定代表人或其授权代表签字，并作为投标文件的补充部分。供应商的澄清、说明或者补正不得超出投标文件的范围或者改变投标文件的实质性内容。评委会并非对每个供应商都做澄清要求。</w:t>
      </w:r>
    </w:p>
    <w:p w14:paraId="67332707">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21.2.3.1接到评委会澄清、说明和补正要求的，供应商如未按规定作出澄清、说明和补正，其风险由供应商自行承担。</w:t>
      </w:r>
    </w:p>
    <w:p w14:paraId="0C781118">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21.2.3.2投标文件报价出现前后不一致的，除招标文件另有规定外，按照下列规定修正：</w:t>
      </w:r>
    </w:p>
    <w:p w14:paraId="2AD9F49B">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（1）投标文件中开标一览表（报价表）内容与投标文件中相应内容不一致的，以开标一览表（报价表）为准；</w:t>
      </w:r>
    </w:p>
    <w:p w14:paraId="2AD0F2F4">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（2）大写金额和小写金额不一致的，以大写金额为准；</w:t>
      </w:r>
    </w:p>
    <w:p w14:paraId="77CC0C92">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（3）单价金额小数点或者百分比有明显错位的，以开标一览表的总价为准，并修改单价；</w:t>
      </w:r>
    </w:p>
    <w:p w14:paraId="4B826FA3">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（4）总价金额与按单价汇总金额不一致的，以单价金额计算结果为准。</w:t>
      </w:r>
    </w:p>
    <w:p w14:paraId="0EE82D2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评委会将按上述修正错误的方法调整投标文件中的投标报价，同时出现两种以上不一致的，按照前款规定的顺序修正，并由评标委员会告知供应商，调整后的价格对供应商具有约束力。如果供应商不接受修正后的价格，则其投标将被拒绝。</w:t>
      </w:r>
    </w:p>
    <w:p w14:paraId="18C267C7">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21.2.3.3供应商在开、评标全过程中应保持通信畅通，及时答复相关信息，并安排专人与代理机构及评委会联系。</w:t>
      </w:r>
    </w:p>
    <w:p w14:paraId="42ADCC7B">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21.2.3.4评标委员会认为供应商的报价明显低于其他通过符合性审查供应商的报价，有可能影响产品质量或者不能诚信履约的，将要求其在评标现场合理的时间内提供书面说明，必要时提交相关证明材料；供应商不能证明其报价合理性的，评标委员会将其作为无效投标处理。</w:t>
      </w:r>
    </w:p>
    <w:p w14:paraId="638AC69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21.2.4比较与评价。按照招标文件中规定的评审方法和标准，对资格性检查和符合性检查合格的投标文件进行商务和技术评估，综合比较与评价。</w:t>
      </w:r>
    </w:p>
    <w:p w14:paraId="01E4F71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21.3评标方法和标准</w:t>
      </w:r>
    </w:p>
    <w:p w14:paraId="15B72714">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21.3.1采用综合评分法。即在最大限度地满足招标文件实质性要求前提下，按照招标文件中规定的各项因素进行综合评审后，以评审总得分最高的供应商作为中标候选供应商或者中标供应商的评标方法。</w:t>
      </w:r>
    </w:p>
    <w:p w14:paraId="45302D4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21.3.2评审因素，包括价格、技术、商务等。</w:t>
      </w:r>
    </w:p>
    <w:p w14:paraId="3652156A">
      <w:pPr>
        <w:spacing w:line="312" w:lineRule="auto"/>
        <w:ind w:firstLine="480"/>
        <w:rPr>
          <w:rFonts w:hint="eastAsia" w:ascii="新宋体" w:hAnsi="新宋体" w:cs="新宋体"/>
          <w:color w:val="auto"/>
          <w:sz w:val="24"/>
        </w:rPr>
      </w:pPr>
      <w:r>
        <w:rPr>
          <w:rFonts w:hint="eastAsia" w:ascii="新宋体" w:hAnsi="新宋体" w:eastAsia="新宋体" w:cs="新宋体"/>
          <w:color w:val="auto"/>
          <w:sz w:val="24"/>
        </w:rPr>
        <w:t>21.3.3评分标准详见招标文件第三章。</w:t>
      </w:r>
    </w:p>
    <w:p w14:paraId="2A7A5C39">
      <w:pPr>
        <w:pBdr>
          <w:top w:val="none" w:color="000000" w:sz="0" w:space="0"/>
          <w:left w:val="none" w:color="000000" w:sz="0" w:space="0"/>
          <w:bottom w:val="none" w:color="000000" w:sz="0" w:space="0"/>
          <w:right w:val="none" w:color="000000" w:sz="0" w:space="0"/>
        </w:pBdr>
        <w:spacing w:line="312" w:lineRule="auto"/>
        <w:ind w:left="118" w:firstLine="420"/>
        <w:rPr>
          <w:rFonts w:hint="eastAsia" w:ascii="新宋体" w:hAnsi="新宋体" w:cs="新宋体"/>
          <w:b/>
          <w:bCs/>
          <w:color w:val="auto"/>
          <w:sz w:val="24"/>
        </w:rPr>
      </w:pPr>
      <w:r>
        <w:rPr>
          <w:rFonts w:hint="eastAsia" w:ascii="新宋体" w:hAnsi="新宋体" w:eastAsia="宋体" w:cs="新宋体"/>
          <w:b/>
          <w:bCs/>
          <w:color w:val="auto"/>
          <w:sz w:val="24"/>
        </w:rPr>
        <w:t>21.4</w:t>
      </w:r>
      <w:r>
        <w:rPr>
          <w:rFonts w:ascii="新宋体" w:hAnsi="新宋体" w:eastAsia="新宋体" w:cs="新宋体"/>
          <w:b/>
          <w:bCs/>
          <w:color w:val="auto"/>
          <w:sz w:val="24"/>
        </w:rPr>
        <w:t>评审过程中出现下列情形之一的，评审委员会应当启动异常低价投标</w:t>
      </w:r>
      <w:r>
        <w:rPr>
          <w:rFonts w:hint="eastAsia" w:ascii="新宋体" w:hAnsi="新宋体" w:eastAsia="新宋体" w:cs="新宋体"/>
          <w:b/>
          <w:bCs/>
          <w:color w:val="auto"/>
          <w:sz w:val="24"/>
        </w:rPr>
        <w:t>（</w:t>
      </w:r>
      <w:r>
        <w:rPr>
          <w:rFonts w:ascii="新宋体" w:hAnsi="新宋体" w:eastAsia="新宋体" w:cs="新宋体"/>
          <w:b/>
          <w:bCs/>
          <w:color w:val="auto"/>
          <w:sz w:val="24"/>
        </w:rPr>
        <w:t>响应</w:t>
      </w:r>
      <w:r>
        <w:rPr>
          <w:rFonts w:hint="eastAsia" w:ascii="新宋体" w:hAnsi="新宋体" w:eastAsia="新宋体" w:cs="新宋体"/>
          <w:b/>
          <w:bCs/>
          <w:color w:val="auto"/>
          <w:sz w:val="24"/>
        </w:rPr>
        <w:t>）</w:t>
      </w:r>
      <w:r>
        <w:rPr>
          <w:rFonts w:ascii="新宋体" w:hAnsi="新宋体" w:eastAsia="新宋体" w:cs="新宋体"/>
          <w:b/>
          <w:bCs/>
          <w:color w:val="auto"/>
          <w:sz w:val="24"/>
        </w:rPr>
        <w:t>审查程序</w:t>
      </w:r>
      <w:r>
        <w:rPr>
          <w:rFonts w:hint="eastAsia" w:ascii="新宋体" w:hAnsi="新宋体" w:eastAsia="新宋体" w:cs="新宋体"/>
          <w:b/>
          <w:bCs/>
          <w:color w:val="auto"/>
          <w:sz w:val="24"/>
        </w:rPr>
        <w:t>：</w:t>
      </w:r>
    </w:p>
    <w:p w14:paraId="43ECC49B">
      <w:pPr>
        <w:spacing w:line="312"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①投标报价低于全部通过符合性审查供应商投标报价平均值50%的，即投标报价〈全部通过符合性审查供应商投标报价平均值×50%；</w:t>
      </w:r>
    </w:p>
    <w:p w14:paraId="010B932D">
      <w:pPr>
        <w:spacing w:line="312"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②投标报价低于通过符合性审查的次低报价供应商投标报价50%的，即投标报价〈通过符合性审查的次低报价供应商投标报价×50%；</w:t>
      </w:r>
    </w:p>
    <w:p w14:paraId="7DF518A4">
      <w:pPr>
        <w:spacing w:line="312"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③投标报价低于采购项目最高限价45%的，即投标报价〈采购项目最高限价×45%；</w:t>
      </w:r>
    </w:p>
    <w:p w14:paraId="4152B27B">
      <w:pPr>
        <w:spacing w:line="312"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④评审委员会基于专业判断，认为供应商报价过低，有可能影响产品质量或者不能诚信履约的其他情形。</w:t>
      </w:r>
    </w:p>
    <w:p w14:paraId="49652AAB">
      <w:pPr>
        <w:spacing w:line="312" w:lineRule="auto"/>
        <w:ind w:firstLine="480"/>
        <w:rPr>
          <w:rFonts w:hint="eastAsia" w:ascii="新宋体" w:hAnsi="新宋体" w:cs="新宋体"/>
          <w:color w:val="auto"/>
          <w:sz w:val="24"/>
        </w:rPr>
      </w:pPr>
      <w:r>
        <w:rPr>
          <w:rFonts w:hint="eastAsia" w:ascii="新宋体" w:hAnsi="新宋体" w:eastAsia="新宋体" w:cs="新宋体"/>
          <w:color w:val="auto"/>
          <w:sz w:val="24"/>
        </w:rPr>
        <w:t>评审委员会启动异常低价投标审查后，属于前述第①项至第④项情形的，评审委员会要求供应商在30分钟内对投标价格作出解释，并提供项目具体成本测算等与报价合理性相关的书面说明及必要的证明材料，包括但不限于原材料成本、人工成本、制造费用等证明其报价合理性。投标供应商不能提供书面说明、证明材料，或者提供的书面说明、证明材料不能证明其报价合理性的，评审委员会应当将其作为无效投标处理。</w:t>
      </w:r>
    </w:p>
    <w:p w14:paraId="5CA669C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22.确定中标供应商</w:t>
      </w:r>
    </w:p>
    <w:p w14:paraId="73903E4D">
      <w:pPr>
        <w:spacing w:line="312" w:lineRule="auto"/>
        <w:ind w:firstLine="480"/>
        <w:rPr>
          <w:rFonts w:hint="eastAsia" w:ascii="宋体" w:hAnsi="宋体" w:cs="宋体"/>
          <w:color w:val="auto"/>
          <w:sz w:val="24"/>
        </w:rPr>
      </w:pPr>
      <w:r>
        <w:rPr>
          <w:rFonts w:hint="eastAsia" w:ascii="宋体" w:hAnsi="宋体" w:eastAsia="宋体" w:cs="宋体"/>
          <w:color w:val="auto"/>
          <w:sz w:val="24"/>
        </w:rPr>
        <w:t>22.1评审结果按评审后得分由高到低顺序排列</w:t>
      </w:r>
      <w:bookmarkStart w:id="2" w:name="_Hlk179291922"/>
      <w:r>
        <w:rPr>
          <w:rFonts w:hint="eastAsia" w:ascii="宋体" w:hAnsi="宋体" w:eastAsia="宋体" w:cs="宋体"/>
          <w:color w:val="auto"/>
          <w:sz w:val="24"/>
        </w:rPr>
        <w:t>确认中标供应商</w:t>
      </w:r>
      <w:bookmarkEnd w:id="2"/>
      <w:r>
        <w:rPr>
          <w:rFonts w:hint="eastAsia" w:ascii="宋体" w:hAnsi="宋体" w:eastAsia="宋体" w:cs="宋体"/>
          <w:color w:val="auto"/>
          <w:sz w:val="24"/>
        </w:rPr>
        <w:t>。得分相同的，按投标报价由低到高顺序排列。得分且投标报价相同的按技术评分得分自高到低顺序排列。</w:t>
      </w:r>
      <w:bookmarkStart w:id="3" w:name="_Hlk179291929"/>
      <w:r>
        <w:rPr>
          <w:rFonts w:hint="eastAsia" w:ascii="宋体" w:hAnsi="宋体" w:eastAsia="宋体" w:cs="宋体"/>
          <w:color w:val="auto"/>
          <w:sz w:val="24"/>
        </w:rPr>
        <w:t>投标文件满足招标文件全部实质性要求，</w:t>
      </w:r>
      <w:r>
        <w:rPr>
          <w:rFonts w:hint="eastAsia" w:ascii="宋体" w:hAnsi="宋体" w:cs="宋体"/>
          <w:color w:val="auto"/>
          <w:sz w:val="24"/>
        </w:rPr>
        <w:t>且按照评审因素的量化指标评审得分最高的供应商为中标候选人。</w:t>
      </w:r>
      <w:bookmarkEnd w:id="3"/>
    </w:p>
    <w:p w14:paraId="52BE44F9">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22.2中标供应商确定后，将在原信息发布媒体上公告，中标供应商向采购代理机构支付招标费用后到采购代理机构领取中标通知书。</w:t>
      </w:r>
    </w:p>
    <w:p w14:paraId="5FB5E43B">
      <w:pPr>
        <w:pStyle w:val="15"/>
        <w:adjustRightInd w:val="0"/>
        <w:spacing w:after="0" w:line="312" w:lineRule="auto"/>
        <w:ind w:firstLine="480" w:firstLineChars="200"/>
        <w:rPr>
          <w:rFonts w:ascii="宋体" w:hAnsi="宋体" w:eastAsia="宋体" w:cs="宋体"/>
          <w:color w:val="auto"/>
        </w:rPr>
      </w:pPr>
      <w:r>
        <w:rPr>
          <w:rFonts w:hint="eastAsia" w:ascii="宋体" w:hAnsi="宋体" w:eastAsia="宋体" w:cs="宋体"/>
          <w:color w:val="auto"/>
        </w:rPr>
        <w:t>22.2.1本项目招标费用由中标人支付，请各投标供应商在投标报价时，将上述费用综合考虑计入投标报价中，采购人后期不再对此费用进行单独列支与支付。招标代理收费参照《江苏省政府采购代理服务费收费指导意见》苏政采协[2024]20号文收费标准计取。</w:t>
      </w:r>
    </w:p>
    <w:p w14:paraId="5BBF9DD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22.2.2</w:t>
      </w:r>
      <w:r>
        <w:rPr>
          <w:rFonts w:hint="eastAsia" w:ascii="宋体" w:hAnsi="宋体" w:cs="宋体"/>
          <w:color w:val="auto"/>
          <w:sz w:val="24"/>
        </w:rPr>
        <w:t>专家评审费根据《关于进一步规范政府采购活动相关费用管理的通知》（苏财规〔2026〕1号）相关规定执行，由采购人依据《关于规范江苏省政府采购专家评审费标准的通知》苏财购〔2016〕48号文件规定标准予以支付。</w:t>
      </w:r>
    </w:p>
    <w:p w14:paraId="71DF86D3">
      <w:pPr>
        <w:tabs>
          <w:tab w:val="left" w:pos="940"/>
        </w:tabs>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22.3供应商确定后，在原公告媒体上公告中标结果，中标公告期为 1 个工作日。</w:t>
      </w:r>
    </w:p>
    <w:p w14:paraId="2A0FBB1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22.4中标通知书对采购人和中标供应商具有同等法律效力。</w:t>
      </w:r>
    </w:p>
    <w:p w14:paraId="3C619410">
      <w:pPr>
        <w:spacing w:line="312" w:lineRule="auto"/>
        <w:ind w:firstLine="480"/>
        <w:rPr>
          <w:rFonts w:hint="eastAsia" w:ascii="宋体" w:hAnsi="宋体" w:eastAsia="宋体" w:cs="宋体"/>
          <w:color w:val="auto"/>
          <w:sz w:val="24"/>
        </w:rPr>
      </w:pPr>
      <w:bookmarkStart w:id="4" w:name="_Hlk99749347"/>
      <w:r>
        <w:rPr>
          <w:rFonts w:hint="eastAsia" w:ascii="宋体" w:hAnsi="宋体" w:eastAsia="宋体" w:cs="宋体"/>
          <w:color w:val="auto"/>
          <w:sz w:val="24"/>
        </w:rPr>
        <w:t xml:space="preserve">22.5中标通知书发出后，中标供应商除发生法律规定的不能预见、不能避免并不能克服的客观情况外，不得放弃或拒绝签订合同。放弃或拒绝签订合同的，中标供应商不得参加对该项目重新开展的采购活动，由财政部门按照《中华人民共和国政府采购法》第七十七条第一款予以罚款，列入不良行为记录名单，在一至三年内禁止参加政府采购活动，并予以通报。 </w:t>
      </w:r>
      <w:bookmarkEnd w:id="4"/>
    </w:p>
    <w:p w14:paraId="1BADA82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22.6采购代理机构和评标委员会对未中标的供应商不作未中标原因的解释。</w:t>
      </w:r>
    </w:p>
    <w:p w14:paraId="533006DA">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22.7所有投标文件都将作为档案保存，不论中标与否，采购代理机构均不退回。</w:t>
      </w:r>
    </w:p>
    <w:p w14:paraId="168D4B8C">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23.编写评审报告</w:t>
      </w:r>
    </w:p>
    <w:p w14:paraId="0E5E111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23.1评标委员会根据全体评审成员签字的原始评审记录和评审结果编写评审报告。</w:t>
      </w:r>
    </w:p>
    <w:p w14:paraId="6726589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24.评审过程的保密性</w:t>
      </w:r>
    </w:p>
    <w:p w14:paraId="4C4EE5D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24.1采购代理机构将采取必要措施，保证评审在严格保密的情况下进行。</w:t>
      </w:r>
    </w:p>
    <w:p w14:paraId="0232A50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24.2任何单位和个人不得非法干预、影响评审过程和结果。</w:t>
      </w:r>
    </w:p>
    <w:p w14:paraId="0318AF4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24.3凡是与审查、澄清、评价和比较投标的有关资料等，均不向供应商及与评审无关的其他人员透露。</w:t>
      </w:r>
    </w:p>
    <w:p w14:paraId="72C2CDBB">
      <w:pPr>
        <w:spacing w:line="312" w:lineRule="auto"/>
        <w:ind w:firstLine="482"/>
        <w:rPr>
          <w:rFonts w:hint="eastAsia" w:ascii="宋体" w:hAnsi="宋体" w:eastAsia="宋体" w:cs="宋体"/>
          <w:b/>
          <w:bCs/>
          <w:color w:val="auto"/>
          <w:sz w:val="24"/>
        </w:rPr>
      </w:pPr>
      <w:r>
        <w:rPr>
          <w:rFonts w:hint="eastAsia" w:ascii="宋体" w:hAnsi="宋体" w:eastAsia="宋体" w:cs="宋体"/>
          <w:b/>
          <w:bCs/>
          <w:color w:val="auto"/>
          <w:sz w:val="24"/>
        </w:rPr>
        <w:t>五、签订合同</w:t>
      </w:r>
    </w:p>
    <w:p w14:paraId="11CEDFA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25.1中标供应商应当自中标通知书发出之日起三十日内，按照招标文件和中标供应商投标文件的约定与采购人签订采购合同，所签订的合同不得对招标文件和中标供应商投标文件作实质性修改。</w:t>
      </w:r>
    </w:p>
    <w:p w14:paraId="56A09F7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25.2采购人不得向中标供应商提出任何不合理的要求作为签订合同的条件，不得与中标供应商私下订立背离合同实质性内容的协议。</w:t>
      </w:r>
    </w:p>
    <w:p w14:paraId="6828D83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25.3中标供应商拒绝与采购人签订合同，或因不可抗力或者自身原因不能履行政府采购合同的，采购人可以按照评审报告推荐的中标候选人名单排序，确定下一候选人为中标供应商，也可以重新开展政府采购活动。</w:t>
      </w:r>
    </w:p>
    <w:p w14:paraId="13A9BF8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25.4采购合同履行中，采购人需追加与合同标的相同货物或服务的，在不改变合同其他条款的前提下，可以与供应商协商签订补充合同，但所有补充合同的采购金额不得超过原合同采购金额的百分之十。</w:t>
      </w:r>
    </w:p>
    <w:p w14:paraId="23A164CB">
      <w:pPr>
        <w:spacing w:line="312" w:lineRule="auto"/>
        <w:ind w:left="420"/>
        <w:rPr>
          <w:rFonts w:hint="eastAsia" w:ascii="宋体" w:hAnsi="宋体" w:eastAsia="宋体" w:cs="宋体"/>
          <w:b/>
          <w:bCs/>
          <w:color w:val="auto"/>
          <w:sz w:val="24"/>
        </w:rPr>
      </w:pPr>
      <w:r>
        <w:rPr>
          <w:rFonts w:hint="eastAsia" w:ascii="宋体" w:hAnsi="宋体" w:eastAsia="宋体" w:cs="宋体"/>
          <w:b/>
          <w:bCs/>
          <w:color w:val="auto"/>
          <w:sz w:val="24"/>
        </w:rPr>
        <w:t>六、询问、质疑、投诉和诚实信用</w:t>
      </w:r>
    </w:p>
    <w:p w14:paraId="79A8A601">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26.询问</w:t>
      </w:r>
    </w:p>
    <w:p w14:paraId="043492A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26.1供应商对投标活动事项有疑问的，可以向采购代理机构或采购人提出询问，采购代理机构或采购人将在三个工作日内作出答复，但答复的内容不涉及商业秘密。</w:t>
      </w:r>
    </w:p>
    <w:p w14:paraId="360A4552">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27.质疑</w:t>
      </w:r>
    </w:p>
    <w:p w14:paraId="0F414442">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27.1供应商认为采购文件、采购过程和中标结果使自己的合法权益受到损害的，可以在知道或者应当知道其权益受到损害之日起七个工作日内，将质疑文件原件送达采购代理机构。</w:t>
      </w:r>
    </w:p>
    <w:p w14:paraId="0D618642">
      <w:pPr>
        <w:widowControl/>
        <w:spacing w:line="312" w:lineRule="auto"/>
        <w:ind w:firstLine="420"/>
        <w:rPr>
          <w:rFonts w:hint="eastAsia" w:ascii="宋体" w:hAnsi="宋体" w:eastAsia="宋体" w:cs="宋体"/>
          <w:color w:val="auto"/>
          <w:sz w:val="24"/>
        </w:rPr>
      </w:pPr>
      <w:r>
        <w:rPr>
          <w:rFonts w:hint="eastAsia" w:ascii="宋体" w:hAnsi="宋体" w:eastAsia="宋体" w:cs="宋体"/>
          <w:color w:val="auto"/>
          <w:sz w:val="24"/>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14:paraId="311D2558">
      <w:pPr>
        <w:widowControl/>
        <w:spacing w:line="312" w:lineRule="auto"/>
        <w:ind w:firstLine="420"/>
        <w:rPr>
          <w:rFonts w:hint="eastAsia" w:ascii="宋体" w:hAnsi="宋体" w:eastAsia="宋体" w:cs="宋体"/>
          <w:b/>
          <w:bCs/>
          <w:color w:val="auto"/>
          <w:sz w:val="24"/>
        </w:rPr>
      </w:pPr>
      <w:r>
        <w:rPr>
          <w:rFonts w:hint="eastAsia" w:ascii="宋体" w:hAnsi="宋体" w:eastAsia="宋体" w:cs="宋体"/>
          <w:b/>
          <w:bCs/>
          <w:color w:val="auto"/>
          <w:sz w:val="24"/>
        </w:rPr>
        <w:t>供应商必须在法定质疑期内一次性提出针对同一采购程序环节的质疑。</w:t>
      </w:r>
    </w:p>
    <w:p w14:paraId="4138410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采购信息公告期限自发布公告之日起算，期限5个工作日。采购结果公告期限自发布结果公告之日起算，期限1个工作日。</w:t>
      </w:r>
    </w:p>
    <w:p w14:paraId="4176BD6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27.2质疑文件应包括以下主要内容，并按照“谁主张、谁举证”的原则，附上相关证明材料。否则，采购代理机构或采购人不予受理：</w:t>
      </w:r>
    </w:p>
    <w:p w14:paraId="06BF9D1E">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（1）质疑项目名称、项目编号、包号、招标公告发布时间、开标时间；</w:t>
      </w:r>
    </w:p>
    <w:p w14:paraId="7E2ED14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（2）提起质疑的日期、具体的质疑事项、质疑事项相关的请求及事实根据（具体条款）；</w:t>
      </w:r>
    </w:p>
    <w:p w14:paraId="4F39B30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3）认为自己合法权益受到损害或可能受到损害的相关证据材料。质疑相关证明材料中如涉及产品功能或技术指标的，应出具相关制造商的证明文件（友情提示：供应商全部产品线中没有满足技术需求要求的产品才可以对投标产品质疑，并提出修改理由和修改建议）；</w:t>
      </w:r>
    </w:p>
    <w:p w14:paraId="7B0EFCD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（4）质疑供应商名称、地址、邮编、联系人、联系电话（包括座机、手机、传真号码等）；</w:t>
      </w:r>
    </w:p>
    <w:p w14:paraId="6C7D717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（5）质疑文件应当署名，质疑人为自然人的，应当由本人签字并附有效身份证明；质疑人为法人或其他组织的，应当由法定代表人签字并加盖单位公章。</w:t>
      </w:r>
    </w:p>
    <w:p w14:paraId="3171CC2B">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（6）供应商委托代理质疑的，应当向被质疑人提交授权委托书，并载明委托代理的具体权限和事项。</w:t>
      </w:r>
    </w:p>
    <w:p w14:paraId="2681A1C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27.3质疑供应商是指直接参加本项目采购活动的供应商；对招标文件提出质疑的，应自供应商获得招标文件之日起计算，且应当在递交投标文件截止之日前提出；对采购过程提出质疑的，自采购程序环节结束之日起计算；对中标结果提出质疑的，自中标结果公告之日起计算。</w:t>
      </w:r>
    </w:p>
    <w:p w14:paraId="0BDE1EE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27.4采购代理机构在收到供应商的书面质疑后将及时组织调查核实，在七个工作日内作出答复，并以书面或在网站公告形式通知质疑供应商和其他有关供应商，答复的内容不涉及商业秘密。采购代理机构遵循“谁过错谁负担”的原则，有过错的一方承担调查论证费用。</w:t>
      </w:r>
    </w:p>
    <w:p w14:paraId="2A75F08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28.投诉</w:t>
      </w:r>
    </w:p>
    <w:p w14:paraId="414D2C6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28.1质疑供应商对采购代理机构的答复不满意，或采购代理机构未在规定的时间内作出答复的，可以在答复期满后十五个工作日内向采购项目同级财政部门投诉。</w:t>
      </w:r>
    </w:p>
    <w:p w14:paraId="37AA4CA5">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28.2供应商投诉应当提交投诉书和必要的证明材料。供应商投诉的事项不得超出已质疑事项的范围，但基于质疑答复内容提出的投诉事项除外。</w:t>
      </w:r>
    </w:p>
    <w:p w14:paraId="1621A3D5">
      <w:pPr>
        <w:tabs>
          <w:tab w:val="left" w:pos="946"/>
        </w:tabs>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28.3投诉人对采购相关监督管理部门的投诉处理决定不服或者采购相关监督管理部门逾期未作处理的，可以申请行政复议。</w:t>
      </w:r>
    </w:p>
    <w:p w14:paraId="6996877B">
      <w:pPr>
        <w:spacing w:line="312" w:lineRule="auto"/>
        <w:ind w:left="420"/>
        <w:rPr>
          <w:rFonts w:ascii="宋体" w:hAnsi="宋体" w:eastAsia="宋体" w:cs="宋体"/>
          <w:color w:val="auto"/>
          <w:sz w:val="24"/>
        </w:rPr>
      </w:pPr>
      <w:r>
        <w:rPr>
          <w:rFonts w:hint="eastAsia" w:ascii="宋体" w:hAnsi="宋体" w:eastAsia="宋体" w:cs="宋体"/>
          <w:color w:val="auto"/>
          <w:sz w:val="24"/>
        </w:rPr>
        <w:t>28.4投诉人有下列行为之一的，属于严重失信行为，由财政部门列入不良行为记录名</w:t>
      </w:r>
    </w:p>
    <w:p w14:paraId="767ACBB4">
      <w:pPr>
        <w:spacing w:line="312" w:lineRule="auto"/>
        <w:rPr>
          <w:rFonts w:hint="eastAsia" w:ascii="宋体" w:hAnsi="宋体" w:eastAsia="宋体" w:cs="宋体"/>
          <w:color w:val="auto"/>
          <w:sz w:val="24"/>
        </w:rPr>
      </w:pPr>
      <w:r>
        <w:rPr>
          <w:rFonts w:hint="eastAsia" w:ascii="宋体" w:hAnsi="宋体" w:eastAsia="宋体" w:cs="宋体"/>
          <w:color w:val="auto"/>
          <w:sz w:val="24"/>
        </w:rPr>
        <w:t>单，禁止其一至三年内参加政府采购活动。</w:t>
      </w:r>
    </w:p>
    <w:p w14:paraId="6BCA0CE7">
      <w:pPr>
        <w:spacing w:line="312" w:lineRule="auto"/>
        <w:ind w:left="420"/>
        <w:rPr>
          <w:rFonts w:hint="eastAsia" w:ascii="宋体" w:hAnsi="宋体" w:eastAsia="宋体" w:cs="宋体"/>
          <w:color w:val="auto"/>
          <w:sz w:val="24"/>
        </w:rPr>
      </w:pPr>
      <w:r>
        <w:rPr>
          <w:rFonts w:hint="eastAsia" w:ascii="宋体" w:hAnsi="宋体" w:eastAsia="宋体" w:cs="宋体"/>
          <w:color w:val="auto"/>
          <w:sz w:val="24"/>
        </w:rPr>
        <w:t>（1）投诉人在全国范围12个月内三次以上投诉查无实据的；</w:t>
      </w:r>
    </w:p>
    <w:p w14:paraId="07C471FD">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（2）采用捏造事实、提供虚假材料或者以非法手段取得证明材料等方式进行虚假、恶意投诉证件来源的合法性存在明显疑问，投诉人无法证明其取得方式合法的，视为以非法手段取得证明材料。</w:t>
      </w:r>
    </w:p>
    <w:p w14:paraId="304C285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29.诚实信用</w:t>
      </w:r>
    </w:p>
    <w:p w14:paraId="755446DF">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29.1供应商之间不得相互串通报价，不得妨碍其他供应商的公平竞争，不得损害采购人和其他供应商的合法权益。</w:t>
      </w:r>
    </w:p>
    <w:p w14:paraId="4DFFB008">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29.2供应商不得以向采购代理机构工作人员、评标委员会成员行贿或者采取其他不正当手段谋取中标。经查实供应商有此行为的，政府采购管理部门将供应商列入不良行为记录名单，按照《中华人民共和国政府采购法》有关规定处理。</w:t>
      </w:r>
    </w:p>
    <w:p w14:paraId="2D1418E4">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29.3供应商不得虚假质疑和恶意质疑，并对质疑内容的真实性承担责任。供应商或者其他利害关系人通过捏造事实、伪造证明材料等方式提出异议或投诉，阻碍招投标活动正常进行的，属于严重不良行为，采购代理机构将提请财政部门将其列入不良行为记录名单，并依法予以处罚。</w:t>
      </w:r>
    </w:p>
    <w:p w14:paraId="19106723">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29.4供应商不得虚假承诺，否则，按照提供虚假材料谋取中标处理。</w:t>
      </w:r>
    </w:p>
    <w:p w14:paraId="27ECCB2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29.5供应商应自觉遵守采购活动、评审纪律，扰乱评审现场秩序的，一经查实，采购人有权依据政府采购的有关规定，报请政府采购监管部门对该供应商进行相应的行政处罚和记录该供应商的失信信息。</w:t>
      </w:r>
    </w:p>
    <w:p w14:paraId="1C5B5547">
      <w:pPr>
        <w:spacing w:line="312" w:lineRule="auto"/>
        <w:rPr>
          <w:rFonts w:hint="eastAsia" w:ascii="宋体" w:hAnsi="宋体" w:eastAsia="宋体" w:cs="宋体"/>
          <w:b/>
          <w:color w:val="auto"/>
          <w:sz w:val="36"/>
          <w:szCs w:val="36"/>
        </w:rPr>
      </w:pPr>
      <w:r>
        <w:rPr>
          <w:rFonts w:hint="eastAsia" w:ascii="宋体" w:hAnsi="宋体" w:eastAsia="宋体" w:cs="宋体"/>
          <w:b/>
          <w:color w:val="auto"/>
          <w:sz w:val="36"/>
          <w:szCs w:val="36"/>
        </w:rPr>
        <w:br w:type="page" w:clear="all"/>
      </w:r>
    </w:p>
    <w:p w14:paraId="31A7CD65">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第三章 评标办法与标准</w:t>
      </w:r>
    </w:p>
    <w:p w14:paraId="0ACB8F2E">
      <w:pPr>
        <w:ind w:firstLine="480"/>
        <w:rPr>
          <w:rFonts w:hint="eastAsia" w:ascii="宋体" w:hAnsi="宋体" w:eastAsia="宋体" w:cs="宋体"/>
          <w:color w:val="auto"/>
          <w:sz w:val="24"/>
        </w:rPr>
      </w:pPr>
      <w:bookmarkStart w:id="5" w:name="_Hlk99749639"/>
      <w:r>
        <w:rPr>
          <w:rFonts w:hint="eastAsia" w:ascii="宋体" w:hAnsi="宋体" w:eastAsia="宋体" w:cs="宋体"/>
          <w:color w:val="auto"/>
          <w:sz w:val="24"/>
        </w:rPr>
        <w:t>本项目采用综合评分法，评分统计方法采用百分制（满分100分），将全部评委评分直接进行算术平均，小数点后保留2位。评审结果按评审后得分由高到低顺序排列，得分相同的，按投标报价由低到高顺序排列，得分且投标报价相同的，按技术评分得分自高到低顺序排列，由评标委员会确定中标候选人。</w:t>
      </w:r>
      <w:bookmarkEnd w:id="5"/>
    </w:p>
    <w:tbl>
      <w:tblPr>
        <w:tblStyle w:val="39"/>
        <w:tblW w:w="107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1701"/>
        <w:gridCol w:w="7833"/>
        <w:gridCol w:w="672"/>
      </w:tblGrid>
      <w:tr w14:paraId="5974B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blHeader/>
          <w:jc w:val="center"/>
        </w:trPr>
        <w:tc>
          <w:tcPr>
            <w:tcW w:w="562" w:type="dxa"/>
            <w:tcBorders>
              <w:top w:val="single" w:color="000000" w:sz="4" w:space="0"/>
              <w:left w:val="single" w:color="000000" w:sz="4" w:space="0"/>
              <w:bottom w:val="single" w:color="000000" w:sz="4" w:space="0"/>
              <w:right w:val="single" w:color="000000" w:sz="4" w:space="0"/>
            </w:tcBorders>
            <w:vAlign w:val="center"/>
          </w:tcPr>
          <w:p w14:paraId="59096220">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78C0E69B">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评分因素</w:t>
            </w:r>
          </w:p>
        </w:tc>
        <w:tc>
          <w:tcPr>
            <w:tcW w:w="7833" w:type="dxa"/>
            <w:tcBorders>
              <w:top w:val="single" w:color="000000" w:sz="4" w:space="0"/>
              <w:left w:val="single" w:color="000000" w:sz="4" w:space="0"/>
              <w:bottom w:val="single" w:color="000000" w:sz="4" w:space="0"/>
              <w:right w:val="single" w:color="000000" w:sz="4" w:space="0"/>
            </w:tcBorders>
            <w:vAlign w:val="center"/>
          </w:tcPr>
          <w:p w14:paraId="4054B1DA">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评分标准</w:t>
            </w:r>
          </w:p>
        </w:tc>
        <w:tc>
          <w:tcPr>
            <w:tcW w:w="672" w:type="dxa"/>
            <w:tcBorders>
              <w:top w:val="single" w:color="000000" w:sz="4" w:space="0"/>
              <w:left w:val="single" w:color="000000" w:sz="4" w:space="0"/>
              <w:bottom w:val="single" w:color="000000" w:sz="4" w:space="0"/>
              <w:right w:val="single" w:color="000000" w:sz="4" w:space="0"/>
            </w:tcBorders>
            <w:vAlign w:val="center"/>
          </w:tcPr>
          <w:p w14:paraId="625A0D60">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分值</w:t>
            </w:r>
          </w:p>
        </w:tc>
      </w:tr>
      <w:tr w14:paraId="41221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14:paraId="5B69A4C8">
            <w:pPr>
              <w:jc w:val="center"/>
              <w:rPr>
                <w:rFonts w:hint="eastAsia" w:ascii="宋体" w:hAnsi="宋体" w:eastAsia="宋体" w:cs="宋体"/>
                <w:color w:val="auto"/>
                <w:sz w:val="24"/>
                <w:lang w:val="zh-CN"/>
              </w:rPr>
            </w:pPr>
          </w:p>
          <w:p w14:paraId="5A74EDEF">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1</w:t>
            </w:r>
          </w:p>
        </w:tc>
        <w:tc>
          <w:tcPr>
            <w:tcW w:w="1701" w:type="dxa"/>
            <w:tcBorders>
              <w:top w:val="single" w:color="000000" w:sz="4" w:space="0"/>
              <w:left w:val="single" w:color="000000" w:sz="4" w:space="0"/>
              <w:bottom w:val="single" w:color="000000" w:sz="4" w:space="0"/>
              <w:right w:val="single" w:color="000000" w:sz="4" w:space="0"/>
            </w:tcBorders>
            <w:vAlign w:val="center"/>
          </w:tcPr>
          <w:p w14:paraId="1763B6EE">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报价</w:t>
            </w:r>
          </w:p>
          <w:p w14:paraId="01363C4D">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w:t>
            </w:r>
            <w:r>
              <w:rPr>
                <w:rFonts w:hint="eastAsia" w:ascii="宋体" w:hAnsi="宋体" w:eastAsia="宋体" w:cs="宋体"/>
                <w:color w:val="auto"/>
                <w:sz w:val="24"/>
              </w:rPr>
              <w:t>10</w:t>
            </w:r>
            <w:r>
              <w:rPr>
                <w:rFonts w:hint="eastAsia" w:ascii="宋体" w:hAnsi="宋体" w:eastAsia="宋体" w:cs="宋体"/>
                <w:color w:val="auto"/>
                <w:sz w:val="24"/>
                <w:lang w:val="zh-CN"/>
              </w:rPr>
              <w:t>分）</w:t>
            </w:r>
          </w:p>
        </w:tc>
        <w:tc>
          <w:tcPr>
            <w:tcW w:w="7833" w:type="dxa"/>
            <w:tcBorders>
              <w:top w:val="single" w:color="000000" w:sz="4" w:space="0"/>
              <w:left w:val="single" w:color="000000" w:sz="4" w:space="0"/>
              <w:bottom w:val="single" w:color="000000" w:sz="4" w:space="0"/>
              <w:right w:val="single" w:color="000000" w:sz="4" w:space="0"/>
            </w:tcBorders>
            <w:vAlign w:val="center"/>
          </w:tcPr>
          <w:p w14:paraId="5F86A7D2">
            <w:pPr>
              <w:rPr>
                <w:rFonts w:hint="eastAsia" w:ascii="宋体" w:hAnsi="宋体" w:eastAsia="宋体" w:cs="宋体"/>
                <w:color w:val="auto"/>
                <w:sz w:val="24"/>
                <w:lang w:val="zh-CN"/>
              </w:rPr>
            </w:pPr>
            <w:r>
              <w:rPr>
                <w:rFonts w:hint="eastAsia" w:ascii="宋体" w:hAnsi="宋体" w:eastAsia="宋体" w:cs="宋体"/>
                <w:color w:val="auto"/>
                <w:sz w:val="24"/>
                <w:lang w:val="zh-CN"/>
              </w:rPr>
              <w:t>1.1满足招标文件要求投标最低价为评标基准值，评标基准值为满分。各家供应商的价格分值按照下列公式计算：投标报价得分=（评标基准值/投标报价）×</w:t>
            </w:r>
            <w:r>
              <w:rPr>
                <w:rFonts w:hint="eastAsia" w:ascii="宋体" w:hAnsi="宋体" w:eastAsia="宋体" w:cs="宋体"/>
                <w:color w:val="auto"/>
                <w:sz w:val="24"/>
              </w:rPr>
              <w:t>10</w:t>
            </w:r>
            <w:r>
              <w:rPr>
                <w:rFonts w:hint="eastAsia" w:ascii="宋体" w:hAnsi="宋体" w:eastAsia="宋体" w:cs="宋体"/>
                <w:color w:val="auto"/>
                <w:sz w:val="24"/>
                <w:lang w:val="zh-CN"/>
              </w:rPr>
              <w:t xml:space="preserve">。（小数点后保留两位，第三位四舍五入） </w:t>
            </w:r>
          </w:p>
        </w:tc>
        <w:tc>
          <w:tcPr>
            <w:tcW w:w="672" w:type="dxa"/>
            <w:tcBorders>
              <w:top w:val="single" w:color="000000" w:sz="4" w:space="0"/>
              <w:left w:val="single" w:color="000000" w:sz="4" w:space="0"/>
              <w:bottom w:val="single" w:color="000000" w:sz="4" w:space="0"/>
              <w:right w:val="single" w:color="000000" w:sz="4" w:space="0"/>
            </w:tcBorders>
            <w:vAlign w:val="center"/>
          </w:tcPr>
          <w:p w14:paraId="57B9DEBA">
            <w:pPr>
              <w:jc w:val="center"/>
              <w:rPr>
                <w:rFonts w:hint="eastAsia" w:ascii="宋体" w:hAnsi="宋体" w:eastAsia="宋体" w:cs="宋体"/>
                <w:color w:val="auto"/>
                <w:sz w:val="24"/>
              </w:rPr>
            </w:pPr>
            <w:r>
              <w:rPr>
                <w:rFonts w:hint="eastAsia" w:ascii="宋体" w:hAnsi="宋体" w:eastAsia="宋体" w:cs="宋体"/>
                <w:color w:val="auto"/>
                <w:sz w:val="24"/>
              </w:rPr>
              <w:t>10</w:t>
            </w:r>
          </w:p>
        </w:tc>
      </w:tr>
      <w:tr w14:paraId="0A9E3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14:paraId="7F9D8CC1">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2</w:t>
            </w:r>
          </w:p>
        </w:tc>
        <w:tc>
          <w:tcPr>
            <w:tcW w:w="1701" w:type="dxa"/>
            <w:tcBorders>
              <w:top w:val="single" w:color="000000" w:sz="4" w:space="0"/>
              <w:left w:val="single" w:color="000000" w:sz="4" w:space="0"/>
              <w:bottom w:val="single" w:color="000000" w:sz="4" w:space="0"/>
              <w:right w:val="single" w:color="000000" w:sz="4" w:space="0"/>
            </w:tcBorders>
            <w:vAlign w:val="center"/>
          </w:tcPr>
          <w:p w14:paraId="4EF83205">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业绩</w:t>
            </w:r>
          </w:p>
          <w:p w14:paraId="5626F281">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w:t>
            </w:r>
            <w:r>
              <w:rPr>
                <w:rFonts w:hint="eastAsia" w:ascii="宋体" w:hAnsi="宋体" w:eastAsia="宋体" w:cs="宋体"/>
                <w:color w:val="auto"/>
                <w:sz w:val="24"/>
              </w:rPr>
              <w:t>9</w:t>
            </w:r>
            <w:r>
              <w:rPr>
                <w:rFonts w:hint="eastAsia" w:ascii="宋体" w:hAnsi="宋体" w:eastAsia="宋体" w:cs="宋体"/>
                <w:color w:val="auto"/>
                <w:sz w:val="24"/>
                <w:lang w:val="zh-CN"/>
              </w:rPr>
              <w:t>分）</w:t>
            </w:r>
          </w:p>
        </w:tc>
        <w:tc>
          <w:tcPr>
            <w:tcW w:w="7833" w:type="dxa"/>
            <w:tcBorders>
              <w:top w:val="single" w:color="000000" w:sz="4" w:space="0"/>
              <w:left w:val="single" w:color="000000" w:sz="4" w:space="0"/>
              <w:bottom w:val="single" w:color="000000" w:sz="4" w:space="0"/>
              <w:right w:val="single" w:color="000000" w:sz="4" w:space="0"/>
            </w:tcBorders>
            <w:vAlign w:val="center"/>
          </w:tcPr>
          <w:p w14:paraId="12B5C6BC">
            <w:pPr>
              <w:rPr>
                <w:rFonts w:ascii="宋体" w:hAnsi="宋体" w:eastAsia="宋体" w:cs="宋体"/>
                <w:color w:val="auto"/>
                <w:sz w:val="24"/>
                <w:lang w:val="zh-CN"/>
              </w:rPr>
            </w:pPr>
            <w:r>
              <w:rPr>
                <w:rFonts w:hint="eastAsia" w:ascii="宋体" w:hAnsi="宋体" w:eastAsia="宋体" w:cs="宋体"/>
                <w:color w:val="auto"/>
                <w:sz w:val="24"/>
                <w:lang w:val="zh-CN"/>
              </w:rPr>
              <w:t>2.1供应商业绩：提供自20</w:t>
            </w:r>
            <w:r>
              <w:rPr>
                <w:rFonts w:hint="eastAsia" w:ascii="宋体" w:hAnsi="宋体" w:eastAsia="宋体" w:cs="宋体"/>
                <w:color w:val="auto"/>
                <w:sz w:val="24"/>
              </w:rPr>
              <w:t>23</w:t>
            </w:r>
            <w:r>
              <w:rPr>
                <w:rFonts w:hint="eastAsia" w:ascii="宋体" w:hAnsi="宋体" w:eastAsia="宋体" w:cs="宋体"/>
                <w:color w:val="auto"/>
                <w:sz w:val="24"/>
                <w:lang w:val="zh-CN"/>
              </w:rPr>
              <w:t>年1月1日以来类似</w:t>
            </w:r>
            <w:r>
              <w:rPr>
                <w:rFonts w:hint="eastAsia" w:ascii="宋体" w:hAnsi="宋体" w:eastAsia="宋体" w:cs="宋体"/>
                <w:color w:val="auto"/>
                <w:sz w:val="24"/>
              </w:rPr>
              <w:t>服务</w:t>
            </w:r>
            <w:r>
              <w:rPr>
                <w:rFonts w:hint="eastAsia" w:ascii="宋体" w:hAnsi="宋体" w:eastAsia="宋体" w:cs="宋体"/>
                <w:color w:val="auto"/>
                <w:sz w:val="24"/>
                <w:lang w:val="zh-CN"/>
              </w:rPr>
              <w:t>业绩，每提供一个业绩得3分，最高得</w:t>
            </w:r>
            <w:r>
              <w:rPr>
                <w:rFonts w:hint="eastAsia" w:ascii="宋体" w:hAnsi="宋体" w:eastAsia="宋体" w:cs="宋体"/>
                <w:color w:val="auto"/>
                <w:sz w:val="24"/>
              </w:rPr>
              <w:t>9</w:t>
            </w:r>
            <w:r>
              <w:rPr>
                <w:rFonts w:hint="eastAsia" w:ascii="宋体" w:hAnsi="宋体" w:eastAsia="宋体" w:cs="宋体"/>
                <w:color w:val="auto"/>
                <w:sz w:val="24"/>
                <w:lang w:val="zh-CN"/>
              </w:rPr>
              <w:t>分。</w:t>
            </w:r>
          </w:p>
          <w:p w14:paraId="418FFEE8">
            <w:pPr>
              <w:rPr>
                <w:rFonts w:hint="eastAsia" w:ascii="宋体" w:hAnsi="宋体" w:eastAsia="宋体" w:cs="宋体"/>
                <w:color w:val="auto"/>
                <w:sz w:val="24"/>
                <w:lang w:val="zh-CN"/>
              </w:rPr>
            </w:pPr>
            <w:r>
              <w:rPr>
                <w:rFonts w:hint="eastAsia" w:ascii="宋体" w:hAnsi="宋体" w:eastAsia="宋体" w:cs="宋体"/>
                <w:color w:val="auto"/>
                <w:sz w:val="24"/>
                <w:lang w:val="zh-CN"/>
              </w:rPr>
              <w:t>注：提供合同、任意付款结算发票复印件加盖公章，时间以合同签订日期为准，提供的合同等证明材料无法反映相关数据和内容的或未提供的不得分）</w:t>
            </w:r>
          </w:p>
        </w:tc>
        <w:tc>
          <w:tcPr>
            <w:tcW w:w="672" w:type="dxa"/>
            <w:tcBorders>
              <w:top w:val="single" w:color="000000" w:sz="4" w:space="0"/>
              <w:left w:val="single" w:color="000000" w:sz="4" w:space="0"/>
              <w:bottom w:val="single" w:color="000000" w:sz="4" w:space="0"/>
              <w:right w:val="single" w:color="000000" w:sz="4" w:space="0"/>
            </w:tcBorders>
            <w:vAlign w:val="center"/>
          </w:tcPr>
          <w:p w14:paraId="3880A1BE">
            <w:pPr>
              <w:jc w:val="center"/>
              <w:rPr>
                <w:rFonts w:hint="eastAsia" w:ascii="宋体" w:hAnsi="宋体" w:eastAsia="宋体" w:cs="宋体"/>
                <w:color w:val="auto"/>
                <w:sz w:val="24"/>
              </w:rPr>
            </w:pPr>
            <w:r>
              <w:rPr>
                <w:rFonts w:hint="eastAsia" w:ascii="宋体" w:hAnsi="宋体" w:eastAsia="宋体" w:cs="宋体"/>
                <w:color w:val="auto"/>
                <w:sz w:val="24"/>
              </w:rPr>
              <w:t>9</w:t>
            </w:r>
          </w:p>
        </w:tc>
      </w:tr>
      <w:tr w14:paraId="23ECE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jc w:val="center"/>
        </w:trPr>
        <w:tc>
          <w:tcPr>
            <w:tcW w:w="562" w:type="dxa"/>
            <w:vMerge w:val="restart"/>
            <w:tcBorders>
              <w:top w:val="single" w:color="000000" w:sz="4" w:space="0"/>
              <w:left w:val="single" w:color="000000" w:sz="4" w:space="0"/>
              <w:right w:val="single" w:color="000000" w:sz="4" w:space="0"/>
            </w:tcBorders>
            <w:vAlign w:val="center"/>
          </w:tcPr>
          <w:p w14:paraId="71A88334">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3</w:t>
            </w:r>
          </w:p>
        </w:tc>
        <w:tc>
          <w:tcPr>
            <w:tcW w:w="1701" w:type="dxa"/>
            <w:vMerge w:val="restart"/>
            <w:tcBorders>
              <w:left w:val="single" w:color="000000" w:sz="4" w:space="0"/>
              <w:right w:val="single" w:color="000000" w:sz="4" w:space="0"/>
            </w:tcBorders>
            <w:vAlign w:val="center"/>
          </w:tcPr>
          <w:p w14:paraId="73EAF4A9">
            <w:pPr>
              <w:jc w:val="center"/>
              <w:rPr>
                <w:rFonts w:hint="eastAsia" w:ascii="宋体" w:hAnsi="宋体" w:eastAsia="宋体" w:cs="宋体"/>
                <w:color w:val="auto"/>
                <w:sz w:val="24"/>
              </w:rPr>
            </w:pPr>
            <w:r>
              <w:rPr>
                <w:rFonts w:hint="eastAsia" w:ascii="宋体" w:hAnsi="宋体" w:eastAsia="宋体" w:cs="宋体"/>
                <w:color w:val="auto"/>
                <w:sz w:val="24"/>
              </w:rPr>
              <w:t>履约能力</w:t>
            </w:r>
          </w:p>
          <w:p w14:paraId="0765FE80">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w:t>
            </w:r>
            <w:r>
              <w:rPr>
                <w:rFonts w:hint="eastAsia" w:ascii="宋体" w:hAnsi="宋体" w:eastAsia="宋体" w:cs="宋体"/>
                <w:color w:val="auto"/>
                <w:sz w:val="24"/>
              </w:rPr>
              <w:t>26</w:t>
            </w:r>
            <w:r>
              <w:rPr>
                <w:rFonts w:hint="eastAsia" w:ascii="宋体" w:hAnsi="宋体" w:eastAsia="宋体" w:cs="宋体"/>
                <w:color w:val="auto"/>
                <w:sz w:val="24"/>
                <w:lang w:val="zh-CN"/>
              </w:rPr>
              <w:t>分）</w:t>
            </w:r>
          </w:p>
        </w:tc>
        <w:tc>
          <w:tcPr>
            <w:tcW w:w="7833" w:type="dxa"/>
            <w:tcBorders>
              <w:top w:val="single" w:color="000000" w:sz="4" w:space="0"/>
              <w:left w:val="single" w:color="000000" w:sz="4" w:space="0"/>
              <w:bottom w:val="single" w:color="000000" w:sz="4" w:space="0"/>
              <w:right w:val="single" w:color="000000" w:sz="4" w:space="0"/>
            </w:tcBorders>
            <w:vAlign w:val="center"/>
          </w:tcPr>
          <w:p w14:paraId="5B5B5E20">
            <w:pPr>
              <w:pBdr>
                <w:top w:val="none" w:color="000000" w:sz="0" w:space="0"/>
                <w:left w:val="none" w:color="000000" w:sz="0" w:space="0"/>
                <w:bottom w:val="none" w:color="000000" w:sz="0" w:space="0"/>
                <w:right w:val="none" w:color="000000" w:sz="0" w:space="0"/>
              </w:pBdr>
              <w:rPr>
                <w:rFonts w:ascii="宋体" w:hAnsi="宋体" w:eastAsia="宋体"/>
                <w:color w:val="auto"/>
                <w:sz w:val="24"/>
              </w:rPr>
            </w:pPr>
            <w:r>
              <w:rPr>
                <w:rFonts w:hint="eastAsia" w:ascii="宋体" w:hAnsi="宋体" w:eastAsia="宋体"/>
                <w:color w:val="auto"/>
                <w:sz w:val="24"/>
              </w:rPr>
              <w:t>3.1</w:t>
            </w:r>
            <w:r>
              <w:rPr>
                <w:rFonts w:ascii="宋体" w:hAnsi="宋体" w:eastAsia="宋体" w:cs="宋体"/>
                <w:color w:val="auto"/>
                <w:sz w:val="24"/>
              </w:rPr>
              <w:t>服务人员：</w:t>
            </w:r>
            <w:r>
              <w:rPr>
                <w:rFonts w:hint="eastAsia" w:ascii="宋体" w:hAnsi="宋体" w:eastAsia="宋体"/>
                <w:color w:val="auto"/>
                <w:sz w:val="24"/>
              </w:rPr>
              <w:t>拟投入本项目的服务人员不得少于6人，满足基本要求得6分，每增加1人加1分，最高得8分。</w:t>
            </w:r>
          </w:p>
          <w:p w14:paraId="12051F4B">
            <w:pPr>
              <w:widowControl/>
              <w:spacing w:line="276" w:lineRule="auto"/>
              <w:jc w:val="left"/>
              <w:rPr>
                <w:rFonts w:hint="eastAsia" w:ascii="宋体" w:hAnsi="宋体" w:eastAsia="宋体"/>
                <w:color w:val="auto"/>
                <w:sz w:val="24"/>
                <w:lang w:val="zh-CN"/>
              </w:rPr>
            </w:pPr>
            <w:r>
              <w:rPr>
                <w:rFonts w:hint="eastAsia" w:ascii="宋体" w:hAnsi="宋体" w:eastAsia="宋体"/>
                <w:color w:val="auto"/>
                <w:sz w:val="24"/>
              </w:rPr>
              <w:t>注：提供项目人员一览表及项目成员身份证复印件加盖公章。</w:t>
            </w:r>
          </w:p>
        </w:tc>
        <w:tc>
          <w:tcPr>
            <w:tcW w:w="672" w:type="dxa"/>
            <w:tcBorders>
              <w:top w:val="single" w:color="000000" w:sz="4" w:space="0"/>
              <w:left w:val="single" w:color="000000" w:sz="4" w:space="0"/>
              <w:bottom w:val="single" w:color="000000" w:sz="4" w:space="0"/>
              <w:right w:val="single" w:color="000000" w:sz="4" w:space="0"/>
            </w:tcBorders>
            <w:vAlign w:val="center"/>
          </w:tcPr>
          <w:p w14:paraId="76FAB6D8">
            <w:pPr>
              <w:jc w:val="center"/>
              <w:rPr>
                <w:rFonts w:hint="eastAsia" w:ascii="宋体" w:hAnsi="宋体" w:eastAsia="宋体" w:cs="宋体"/>
                <w:color w:val="auto"/>
                <w:sz w:val="24"/>
              </w:rPr>
            </w:pPr>
            <w:r>
              <w:rPr>
                <w:rFonts w:hint="eastAsia" w:ascii="宋体" w:hAnsi="宋体" w:eastAsia="宋体" w:cs="宋体"/>
                <w:color w:val="auto"/>
                <w:sz w:val="24"/>
              </w:rPr>
              <w:t>8</w:t>
            </w:r>
          </w:p>
        </w:tc>
      </w:tr>
      <w:tr w14:paraId="5D97D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1" w:hRule="atLeast"/>
          <w:jc w:val="center"/>
        </w:trPr>
        <w:tc>
          <w:tcPr>
            <w:tcW w:w="562" w:type="dxa"/>
            <w:vMerge w:val="continue"/>
            <w:tcBorders>
              <w:left w:val="single" w:color="000000" w:sz="4" w:space="0"/>
              <w:right w:val="single" w:color="000000" w:sz="4" w:space="0"/>
            </w:tcBorders>
            <w:vAlign w:val="center"/>
          </w:tcPr>
          <w:p w14:paraId="41C25382">
            <w:pPr>
              <w:jc w:val="center"/>
              <w:rPr>
                <w:rFonts w:hint="eastAsia" w:ascii="宋体" w:hAnsi="宋体" w:eastAsia="宋体" w:cs="宋体"/>
                <w:color w:val="auto"/>
                <w:sz w:val="24"/>
                <w:lang w:val="zh-CN"/>
              </w:rPr>
            </w:pPr>
          </w:p>
        </w:tc>
        <w:tc>
          <w:tcPr>
            <w:tcW w:w="1701" w:type="dxa"/>
            <w:vMerge w:val="continue"/>
            <w:tcBorders>
              <w:left w:val="single" w:color="000000" w:sz="4" w:space="0"/>
              <w:right w:val="single" w:color="000000" w:sz="4" w:space="0"/>
            </w:tcBorders>
            <w:vAlign w:val="center"/>
          </w:tcPr>
          <w:p w14:paraId="17EE79C5">
            <w:pPr>
              <w:jc w:val="center"/>
              <w:rPr>
                <w:rFonts w:hint="eastAsia" w:ascii="宋体" w:hAnsi="宋体" w:eastAsia="宋体" w:cs="宋体"/>
                <w:color w:val="auto"/>
                <w:sz w:val="24"/>
                <w:lang w:val="zh-CN"/>
              </w:rPr>
            </w:pPr>
          </w:p>
        </w:tc>
        <w:tc>
          <w:tcPr>
            <w:tcW w:w="7833" w:type="dxa"/>
            <w:tcBorders>
              <w:top w:val="single" w:color="000000" w:sz="4" w:space="0"/>
              <w:left w:val="single" w:color="000000" w:sz="4" w:space="0"/>
              <w:bottom w:val="single" w:color="000000" w:sz="4" w:space="0"/>
              <w:right w:val="single" w:color="000000" w:sz="4" w:space="0"/>
            </w:tcBorders>
            <w:vAlign w:val="center"/>
          </w:tcPr>
          <w:p w14:paraId="394D8B05">
            <w:pPr>
              <w:pBdr>
                <w:top w:val="none" w:color="000000" w:sz="0" w:space="0"/>
                <w:left w:val="none" w:color="000000" w:sz="0" w:space="0"/>
                <w:bottom w:val="none" w:color="000000" w:sz="0" w:space="0"/>
                <w:right w:val="none" w:color="000000" w:sz="0" w:space="0"/>
              </w:pBdr>
              <w:rPr>
                <w:rFonts w:ascii="宋体" w:hAnsi="宋体" w:eastAsia="宋体"/>
                <w:color w:val="auto"/>
                <w:sz w:val="24"/>
              </w:rPr>
            </w:pPr>
            <w:r>
              <w:rPr>
                <w:rFonts w:hint="eastAsia" w:ascii="宋体" w:hAnsi="宋体" w:eastAsia="宋体"/>
                <w:color w:val="auto"/>
                <w:sz w:val="24"/>
              </w:rPr>
              <w:t>3.2</w:t>
            </w:r>
            <w:r>
              <w:rPr>
                <w:rFonts w:ascii="宋体" w:hAnsi="宋体" w:eastAsia="宋体" w:cs="宋体"/>
                <w:color w:val="auto"/>
                <w:sz w:val="24"/>
              </w:rPr>
              <w:t>运输车辆：</w:t>
            </w:r>
            <w:r>
              <w:rPr>
                <w:rFonts w:hint="eastAsia" w:ascii="宋体" w:hAnsi="宋体" w:eastAsia="宋体"/>
                <w:color w:val="auto"/>
                <w:sz w:val="24"/>
                <w:lang w:val="zh-CN"/>
              </w:rPr>
              <w:t>供应商拟投入用于回收运输的货车，</w:t>
            </w:r>
            <w:r>
              <w:rPr>
                <w:rFonts w:hint="eastAsia" w:ascii="宋体" w:hAnsi="宋体" w:eastAsia="宋体"/>
                <w:color w:val="auto"/>
                <w:sz w:val="24"/>
                <w:lang w:val="en-US" w:eastAsia="zh-CN"/>
              </w:rPr>
              <w:t>每</w:t>
            </w:r>
            <w:r>
              <w:rPr>
                <w:rFonts w:hint="eastAsia" w:ascii="宋体" w:hAnsi="宋体" w:eastAsia="宋体"/>
                <w:color w:val="auto"/>
                <w:sz w:val="24"/>
                <w:lang w:val="zh-CN"/>
              </w:rPr>
              <w:t>提供1辆得</w:t>
            </w:r>
            <w:r>
              <w:rPr>
                <w:rFonts w:hint="eastAsia" w:ascii="宋体" w:hAnsi="宋体" w:eastAsia="宋体"/>
                <w:color w:val="auto"/>
                <w:sz w:val="24"/>
              </w:rPr>
              <w:t>4</w:t>
            </w:r>
            <w:r>
              <w:rPr>
                <w:rFonts w:hint="eastAsia" w:ascii="宋体" w:hAnsi="宋体" w:eastAsia="宋体"/>
                <w:color w:val="auto"/>
                <w:sz w:val="24"/>
                <w:lang w:val="zh-CN"/>
              </w:rPr>
              <w:t>分，最高得</w:t>
            </w:r>
            <w:r>
              <w:rPr>
                <w:rFonts w:hint="eastAsia" w:ascii="宋体" w:hAnsi="宋体" w:eastAsia="宋体"/>
                <w:color w:val="auto"/>
                <w:sz w:val="24"/>
              </w:rPr>
              <w:t>8</w:t>
            </w:r>
            <w:r>
              <w:rPr>
                <w:rFonts w:hint="eastAsia" w:ascii="宋体" w:hAnsi="宋体" w:eastAsia="宋体"/>
                <w:color w:val="auto"/>
                <w:sz w:val="24"/>
                <w:lang w:val="zh-CN"/>
              </w:rPr>
              <w:t>分。</w:t>
            </w:r>
          </w:p>
          <w:p w14:paraId="23B53AA8">
            <w:pPr>
              <w:widowControl/>
              <w:spacing w:line="276" w:lineRule="auto"/>
              <w:jc w:val="left"/>
              <w:rPr>
                <w:rFonts w:hint="eastAsia" w:ascii="宋体" w:hAnsi="宋体" w:eastAsia="宋体"/>
                <w:color w:val="auto"/>
                <w:sz w:val="24"/>
                <w:lang w:val="zh-CN"/>
              </w:rPr>
            </w:pPr>
            <w:r>
              <w:rPr>
                <w:rFonts w:hint="eastAsia" w:ascii="宋体" w:hAnsi="宋体" w:eastAsia="宋体"/>
                <w:color w:val="auto"/>
                <w:sz w:val="24"/>
                <w:lang w:val="zh-CN"/>
              </w:rPr>
              <w:t>注：自有车辆的提供购买发票及行驶证复印件加盖公章，行驶证单位名称与供应商单位名称一致；租赁车辆的提供租赁合同（租赁期限应覆盖本项目服务期）、购买发票及行驶证复印件加盖公章。未提供或提供不符合要求的不得分。</w:t>
            </w:r>
          </w:p>
        </w:tc>
        <w:tc>
          <w:tcPr>
            <w:tcW w:w="672" w:type="dxa"/>
            <w:tcBorders>
              <w:top w:val="single" w:color="000000" w:sz="4" w:space="0"/>
              <w:left w:val="single" w:color="000000" w:sz="4" w:space="0"/>
              <w:bottom w:val="single" w:color="000000" w:sz="4" w:space="0"/>
              <w:right w:val="single" w:color="000000" w:sz="4" w:space="0"/>
            </w:tcBorders>
            <w:vAlign w:val="center"/>
          </w:tcPr>
          <w:p w14:paraId="0EFE67E9">
            <w:pPr>
              <w:jc w:val="center"/>
              <w:rPr>
                <w:rFonts w:hint="eastAsia" w:ascii="宋体" w:hAnsi="宋体" w:eastAsia="宋体" w:cs="宋体"/>
                <w:color w:val="auto"/>
                <w:sz w:val="24"/>
              </w:rPr>
            </w:pPr>
            <w:r>
              <w:rPr>
                <w:rFonts w:hint="eastAsia" w:ascii="宋体" w:hAnsi="宋体" w:eastAsia="宋体" w:cs="宋体"/>
                <w:color w:val="auto"/>
                <w:sz w:val="24"/>
              </w:rPr>
              <w:t>8</w:t>
            </w:r>
          </w:p>
        </w:tc>
      </w:tr>
      <w:tr w14:paraId="6FD1B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6" w:hRule="atLeast"/>
          <w:jc w:val="center"/>
        </w:trPr>
        <w:tc>
          <w:tcPr>
            <w:tcW w:w="562" w:type="dxa"/>
            <w:vMerge w:val="continue"/>
            <w:tcBorders>
              <w:left w:val="single" w:color="000000" w:sz="4" w:space="0"/>
              <w:right w:val="single" w:color="000000" w:sz="4" w:space="0"/>
            </w:tcBorders>
            <w:vAlign w:val="center"/>
          </w:tcPr>
          <w:p w14:paraId="3D84EDA7">
            <w:pPr>
              <w:jc w:val="center"/>
              <w:rPr>
                <w:rFonts w:hint="eastAsia" w:ascii="宋体" w:hAnsi="宋体" w:eastAsia="宋体" w:cs="宋体"/>
                <w:color w:val="auto"/>
                <w:sz w:val="24"/>
                <w:lang w:val="zh-CN"/>
              </w:rPr>
            </w:pPr>
          </w:p>
        </w:tc>
        <w:tc>
          <w:tcPr>
            <w:tcW w:w="1701" w:type="dxa"/>
            <w:vMerge w:val="continue"/>
            <w:tcBorders>
              <w:left w:val="single" w:color="000000" w:sz="4" w:space="0"/>
              <w:right w:val="single" w:color="000000" w:sz="4" w:space="0"/>
            </w:tcBorders>
            <w:vAlign w:val="center"/>
          </w:tcPr>
          <w:p w14:paraId="56ADB3BC">
            <w:pPr>
              <w:jc w:val="center"/>
              <w:rPr>
                <w:rFonts w:hint="eastAsia" w:ascii="宋体" w:hAnsi="宋体" w:eastAsia="宋体" w:cs="宋体"/>
                <w:color w:val="auto"/>
                <w:sz w:val="24"/>
                <w:lang w:val="zh-CN"/>
              </w:rPr>
            </w:pPr>
          </w:p>
        </w:tc>
        <w:tc>
          <w:tcPr>
            <w:tcW w:w="7833" w:type="dxa"/>
            <w:tcBorders>
              <w:top w:val="single" w:color="000000" w:sz="4" w:space="0"/>
              <w:left w:val="single" w:color="000000" w:sz="4" w:space="0"/>
              <w:bottom w:val="single" w:color="000000" w:sz="4" w:space="0"/>
              <w:right w:val="single" w:color="000000" w:sz="4" w:space="0"/>
            </w:tcBorders>
            <w:vAlign w:val="center"/>
          </w:tcPr>
          <w:p w14:paraId="2FE67433">
            <w:pPr>
              <w:pBdr>
                <w:top w:val="none" w:color="000000" w:sz="0" w:space="0"/>
                <w:left w:val="none" w:color="000000" w:sz="0" w:space="0"/>
                <w:bottom w:val="none" w:color="000000" w:sz="0" w:space="0"/>
                <w:right w:val="none" w:color="000000" w:sz="0" w:space="0"/>
              </w:pBdr>
              <w:spacing w:line="65" w:lineRule="atLeast"/>
              <w:rPr>
                <w:rFonts w:ascii="宋体" w:hAnsi="宋体" w:eastAsia="宋体" w:cs="宋体"/>
                <w:color w:val="auto"/>
                <w:sz w:val="24"/>
              </w:rPr>
            </w:pPr>
            <w:r>
              <w:rPr>
                <w:rFonts w:hint="eastAsia" w:ascii="宋体" w:hAnsi="宋体" w:eastAsia="宋体"/>
                <w:color w:val="auto"/>
                <w:sz w:val="24"/>
              </w:rPr>
              <w:t>3.3</w:t>
            </w:r>
            <w:r>
              <w:rPr>
                <w:rFonts w:ascii="宋体" w:hAnsi="宋体" w:eastAsia="宋体" w:cs="宋体"/>
                <w:color w:val="auto"/>
                <w:sz w:val="24"/>
              </w:rPr>
              <w:t>废弃物处置：①供应商与农药包装物处置资质的公司有处置协议的得5分</w:t>
            </w:r>
            <w:r>
              <w:rPr>
                <w:rFonts w:hint="eastAsia" w:ascii="宋体" w:hAnsi="宋体" w:eastAsia="宋体" w:cs="宋体"/>
                <w:color w:val="auto"/>
                <w:sz w:val="24"/>
              </w:rPr>
              <w:t>；</w:t>
            </w:r>
            <w:r>
              <w:rPr>
                <w:rFonts w:ascii="宋体" w:hAnsi="宋体" w:eastAsia="宋体" w:cs="宋体"/>
                <w:color w:val="auto"/>
                <w:sz w:val="24"/>
              </w:rPr>
              <w:t>②供应商与废旧回收公司签订有废旧农膜回收协议的得5分。</w:t>
            </w:r>
          </w:p>
          <w:p w14:paraId="22414D47">
            <w:pPr>
              <w:pBdr>
                <w:top w:val="none" w:color="000000" w:sz="0" w:space="0"/>
                <w:left w:val="none" w:color="000000" w:sz="0" w:space="0"/>
                <w:bottom w:val="none" w:color="000000" w:sz="0" w:space="0"/>
                <w:right w:val="none" w:color="000000" w:sz="0" w:space="0"/>
              </w:pBdr>
              <w:spacing w:line="65" w:lineRule="atLeast"/>
              <w:rPr>
                <w:rFonts w:hint="eastAsia" w:ascii="宋体" w:hAnsi="宋体" w:eastAsia="宋体"/>
                <w:color w:val="auto"/>
                <w:sz w:val="24"/>
              </w:rPr>
            </w:pPr>
            <w:r>
              <w:rPr>
                <w:rFonts w:hint="eastAsia" w:ascii="宋体" w:hAnsi="宋体" w:eastAsia="宋体" w:cs="宋体"/>
                <w:color w:val="auto"/>
                <w:sz w:val="24"/>
              </w:rPr>
              <w:t>注：</w:t>
            </w:r>
            <w:r>
              <w:rPr>
                <w:rFonts w:ascii="宋体" w:hAnsi="宋体" w:eastAsia="宋体" w:cs="宋体"/>
                <w:color w:val="auto"/>
                <w:sz w:val="24"/>
              </w:rPr>
              <w:t>提供相关协议</w:t>
            </w:r>
            <w:r>
              <w:rPr>
                <w:rFonts w:hint="eastAsia" w:ascii="宋体" w:hAnsi="宋体" w:eastAsia="宋体" w:cs="宋体"/>
                <w:color w:val="auto"/>
                <w:sz w:val="24"/>
              </w:rPr>
              <w:t>复印件加盖公章，协议</w:t>
            </w:r>
            <w:r>
              <w:rPr>
                <w:rFonts w:hint="eastAsia" w:ascii="宋体" w:hAnsi="宋体" w:eastAsia="宋体"/>
                <w:color w:val="auto"/>
                <w:sz w:val="24"/>
                <w:lang w:val="zh-CN"/>
              </w:rPr>
              <w:t>应覆盖本项目服务期，未提供或提供不符合要求的不得分</w:t>
            </w:r>
            <w:r>
              <w:rPr>
                <w:rFonts w:hint="eastAsia" w:ascii="宋体" w:hAnsi="宋体" w:eastAsia="宋体" w:cs="宋体"/>
                <w:color w:val="auto"/>
                <w:sz w:val="24"/>
              </w:rPr>
              <w:t>。</w:t>
            </w:r>
          </w:p>
        </w:tc>
        <w:tc>
          <w:tcPr>
            <w:tcW w:w="672" w:type="dxa"/>
            <w:tcBorders>
              <w:top w:val="single" w:color="000000" w:sz="4" w:space="0"/>
              <w:left w:val="single" w:color="000000" w:sz="4" w:space="0"/>
              <w:bottom w:val="single" w:color="000000" w:sz="4" w:space="0"/>
              <w:right w:val="single" w:color="000000" w:sz="4" w:space="0"/>
            </w:tcBorders>
            <w:vAlign w:val="center"/>
          </w:tcPr>
          <w:p w14:paraId="5D990C74">
            <w:pPr>
              <w:jc w:val="center"/>
              <w:rPr>
                <w:rFonts w:hint="eastAsia" w:ascii="宋体" w:hAnsi="宋体" w:eastAsia="宋体" w:cs="宋体"/>
                <w:color w:val="auto"/>
                <w:sz w:val="24"/>
              </w:rPr>
            </w:pPr>
            <w:r>
              <w:rPr>
                <w:rFonts w:hint="eastAsia" w:ascii="宋体" w:hAnsi="宋体" w:eastAsia="宋体" w:cs="宋体"/>
                <w:color w:val="auto"/>
                <w:sz w:val="24"/>
              </w:rPr>
              <w:t>10</w:t>
            </w:r>
          </w:p>
        </w:tc>
      </w:tr>
      <w:tr w14:paraId="1E9B4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2" w:hRule="atLeast"/>
          <w:jc w:val="center"/>
        </w:trPr>
        <w:tc>
          <w:tcPr>
            <w:tcW w:w="562" w:type="dxa"/>
            <w:tcBorders>
              <w:left w:val="single" w:color="000000" w:sz="4" w:space="0"/>
              <w:right w:val="single" w:color="000000" w:sz="4" w:space="0"/>
            </w:tcBorders>
            <w:vAlign w:val="center"/>
          </w:tcPr>
          <w:p w14:paraId="035CF1D2">
            <w:pPr>
              <w:jc w:val="center"/>
              <w:rPr>
                <w:rFonts w:hint="eastAsia" w:ascii="宋体" w:hAnsi="宋体" w:eastAsia="宋体" w:cs="宋体"/>
                <w:color w:val="auto"/>
                <w:sz w:val="24"/>
              </w:rPr>
            </w:pPr>
            <w:r>
              <w:rPr>
                <w:rFonts w:hint="eastAsia" w:ascii="宋体" w:hAnsi="宋体" w:eastAsia="宋体" w:cs="宋体"/>
                <w:color w:val="auto"/>
                <w:sz w:val="24"/>
              </w:rPr>
              <w:t>4</w:t>
            </w:r>
          </w:p>
        </w:tc>
        <w:tc>
          <w:tcPr>
            <w:tcW w:w="1701" w:type="dxa"/>
            <w:tcBorders>
              <w:left w:val="single" w:color="000000" w:sz="4" w:space="0"/>
              <w:right w:val="single" w:color="000000" w:sz="4" w:space="0"/>
            </w:tcBorders>
            <w:vAlign w:val="center"/>
          </w:tcPr>
          <w:p w14:paraId="2C00DBF5">
            <w:pPr>
              <w:jc w:val="center"/>
              <w:rPr>
                <w:rFonts w:hint="eastAsia" w:ascii="宋体" w:hAnsi="宋体" w:eastAsia="宋体" w:cs="仿宋"/>
                <w:color w:val="auto"/>
                <w:sz w:val="24"/>
              </w:rPr>
            </w:pPr>
            <w:r>
              <w:rPr>
                <w:rFonts w:hint="eastAsia" w:ascii="宋体" w:hAnsi="宋体" w:eastAsia="宋体" w:cs="仿宋"/>
                <w:color w:val="auto"/>
                <w:sz w:val="24"/>
              </w:rPr>
              <w:t>实施方案</w:t>
            </w:r>
          </w:p>
          <w:p w14:paraId="57AAAA58">
            <w:pPr>
              <w:jc w:val="center"/>
              <w:rPr>
                <w:rFonts w:hint="eastAsia" w:ascii="宋体" w:hAnsi="宋体" w:eastAsia="宋体" w:cs="仿宋"/>
                <w:color w:val="auto"/>
                <w:sz w:val="24"/>
              </w:rPr>
            </w:pPr>
            <w:r>
              <w:rPr>
                <w:rFonts w:hint="eastAsia" w:ascii="宋体" w:hAnsi="宋体" w:eastAsia="宋体" w:cs="仿宋"/>
                <w:color w:val="auto"/>
                <w:sz w:val="24"/>
              </w:rPr>
              <w:t>（12分）</w:t>
            </w:r>
          </w:p>
        </w:tc>
        <w:tc>
          <w:tcPr>
            <w:tcW w:w="7833" w:type="dxa"/>
            <w:tcBorders>
              <w:top w:val="single" w:color="auto" w:sz="4" w:space="0"/>
              <w:left w:val="single" w:color="auto" w:sz="4" w:space="0"/>
              <w:bottom w:val="single" w:color="auto" w:sz="4" w:space="0"/>
              <w:right w:val="single" w:color="auto" w:sz="4" w:space="0"/>
            </w:tcBorders>
          </w:tcPr>
          <w:p w14:paraId="2C34ACEC">
            <w:pPr>
              <w:widowControl/>
              <w:spacing w:line="276" w:lineRule="auto"/>
              <w:jc w:val="left"/>
              <w:rPr>
                <w:rFonts w:hint="eastAsia" w:ascii="宋体" w:hAnsi="宋体" w:eastAsia="宋体" w:cs="仿宋"/>
                <w:color w:val="auto"/>
                <w:sz w:val="24"/>
              </w:rPr>
            </w:pPr>
            <w:r>
              <w:rPr>
                <w:rFonts w:hint="eastAsia" w:ascii="宋体" w:hAnsi="宋体" w:eastAsia="宋体"/>
                <w:color w:val="auto"/>
                <w:sz w:val="24"/>
              </w:rPr>
              <w:t>4.1根据供应商整体工作实施方案进行综合评分：整体工作安排全面合理，项目组人员分工明确，关键线路明晰，节点划分搭接合理，有详细可行的保证措施的得</w:t>
            </w:r>
            <w:r>
              <w:rPr>
                <w:rFonts w:ascii="宋体" w:hAnsi="宋体" w:eastAsia="宋体"/>
                <w:color w:val="auto"/>
                <w:sz w:val="24"/>
              </w:rPr>
              <w:t>1</w:t>
            </w:r>
            <w:r>
              <w:rPr>
                <w:rFonts w:hint="eastAsia" w:ascii="宋体" w:hAnsi="宋体" w:eastAsia="宋体"/>
                <w:color w:val="auto"/>
                <w:sz w:val="24"/>
              </w:rPr>
              <w:t>2分；整体工作安排较合理，项目组人员分工较明确，关键线路较明晰，节点划分搭接较合理的得9分；整体工作安排基本合理，项目组人员分工基本明确，关键线路基本明晰，有基本可行的保证措施的得6分；整体实施方案满足基本要求，方案结构基本完整的得4分；未提供的不得分。</w:t>
            </w:r>
          </w:p>
        </w:tc>
        <w:tc>
          <w:tcPr>
            <w:tcW w:w="672" w:type="dxa"/>
            <w:tcBorders>
              <w:top w:val="single" w:color="auto" w:sz="4" w:space="0"/>
              <w:left w:val="nil"/>
              <w:bottom w:val="single" w:color="auto" w:sz="4" w:space="0"/>
              <w:right w:val="single" w:color="auto" w:sz="4" w:space="0"/>
            </w:tcBorders>
            <w:vAlign w:val="center"/>
          </w:tcPr>
          <w:p w14:paraId="7FF40254">
            <w:pPr>
              <w:jc w:val="center"/>
              <w:rPr>
                <w:rFonts w:hint="eastAsia" w:ascii="宋体" w:hAnsi="宋体" w:eastAsia="宋体" w:cs="宋体"/>
                <w:color w:val="auto"/>
                <w:sz w:val="24"/>
              </w:rPr>
            </w:pPr>
            <w:r>
              <w:rPr>
                <w:rFonts w:hint="eastAsia" w:ascii="宋体" w:hAnsi="宋体" w:eastAsia="宋体" w:cs="宋体"/>
                <w:color w:val="auto"/>
                <w:sz w:val="24"/>
              </w:rPr>
              <w:t>12</w:t>
            </w:r>
          </w:p>
        </w:tc>
      </w:tr>
      <w:tr w14:paraId="5D7F7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1" w:hRule="atLeast"/>
          <w:jc w:val="center"/>
        </w:trPr>
        <w:tc>
          <w:tcPr>
            <w:tcW w:w="562" w:type="dxa"/>
            <w:tcBorders>
              <w:left w:val="single" w:color="000000" w:sz="4" w:space="0"/>
              <w:right w:val="single" w:color="000000" w:sz="4" w:space="0"/>
            </w:tcBorders>
            <w:vAlign w:val="center"/>
          </w:tcPr>
          <w:p w14:paraId="4E77C920">
            <w:pPr>
              <w:jc w:val="center"/>
              <w:rPr>
                <w:rFonts w:hint="eastAsia" w:ascii="宋体" w:hAnsi="宋体" w:eastAsia="宋体" w:cs="宋体"/>
                <w:color w:val="auto"/>
                <w:sz w:val="24"/>
              </w:rPr>
            </w:pPr>
            <w:r>
              <w:rPr>
                <w:rFonts w:hint="eastAsia" w:ascii="宋体" w:hAnsi="宋体" w:eastAsia="宋体" w:cs="宋体"/>
                <w:color w:val="auto"/>
                <w:sz w:val="24"/>
              </w:rPr>
              <w:t>5</w:t>
            </w:r>
          </w:p>
        </w:tc>
        <w:tc>
          <w:tcPr>
            <w:tcW w:w="1701" w:type="dxa"/>
            <w:tcBorders>
              <w:left w:val="single" w:color="000000" w:sz="4" w:space="0"/>
              <w:right w:val="single" w:color="000000" w:sz="4" w:space="0"/>
            </w:tcBorders>
            <w:vAlign w:val="center"/>
          </w:tcPr>
          <w:p w14:paraId="53A0315C">
            <w:pPr>
              <w:jc w:val="center"/>
              <w:rPr>
                <w:rFonts w:hint="eastAsia" w:ascii="宋体" w:hAnsi="宋体" w:eastAsia="宋体" w:cs="仿宋"/>
                <w:color w:val="auto"/>
                <w:sz w:val="24"/>
              </w:rPr>
            </w:pPr>
            <w:r>
              <w:rPr>
                <w:rFonts w:hint="eastAsia" w:ascii="宋体" w:hAnsi="宋体" w:eastAsia="宋体" w:cs="仿宋"/>
                <w:color w:val="auto"/>
                <w:sz w:val="24"/>
              </w:rPr>
              <w:t>回收处置方案（8分）</w:t>
            </w:r>
          </w:p>
        </w:tc>
        <w:tc>
          <w:tcPr>
            <w:tcW w:w="7833" w:type="dxa"/>
            <w:tcBorders>
              <w:top w:val="single" w:color="auto" w:sz="4" w:space="0"/>
              <w:left w:val="single" w:color="auto" w:sz="4" w:space="0"/>
              <w:bottom w:val="single" w:color="auto" w:sz="4" w:space="0"/>
              <w:right w:val="single" w:color="auto" w:sz="4" w:space="0"/>
            </w:tcBorders>
          </w:tcPr>
          <w:p w14:paraId="5DBFCC98">
            <w:pPr>
              <w:widowControl/>
              <w:spacing w:line="276" w:lineRule="auto"/>
              <w:jc w:val="left"/>
              <w:rPr>
                <w:rFonts w:hint="eastAsia" w:ascii="宋体" w:hAnsi="宋体" w:eastAsia="宋体"/>
                <w:color w:val="auto"/>
                <w:sz w:val="24"/>
              </w:rPr>
            </w:pPr>
            <w:r>
              <w:rPr>
                <w:rFonts w:hint="eastAsia" w:ascii="宋体" w:hAnsi="宋体" w:eastAsia="宋体"/>
                <w:color w:val="auto"/>
                <w:sz w:val="24"/>
              </w:rPr>
              <w:t>5.1根据供应商提供的回收处置方案（包括回收后处置能力、废旧农膜回收的及时性）进行综合评分：供应商能</w:t>
            </w:r>
            <w:r>
              <w:rPr>
                <w:rFonts w:hint="eastAsia" w:ascii="宋体" w:hAnsi="宋体" w:eastAsia="宋体" w:cs="宋体"/>
                <w:color w:val="auto"/>
                <w:spacing w:val="1"/>
                <w:sz w:val="24"/>
              </w:rPr>
              <w:t>做到及时回收、巡回检查，具有完善的回收处置能力的得8分；供应商回收较及时，回收处置能力较完善的得6分；供应商回收处置时间、处置能力基本合理的得4分；未提供不得分。</w:t>
            </w:r>
          </w:p>
        </w:tc>
        <w:tc>
          <w:tcPr>
            <w:tcW w:w="672" w:type="dxa"/>
            <w:tcBorders>
              <w:top w:val="single" w:color="auto" w:sz="4" w:space="0"/>
              <w:left w:val="nil"/>
              <w:bottom w:val="single" w:color="auto" w:sz="4" w:space="0"/>
              <w:right w:val="single" w:color="auto" w:sz="4" w:space="0"/>
            </w:tcBorders>
            <w:vAlign w:val="center"/>
          </w:tcPr>
          <w:p w14:paraId="2E44346C">
            <w:pPr>
              <w:jc w:val="center"/>
              <w:rPr>
                <w:rFonts w:hint="eastAsia" w:ascii="宋体" w:hAnsi="宋体" w:eastAsia="宋体" w:cs="宋体"/>
                <w:color w:val="auto"/>
                <w:sz w:val="24"/>
              </w:rPr>
            </w:pPr>
            <w:r>
              <w:rPr>
                <w:rFonts w:hint="eastAsia" w:ascii="宋体" w:hAnsi="宋体" w:eastAsia="宋体" w:cs="宋体"/>
                <w:color w:val="auto"/>
                <w:sz w:val="24"/>
              </w:rPr>
              <w:t>8</w:t>
            </w:r>
          </w:p>
        </w:tc>
      </w:tr>
      <w:tr w14:paraId="7CFB4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jc w:val="center"/>
        </w:trPr>
        <w:tc>
          <w:tcPr>
            <w:tcW w:w="562" w:type="dxa"/>
            <w:tcBorders>
              <w:left w:val="single" w:color="000000" w:sz="4" w:space="0"/>
              <w:right w:val="single" w:color="000000" w:sz="4" w:space="0"/>
            </w:tcBorders>
            <w:vAlign w:val="center"/>
          </w:tcPr>
          <w:p w14:paraId="65045AFC">
            <w:pPr>
              <w:jc w:val="center"/>
              <w:rPr>
                <w:rFonts w:hint="eastAsia" w:ascii="宋体" w:hAnsi="宋体" w:eastAsia="宋体" w:cs="宋体"/>
                <w:color w:val="auto"/>
                <w:sz w:val="24"/>
              </w:rPr>
            </w:pPr>
            <w:r>
              <w:rPr>
                <w:rFonts w:hint="eastAsia" w:ascii="宋体" w:hAnsi="宋体" w:eastAsia="宋体" w:cs="宋体"/>
                <w:color w:val="auto"/>
                <w:sz w:val="24"/>
              </w:rPr>
              <w:t>6</w:t>
            </w:r>
          </w:p>
        </w:tc>
        <w:tc>
          <w:tcPr>
            <w:tcW w:w="1701" w:type="dxa"/>
            <w:tcBorders>
              <w:left w:val="single" w:color="000000" w:sz="4" w:space="0"/>
              <w:right w:val="single" w:color="000000" w:sz="4" w:space="0"/>
            </w:tcBorders>
            <w:vAlign w:val="center"/>
          </w:tcPr>
          <w:p w14:paraId="22D23CA5">
            <w:pPr>
              <w:jc w:val="center"/>
              <w:rPr>
                <w:rFonts w:hint="eastAsia" w:ascii="宋体" w:hAnsi="宋体" w:eastAsia="宋体" w:cs="仿宋"/>
                <w:color w:val="auto"/>
                <w:sz w:val="24"/>
              </w:rPr>
            </w:pPr>
            <w:r>
              <w:rPr>
                <w:rFonts w:hint="eastAsia" w:ascii="宋体" w:hAnsi="宋体" w:eastAsia="宋体" w:cs="仿宋"/>
                <w:color w:val="auto"/>
                <w:sz w:val="24"/>
              </w:rPr>
              <w:t>进度安排</w:t>
            </w:r>
          </w:p>
          <w:p w14:paraId="5AF88575">
            <w:pPr>
              <w:jc w:val="center"/>
              <w:rPr>
                <w:rFonts w:hint="eastAsia" w:ascii="宋体" w:hAnsi="宋体" w:eastAsia="宋体" w:cs="仿宋"/>
                <w:color w:val="auto"/>
                <w:sz w:val="24"/>
              </w:rPr>
            </w:pPr>
            <w:r>
              <w:rPr>
                <w:rFonts w:hint="eastAsia" w:ascii="宋体" w:hAnsi="宋体" w:eastAsia="宋体" w:cs="仿宋"/>
                <w:color w:val="auto"/>
                <w:sz w:val="24"/>
              </w:rPr>
              <w:t>（10分）</w:t>
            </w:r>
          </w:p>
        </w:tc>
        <w:tc>
          <w:tcPr>
            <w:tcW w:w="7833" w:type="dxa"/>
            <w:tcBorders>
              <w:top w:val="single" w:color="auto" w:sz="4" w:space="0"/>
              <w:left w:val="single" w:color="auto" w:sz="4" w:space="0"/>
              <w:bottom w:val="single" w:color="auto" w:sz="4" w:space="0"/>
              <w:right w:val="single" w:color="auto" w:sz="4" w:space="0"/>
            </w:tcBorders>
            <w:vAlign w:val="center"/>
          </w:tcPr>
          <w:p w14:paraId="6E3F554A">
            <w:pPr>
              <w:widowControl/>
              <w:spacing w:line="276" w:lineRule="auto"/>
              <w:jc w:val="left"/>
              <w:rPr>
                <w:rFonts w:hint="eastAsia" w:ascii="宋体" w:hAnsi="宋体" w:eastAsia="宋体" w:cs="仿宋"/>
                <w:color w:val="auto"/>
                <w:sz w:val="24"/>
              </w:rPr>
            </w:pPr>
            <w:r>
              <w:rPr>
                <w:rFonts w:hint="eastAsia" w:ascii="宋体" w:hAnsi="宋体" w:eastAsia="宋体"/>
                <w:color w:val="auto"/>
                <w:sz w:val="24"/>
              </w:rPr>
              <w:t xml:space="preserve">6.1根据供应商提供的进度计划安排、各阶段服务保障、各阶段重难点分析进行综合评分：进度计划安排方案完整、各阶段服务有保障性强，重难点分析全面、合理，操作性强的得10分；进度方案较完整，各阶段重难点分析较全面、较合理的得8分；进度计划安排方案一般，各阶段服务保障满足基本需求的得6分；方案内容不全面，操作性弱的得4分；未提供不得分。 </w:t>
            </w:r>
          </w:p>
        </w:tc>
        <w:tc>
          <w:tcPr>
            <w:tcW w:w="672" w:type="dxa"/>
            <w:tcBorders>
              <w:top w:val="single" w:color="auto" w:sz="4" w:space="0"/>
              <w:left w:val="nil"/>
              <w:bottom w:val="single" w:color="auto" w:sz="4" w:space="0"/>
              <w:right w:val="single" w:color="auto" w:sz="4" w:space="0"/>
            </w:tcBorders>
            <w:vAlign w:val="center"/>
          </w:tcPr>
          <w:p w14:paraId="168CA4C5">
            <w:pPr>
              <w:jc w:val="center"/>
              <w:rPr>
                <w:rFonts w:hint="eastAsia" w:ascii="宋体" w:hAnsi="宋体" w:eastAsia="宋体" w:cs="宋体"/>
                <w:color w:val="auto"/>
                <w:sz w:val="24"/>
              </w:rPr>
            </w:pPr>
            <w:r>
              <w:rPr>
                <w:rFonts w:hint="eastAsia" w:ascii="宋体" w:hAnsi="宋体" w:eastAsia="宋体" w:cs="宋体"/>
                <w:color w:val="auto"/>
                <w:sz w:val="24"/>
              </w:rPr>
              <w:t>10</w:t>
            </w:r>
          </w:p>
        </w:tc>
      </w:tr>
      <w:tr w14:paraId="56602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jc w:val="center"/>
        </w:trPr>
        <w:tc>
          <w:tcPr>
            <w:tcW w:w="562" w:type="dxa"/>
            <w:tcBorders>
              <w:left w:val="single" w:color="000000" w:sz="4" w:space="0"/>
              <w:right w:val="single" w:color="000000" w:sz="4" w:space="0"/>
            </w:tcBorders>
            <w:vAlign w:val="center"/>
          </w:tcPr>
          <w:p w14:paraId="02C6F6D7">
            <w:pPr>
              <w:jc w:val="center"/>
              <w:rPr>
                <w:rFonts w:hint="eastAsia" w:ascii="宋体" w:hAnsi="宋体" w:eastAsia="宋体" w:cs="宋体"/>
                <w:color w:val="auto"/>
                <w:sz w:val="24"/>
                <w:lang w:val="zh-CN"/>
              </w:rPr>
            </w:pPr>
            <w:r>
              <w:rPr>
                <w:rFonts w:hint="eastAsia" w:ascii="宋体" w:hAnsi="宋体" w:eastAsia="宋体" w:cs="宋体"/>
                <w:color w:val="auto"/>
                <w:sz w:val="24"/>
              </w:rPr>
              <w:t>7</w:t>
            </w:r>
          </w:p>
        </w:tc>
        <w:tc>
          <w:tcPr>
            <w:tcW w:w="1701" w:type="dxa"/>
            <w:tcBorders>
              <w:left w:val="single" w:color="000000" w:sz="4" w:space="0"/>
              <w:right w:val="single" w:color="000000" w:sz="4" w:space="0"/>
            </w:tcBorders>
            <w:vAlign w:val="center"/>
          </w:tcPr>
          <w:p w14:paraId="64EBAC83">
            <w:pPr>
              <w:jc w:val="center"/>
              <w:rPr>
                <w:rFonts w:hint="eastAsia" w:ascii="宋体" w:hAnsi="宋体" w:eastAsia="宋体" w:cs="仿宋"/>
                <w:color w:val="auto"/>
                <w:sz w:val="24"/>
              </w:rPr>
            </w:pPr>
            <w:r>
              <w:rPr>
                <w:rFonts w:hint="eastAsia" w:ascii="宋体" w:hAnsi="宋体" w:eastAsia="宋体" w:cs="仿宋"/>
                <w:color w:val="auto"/>
                <w:sz w:val="24"/>
              </w:rPr>
              <w:t>内部管理制度</w:t>
            </w:r>
          </w:p>
          <w:p w14:paraId="58CD42EB">
            <w:pPr>
              <w:jc w:val="center"/>
              <w:rPr>
                <w:rFonts w:hint="eastAsia" w:ascii="宋体" w:hAnsi="宋体" w:eastAsia="宋体" w:cs="宋体"/>
                <w:color w:val="auto"/>
                <w:sz w:val="24"/>
                <w:lang w:val="zh-CN"/>
              </w:rPr>
            </w:pPr>
            <w:r>
              <w:rPr>
                <w:rFonts w:hint="eastAsia" w:ascii="宋体" w:hAnsi="宋体" w:eastAsia="宋体" w:cs="仿宋"/>
                <w:color w:val="auto"/>
                <w:sz w:val="24"/>
              </w:rPr>
              <w:t>（9分）</w:t>
            </w:r>
          </w:p>
        </w:tc>
        <w:tc>
          <w:tcPr>
            <w:tcW w:w="7833" w:type="dxa"/>
            <w:tcBorders>
              <w:top w:val="single" w:color="auto" w:sz="4" w:space="0"/>
              <w:left w:val="single" w:color="auto" w:sz="4" w:space="0"/>
              <w:bottom w:val="single" w:color="auto" w:sz="4" w:space="0"/>
              <w:right w:val="single" w:color="auto" w:sz="4" w:space="0"/>
            </w:tcBorders>
            <w:vAlign w:val="center"/>
          </w:tcPr>
          <w:p w14:paraId="13627C0D">
            <w:pPr>
              <w:widowControl/>
              <w:spacing w:line="276" w:lineRule="auto"/>
              <w:jc w:val="left"/>
              <w:rPr>
                <w:rFonts w:hint="eastAsia" w:ascii="宋体" w:hAnsi="宋体" w:eastAsia="宋体" w:cs="宋体"/>
                <w:color w:val="auto"/>
                <w:sz w:val="24"/>
              </w:rPr>
            </w:pPr>
            <w:r>
              <w:rPr>
                <w:rFonts w:hint="eastAsia" w:ascii="宋体" w:hAnsi="宋体" w:eastAsia="宋体"/>
                <w:color w:val="auto"/>
                <w:sz w:val="24"/>
              </w:rPr>
              <w:t>7.1根据供应商提供的内部管理制度（包含但不限于业务流程、质量、考核、培训、档案等）进行综合评分：管理制度齐全完善、方案内容全面、科学合理的得9分；管理制度较完善、方案内容较合理、操作性较强的得7分；管理制度一般，内容满足基本需求的得5分；未提供不得分。</w:t>
            </w:r>
          </w:p>
        </w:tc>
        <w:tc>
          <w:tcPr>
            <w:tcW w:w="672" w:type="dxa"/>
            <w:tcBorders>
              <w:top w:val="single" w:color="auto" w:sz="4" w:space="0"/>
              <w:left w:val="nil"/>
              <w:bottom w:val="single" w:color="auto" w:sz="4" w:space="0"/>
              <w:right w:val="single" w:color="auto" w:sz="4" w:space="0"/>
            </w:tcBorders>
            <w:vAlign w:val="center"/>
          </w:tcPr>
          <w:p w14:paraId="66F6F0DB">
            <w:pPr>
              <w:jc w:val="center"/>
              <w:rPr>
                <w:rFonts w:hint="eastAsia" w:ascii="宋体" w:hAnsi="宋体" w:eastAsia="宋体" w:cs="宋体"/>
                <w:color w:val="auto"/>
                <w:sz w:val="24"/>
              </w:rPr>
            </w:pPr>
            <w:r>
              <w:rPr>
                <w:rFonts w:hint="eastAsia" w:ascii="宋体" w:hAnsi="宋体" w:eastAsia="宋体" w:cs="宋体"/>
                <w:color w:val="auto"/>
                <w:sz w:val="24"/>
              </w:rPr>
              <w:t>9</w:t>
            </w:r>
          </w:p>
        </w:tc>
      </w:tr>
      <w:tr w14:paraId="0DABE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jc w:val="center"/>
        </w:trPr>
        <w:tc>
          <w:tcPr>
            <w:tcW w:w="562" w:type="dxa"/>
            <w:tcBorders>
              <w:left w:val="single" w:color="000000" w:sz="4" w:space="0"/>
              <w:right w:val="single" w:color="000000" w:sz="4" w:space="0"/>
            </w:tcBorders>
            <w:vAlign w:val="center"/>
          </w:tcPr>
          <w:p w14:paraId="6AE20022">
            <w:pPr>
              <w:jc w:val="center"/>
              <w:rPr>
                <w:rFonts w:hint="eastAsia" w:ascii="宋体" w:hAnsi="宋体" w:eastAsia="宋体" w:cs="宋体"/>
                <w:color w:val="auto"/>
                <w:sz w:val="24"/>
                <w:lang w:val="zh-CN"/>
              </w:rPr>
            </w:pPr>
            <w:r>
              <w:rPr>
                <w:rFonts w:hint="eastAsia" w:ascii="宋体" w:hAnsi="宋体" w:eastAsia="宋体" w:cs="宋体"/>
                <w:color w:val="auto"/>
                <w:sz w:val="24"/>
              </w:rPr>
              <w:t>8</w:t>
            </w:r>
          </w:p>
        </w:tc>
        <w:tc>
          <w:tcPr>
            <w:tcW w:w="1701" w:type="dxa"/>
            <w:tcBorders>
              <w:left w:val="single" w:color="000000" w:sz="4" w:space="0"/>
              <w:right w:val="single" w:color="000000" w:sz="4" w:space="0"/>
            </w:tcBorders>
            <w:vAlign w:val="center"/>
          </w:tcPr>
          <w:p w14:paraId="064D773F">
            <w:pPr>
              <w:jc w:val="center"/>
              <w:rPr>
                <w:rFonts w:hint="eastAsia" w:ascii="宋体" w:hAnsi="宋体" w:eastAsia="宋体" w:cs="宋体"/>
                <w:color w:val="auto"/>
                <w:sz w:val="24"/>
              </w:rPr>
            </w:pPr>
            <w:r>
              <w:rPr>
                <w:rFonts w:hint="eastAsia" w:ascii="宋体" w:hAnsi="宋体" w:eastAsia="宋体" w:cs="宋体"/>
                <w:color w:val="auto"/>
                <w:sz w:val="24"/>
              </w:rPr>
              <w:t>设备投入</w:t>
            </w:r>
          </w:p>
          <w:p w14:paraId="2112E007">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w:t>
            </w:r>
            <w:r>
              <w:rPr>
                <w:rFonts w:hint="eastAsia" w:ascii="宋体" w:hAnsi="宋体" w:eastAsia="宋体" w:cs="宋体"/>
                <w:color w:val="auto"/>
                <w:sz w:val="24"/>
              </w:rPr>
              <w:t>8</w:t>
            </w:r>
            <w:r>
              <w:rPr>
                <w:rFonts w:hint="eastAsia" w:ascii="宋体" w:hAnsi="宋体" w:eastAsia="宋体" w:cs="宋体"/>
                <w:color w:val="auto"/>
                <w:sz w:val="24"/>
                <w:lang w:val="zh-CN"/>
              </w:rPr>
              <w:t>分）</w:t>
            </w:r>
          </w:p>
        </w:tc>
        <w:tc>
          <w:tcPr>
            <w:tcW w:w="7833" w:type="dxa"/>
            <w:tcBorders>
              <w:top w:val="single" w:color="auto" w:sz="4" w:space="0"/>
              <w:left w:val="single" w:color="auto" w:sz="4" w:space="0"/>
              <w:right w:val="single" w:color="auto" w:sz="4" w:space="0"/>
            </w:tcBorders>
            <w:vAlign w:val="center"/>
          </w:tcPr>
          <w:p w14:paraId="2CB8D91B">
            <w:pPr>
              <w:widowControl/>
              <w:spacing w:line="276" w:lineRule="auto"/>
              <w:jc w:val="left"/>
              <w:rPr>
                <w:rFonts w:hint="eastAsia" w:ascii="宋体" w:hAnsi="宋体" w:eastAsia="宋体" w:cs="宋体"/>
                <w:color w:val="auto"/>
                <w:sz w:val="24"/>
                <w:lang w:val="zh-CN"/>
              </w:rPr>
            </w:pPr>
            <w:r>
              <w:rPr>
                <w:rFonts w:hint="eastAsia" w:ascii="宋体" w:hAnsi="宋体" w:eastAsia="宋体"/>
                <w:color w:val="auto"/>
                <w:sz w:val="24"/>
              </w:rPr>
              <w:t>8.1根据供应商投入基本设备完整性和合理性进行综合评分，设备包括但不限于宣传册、制度牌、集中收集桶、废弃物回收包装袋、封口机、铁框、推车、干粉灭火器等，</w:t>
            </w:r>
            <w:bookmarkStart w:id="6" w:name="OLE_LINK9"/>
            <w:r>
              <w:rPr>
                <w:rFonts w:hint="eastAsia" w:ascii="宋体" w:hAnsi="宋体" w:eastAsia="宋体"/>
                <w:color w:val="auto"/>
                <w:sz w:val="24"/>
              </w:rPr>
              <w:t>相应设施设备</w:t>
            </w:r>
            <w:bookmarkEnd w:id="6"/>
            <w:r>
              <w:rPr>
                <w:rFonts w:hint="eastAsia" w:ascii="宋体" w:hAnsi="宋体" w:eastAsia="宋体"/>
                <w:color w:val="auto"/>
                <w:sz w:val="24"/>
              </w:rPr>
              <w:t>数量、功能配备齐全的得8分；相应设施设备较先进、较齐全的得6分；设备满足一般适用性的得4分；未提供不得分。（提供设施设备清单、现场照片或购置发票）</w:t>
            </w:r>
          </w:p>
        </w:tc>
        <w:tc>
          <w:tcPr>
            <w:tcW w:w="672" w:type="dxa"/>
            <w:tcBorders>
              <w:top w:val="single" w:color="auto" w:sz="4" w:space="0"/>
              <w:left w:val="nil"/>
              <w:right w:val="single" w:color="auto" w:sz="4" w:space="0"/>
            </w:tcBorders>
            <w:vAlign w:val="center"/>
          </w:tcPr>
          <w:p w14:paraId="49E18BC9">
            <w:pPr>
              <w:jc w:val="center"/>
              <w:rPr>
                <w:rFonts w:hint="eastAsia" w:ascii="宋体" w:hAnsi="宋体" w:eastAsia="宋体" w:cs="宋体"/>
                <w:color w:val="auto"/>
                <w:sz w:val="24"/>
              </w:rPr>
            </w:pPr>
            <w:r>
              <w:rPr>
                <w:rFonts w:hint="eastAsia" w:ascii="宋体" w:hAnsi="宋体" w:eastAsia="宋体" w:cs="宋体"/>
                <w:color w:val="auto"/>
                <w:sz w:val="24"/>
              </w:rPr>
              <w:t>8</w:t>
            </w:r>
          </w:p>
        </w:tc>
      </w:tr>
      <w:tr w14:paraId="53B89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jc w:val="center"/>
        </w:trPr>
        <w:tc>
          <w:tcPr>
            <w:tcW w:w="562" w:type="dxa"/>
            <w:tcBorders>
              <w:left w:val="single" w:color="000000" w:sz="4" w:space="0"/>
              <w:right w:val="single" w:color="000000" w:sz="4" w:space="0"/>
            </w:tcBorders>
            <w:vAlign w:val="center"/>
          </w:tcPr>
          <w:p w14:paraId="238AAF66">
            <w:pPr>
              <w:jc w:val="center"/>
              <w:rPr>
                <w:rFonts w:hint="eastAsia" w:ascii="宋体" w:hAnsi="宋体" w:eastAsia="宋体" w:cs="宋体"/>
                <w:color w:val="auto"/>
                <w:sz w:val="24"/>
              </w:rPr>
            </w:pPr>
            <w:r>
              <w:rPr>
                <w:rFonts w:hint="eastAsia" w:ascii="宋体" w:hAnsi="宋体" w:eastAsia="宋体" w:cs="宋体"/>
                <w:color w:val="auto"/>
                <w:sz w:val="24"/>
              </w:rPr>
              <w:t>9</w:t>
            </w:r>
          </w:p>
        </w:tc>
        <w:tc>
          <w:tcPr>
            <w:tcW w:w="1701" w:type="dxa"/>
            <w:tcBorders>
              <w:left w:val="single" w:color="000000" w:sz="4" w:space="0"/>
              <w:right w:val="single" w:color="000000" w:sz="4" w:space="0"/>
            </w:tcBorders>
            <w:vAlign w:val="center"/>
          </w:tcPr>
          <w:p w14:paraId="4BF07B4C">
            <w:pPr>
              <w:jc w:val="center"/>
              <w:rPr>
                <w:rFonts w:hint="eastAsia" w:ascii="宋体" w:hAnsi="宋体" w:eastAsia="宋体" w:cs="宋体"/>
                <w:color w:val="auto"/>
                <w:sz w:val="24"/>
              </w:rPr>
            </w:pPr>
            <w:r>
              <w:rPr>
                <w:rFonts w:hint="eastAsia" w:ascii="宋体" w:hAnsi="宋体" w:eastAsia="宋体" w:cs="宋体"/>
                <w:color w:val="auto"/>
                <w:sz w:val="24"/>
              </w:rPr>
              <w:t>应急保障</w:t>
            </w:r>
          </w:p>
          <w:p w14:paraId="6AE52EC7">
            <w:pPr>
              <w:jc w:val="center"/>
              <w:rPr>
                <w:rFonts w:hint="eastAsia" w:ascii="宋体" w:hAnsi="宋体" w:eastAsia="宋体" w:cs="宋体"/>
                <w:color w:val="auto"/>
                <w:sz w:val="24"/>
              </w:rPr>
            </w:pPr>
            <w:r>
              <w:rPr>
                <w:rFonts w:hint="eastAsia" w:ascii="宋体" w:hAnsi="宋体" w:eastAsia="宋体" w:cs="宋体"/>
                <w:color w:val="auto"/>
                <w:sz w:val="24"/>
              </w:rPr>
              <w:t>（8分）</w:t>
            </w:r>
          </w:p>
        </w:tc>
        <w:tc>
          <w:tcPr>
            <w:tcW w:w="7833" w:type="dxa"/>
            <w:tcBorders>
              <w:top w:val="single" w:color="auto" w:sz="4" w:space="0"/>
              <w:left w:val="single" w:color="auto" w:sz="4" w:space="0"/>
              <w:right w:val="single" w:color="auto" w:sz="4" w:space="0"/>
            </w:tcBorders>
            <w:vAlign w:val="center"/>
          </w:tcPr>
          <w:p w14:paraId="3DF16D82">
            <w:pPr>
              <w:widowControl/>
              <w:spacing w:line="276" w:lineRule="auto"/>
              <w:jc w:val="left"/>
              <w:rPr>
                <w:rFonts w:hint="eastAsia" w:ascii="宋体" w:hAnsi="宋体" w:eastAsia="宋体"/>
                <w:color w:val="auto"/>
                <w:sz w:val="24"/>
              </w:rPr>
            </w:pPr>
            <w:r>
              <w:rPr>
                <w:rFonts w:hint="eastAsia" w:ascii="宋体" w:hAnsi="宋体" w:eastAsia="宋体"/>
                <w:color w:val="auto"/>
                <w:sz w:val="24"/>
              </w:rPr>
              <w:t>9.1根据供应商提供的</w:t>
            </w:r>
            <w:r>
              <w:rPr>
                <w:rFonts w:hint="eastAsia" w:ascii="宋体" w:hAnsi="宋体" w:eastAsia="宋体"/>
                <w:color w:val="auto"/>
                <w:sz w:val="24"/>
                <w:lang w:val="zh-CN"/>
              </w:rPr>
              <w:t>对突击保障任务和突发问题的应急预案进行综合评分：突发情况应急预案科学合理，突击保障任务和突发问题处理措施全面完善详细的得</w:t>
            </w:r>
            <w:r>
              <w:rPr>
                <w:rFonts w:hint="eastAsia" w:ascii="宋体" w:hAnsi="宋体" w:eastAsia="宋体"/>
                <w:color w:val="auto"/>
                <w:sz w:val="24"/>
              </w:rPr>
              <w:t>8</w:t>
            </w:r>
            <w:r>
              <w:rPr>
                <w:rFonts w:hint="eastAsia" w:ascii="宋体" w:hAnsi="宋体" w:eastAsia="宋体"/>
                <w:color w:val="auto"/>
                <w:sz w:val="24"/>
                <w:lang w:val="zh-CN"/>
              </w:rPr>
              <w:t>分；突发情况应急预案合理，突击保障任务和突发问题处理措施较详细可行的得</w:t>
            </w:r>
            <w:r>
              <w:rPr>
                <w:rFonts w:hint="eastAsia" w:ascii="宋体" w:hAnsi="宋体" w:eastAsia="宋体"/>
                <w:color w:val="auto"/>
                <w:sz w:val="24"/>
              </w:rPr>
              <w:t>6</w:t>
            </w:r>
            <w:r>
              <w:rPr>
                <w:rFonts w:hint="eastAsia" w:ascii="宋体" w:hAnsi="宋体" w:eastAsia="宋体"/>
                <w:color w:val="auto"/>
                <w:sz w:val="24"/>
                <w:lang w:val="zh-CN"/>
              </w:rPr>
              <w:t>分；突发情况应急预案基本可行，突击保障任务和突发问题处理措施一般的得</w:t>
            </w:r>
            <w:r>
              <w:rPr>
                <w:rFonts w:hint="eastAsia" w:ascii="宋体" w:hAnsi="宋体" w:eastAsia="宋体"/>
                <w:color w:val="auto"/>
                <w:sz w:val="24"/>
              </w:rPr>
              <w:t>4</w:t>
            </w:r>
            <w:r>
              <w:rPr>
                <w:rFonts w:hint="eastAsia" w:ascii="宋体" w:hAnsi="宋体" w:eastAsia="宋体"/>
                <w:color w:val="auto"/>
                <w:sz w:val="24"/>
                <w:lang w:val="zh-CN"/>
              </w:rPr>
              <w:t>分；未提供不得分。</w:t>
            </w:r>
          </w:p>
        </w:tc>
        <w:tc>
          <w:tcPr>
            <w:tcW w:w="672" w:type="dxa"/>
            <w:tcBorders>
              <w:top w:val="single" w:color="auto" w:sz="4" w:space="0"/>
              <w:left w:val="nil"/>
              <w:right w:val="single" w:color="auto" w:sz="4" w:space="0"/>
            </w:tcBorders>
            <w:vAlign w:val="center"/>
          </w:tcPr>
          <w:p w14:paraId="4301596A">
            <w:pPr>
              <w:jc w:val="center"/>
              <w:rPr>
                <w:rFonts w:hint="eastAsia" w:ascii="宋体" w:hAnsi="宋体" w:eastAsia="宋体" w:cs="宋体"/>
                <w:color w:val="auto"/>
                <w:sz w:val="24"/>
              </w:rPr>
            </w:pPr>
            <w:r>
              <w:rPr>
                <w:rFonts w:hint="eastAsia" w:ascii="宋体" w:hAnsi="宋体" w:eastAsia="宋体" w:cs="宋体"/>
                <w:color w:val="auto"/>
                <w:sz w:val="24"/>
              </w:rPr>
              <w:t>8</w:t>
            </w:r>
          </w:p>
        </w:tc>
      </w:tr>
      <w:tr w14:paraId="4D5AC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562" w:type="dxa"/>
            <w:tcBorders>
              <w:top w:val="single" w:color="000000" w:sz="4" w:space="0"/>
              <w:left w:val="single" w:color="000000" w:sz="4" w:space="0"/>
              <w:right w:val="single" w:color="000000" w:sz="4" w:space="0"/>
            </w:tcBorders>
            <w:vAlign w:val="center"/>
          </w:tcPr>
          <w:p w14:paraId="0ABEB319">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合计</w:t>
            </w:r>
          </w:p>
        </w:tc>
        <w:tc>
          <w:tcPr>
            <w:tcW w:w="10206" w:type="dxa"/>
            <w:gridSpan w:val="3"/>
            <w:tcBorders>
              <w:top w:val="nil"/>
              <w:left w:val="single" w:color="000000" w:sz="4" w:space="0"/>
              <w:right w:val="single" w:color="000000" w:sz="4" w:space="0"/>
            </w:tcBorders>
            <w:vAlign w:val="center"/>
          </w:tcPr>
          <w:p w14:paraId="2AC95BDB">
            <w:pPr>
              <w:jc w:val="center"/>
              <w:rPr>
                <w:rFonts w:hint="eastAsia" w:ascii="宋体" w:hAnsi="宋体" w:eastAsia="宋体" w:cs="宋体"/>
                <w:color w:val="auto"/>
                <w:sz w:val="24"/>
                <w:lang w:val="zh-CN"/>
              </w:rPr>
            </w:pPr>
            <w:r>
              <w:rPr>
                <w:rFonts w:hint="eastAsia" w:ascii="宋体" w:hAnsi="宋体" w:eastAsia="宋体" w:cs="宋体"/>
                <w:color w:val="auto"/>
                <w:sz w:val="24"/>
                <w:lang w:val="zh-CN"/>
              </w:rPr>
              <w:t>100分</w:t>
            </w:r>
          </w:p>
        </w:tc>
      </w:tr>
    </w:tbl>
    <w:p w14:paraId="19582136">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说明：</w:t>
      </w:r>
    </w:p>
    <w:p w14:paraId="0013D3C5">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1.所有认证、检测报告、证明和业绩均以有效的证明文件的复印件（扫描件）加盖公章。</w:t>
      </w:r>
    </w:p>
    <w:p w14:paraId="50BC7A9F">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2.所有认证、检测报告、证明和业绩的单位名称须与供应商或制造商名称一致（以公章为准），否则不得分。</w:t>
      </w:r>
    </w:p>
    <w:p w14:paraId="77349A64">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3.若供应商提供虚假资料，一经查实作无效投标处理。</w:t>
      </w:r>
    </w:p>
    <w:p w14:paraId="69C27E74">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4.对国家认定的节能产品和环保产品分别给予投标价的5%、5%价格扣除，用扣除后的价格参与评审（特别说明：节能、环保产品必须纳入“中国政府采购网http://www.ccgp.gov.cn”等官方网站“节能、环保产品查询系统”，且以提供的证书复印件为准）。</w:t>
      </w:r>
    </w:p>
    <w:p w14:paraId="5795E4FC">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5.小微企业的价格扣除</w:t>
      </w:r>
    </w:p>
    <w:p w14:paraId="6ABAE4AC">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（1）对小微企业生产的产品给予投标价的10%价格扣除，用扣除后的价格参与评审。</w:t>
      </w:r>
    </w:p>
    <w:p w14:paraId="397A2D66">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享受10%价格扣除，用扣除后的价格参与评审。</w:t>
      </w:r>
    </w:p>
    <w:p w14:paraId="12FDD5D0">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（3）小企业（含小型、微型企业）应当同时符合以下条件：</w:t>
      </w:r>
    </w:p>
    <w:p w14:paraId="6EE887D9">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①供应商为小企业，且符合中小企业划分标准；</w:t>
      </w:r>
    </w:p>
    <w:p w14:paraId="4B9610C3">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②提供本企业制造的货物、承担的工程或者服务，或者提供其他小企业制造的货物。如果提供的货物为大中型企业注册商标的货物，视同大中型企业。</w:t>
      </w:r>
    </w:p>
    <w:p w14:paraId="1C48760A">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6.若供应商提供的认证证书、荣誉证书、专利是所投产品制造商的，请供应商与制造商在证书上加盖公章。</w:t>
      </w:r>
    </w:p>
    <w:p w14:paraId="591228A4">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7.残疾人福利单位价格扣除</w:t>
      </w:r>
    </w:p>
    <w:p w14:paraId="5298F48B">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（1）本项目对残疾人福利性单位视同小型、微型企业，给予10%的价格扣除，用扣除后的价格参与评审。</w:t>
      </w:r>
    </w:p>
    <w:p w14:paraId="2112939F">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（2）残疾人福利单位需按照采购文件的要求提供《残疾人福利性单位声明函》。</w:t>
      </w:r>
    </w:p>
    <w:p w14:paraId="73BD4619">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（3）残疾人福利单位标准请参照《关于促进残疾人就业政府采购政策的通知》（财库〔2017〕141号）。</w:t>
      </w:r>
    </w:p>
    <w:p w14:paraId="0C767107">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8.监狱和戒毒企业价格扣除</w:t>
      </w:r>
    </w:p>
    <w:p w14:paraId="1F470C6B">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（1）本项目对监狱和戒毒企业（简称监狱企业）视同小型、微型企业，给予10%的价格扣除，用扣除后的价格参与评审。</w:t>
      </w:r>
    </w:p>
    <w:p w14:paraId="196A1B94">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（2）监狱企业参加政府采购活动时，需提供由省级以上监狱管理局、戒毒管理局（含新疆生产建设兵团）出具的属于监狱企业的证明文件。供应商如不提供上述证明文件，价格将不做相应扣除。</w:t>
      </w:r>
    </w:p>
    <w:p w14:paraId="3710047C">
      <w:pPr>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（3）监狱企业标准请参照《关于政府采购支持监狱企业发展有关问题的通知》（财库〔2014〕68号）。</w:t>
      </w:r>
    </w:p>
    <w:p w14:paraId="2F6C246A">
      <w:pPr>
        <w:spacing w:line="360" w:lineRule="auto"/>
        <w:rPr>
          <w:rFonts w:hint="eastAsia" w:ascii="宋体" w:hAnsi="宋体" w:eastAsia="宋体" w:cs="宋体"/>
          <w:color w:val="auto"/>
          <w:sz w:val="20"/>
          <w:szCs w:val="22"/>
        </w:rPr>
      </w:pPr>
      <w:r>
        <w:rPr>
          <w:rFonts w:hint="eastAsia" w:ascii="宋体" w:hAnsi="宋体" w:eastAsia="宋体" w:cs="宋体"/>
          <w:color w:val="auto"/>
          <w:sz w:val="22"/>
          <w:szCs w:val="22"/>
        </w:rPr>
        <w:t>9.残疾人福利单位、监狱企业属于小型、微型企业的，不重复享受政策。</w:t>
      </w:r>
    </w:p>
    <w:p w14:paraId="459EE2E6">
      <w:pPr>
        <w:rPr>
          <w:rFonts w:hint="eastAsia" w:ascii="宋体" w:hAnsi="宋体" w:eastAsia="宋体" w:cs="宋体"/>
          <w:b/>
          <w:bCs/>
          <w:color w:val="auto"/>
          <w:sz w:val="36"/>
          <w:szCs w:val="36"/>
          <w:lang w:val="zh-CN"/>
        </w:rPr>
      </w:pPr>
      <w:r>
        <w:rPr>
          <w:rFonts w:hint="eastAsia" w:ascii="宋体" w:hAnsi="宋体" w:eastAsia="宋体" w:cs="宋体"/>
          <w:b/>
          <w:bCs/>
          <w:color w:val="auto"/>
          <w:sz w:val="36"/>
          <w:szCs w:val="36"/>
          <w:lang w:val="zh-CN"/>
        </w:rPr>
        <w:br w:type="page"/>
      </w:r>
    </w:p>
    <w:p w14:paraId="4E458FF9">
      <w:pPr>
        <w:spacing w:line="312" w:lineRule="auto"/>
        <w:jc w:val="center"/>
        <w:rPr>
          <w:rFonts w:hint="eastAsia" w:ascii="宋体" w:hAnsi="宋体" w:eastAsia="宋体" w:cs="宋体"/>
          <w:b/>
          <w:bCs/>
          <w:color w:val="auto"/>
          <w:sz w:val="36"/>
          <w:szCs w:val="36"/>
          <w:lang w:val="zh-CN"/>
        </w:rPr>
      </w:pPr>
      <w:r>
        <w:rPr>
          <w:rFonts w:hint="eastAsia" w:ascii="宋体" w:hAnsi="宋体" w:eastAsia="宋体" w:cs="宋体"/>
          <w:b/>
          <w:bCs/>
          <w:color w:val="auto"/>
          <w:sz w:val="36"/>
          <w:szCs w:val="36"/>
          <w:lang w:val="zh-CN"/>
        </w:rPr>
        <w:t xml:space="preserve">第四章 </w:t>
      </w:r>
      <w:bookmarkStart w:id="7" w:name="_Hlk147842222"/>
      <w:r>
        <w:rPr>
          <w:rFonts w:hint="eastAsia" w:ascii="宋体" w:hAnsi="宋体" w:eastAsia="宋体" w:cs="宋体"/>
          <w:b/>
          <w:bCs/>
          <w:color w:val="auto"/>
          <w:sz w:val="36"/>
          <w:szCs w:val="36"/>
          <w:lang w:val="zh-CN"/>
        </w:rPr>
        <w:t xml:space="preserve"> 采购需求及要求</w:t>
      </w:r>
      <w:bookmarkEnd w:id="7"/>
    </w:p>
    <w:p w14:paraId="5589B205">
      <w:pPr>
        <w:pStyle w:val="17"/>
        <w:ind w:firstLine="480" w:firstLineChars="200"/>
        <w:rPr>
          <w:rFonts w:hint="eastAsia" w:eastAsia="宋体" w:cs="宋体"/>
          <w:color w:val="auto"/>
          <w:sz w:val="24"/>
        </w:rPr>
      </w:pPr>
      <w:r>
        <w:rPr>
          <w:rFonts w:hint="eastAsia" w:eastAsia="宋体" w:cs="宋体"/>
          <w:color w:val="auto"/>
          <w:sz w:val="24"/>
        </w:rPr>
        <w:t>根据《南京市农药包装废弃物和废旧地膜回收处理实施指导意见》（宁农农〔2021〕7号）文件精神和省市农药包装废弃物考核的有关要求，开展我区农药包装废弃物与废旧农膜回收处置工作。栖霞区农业农村局积极落实工作，结合我区实际，现制定“2027年南京市栖霞区农药包装废弃物与废旧农膜回收处置”项目实施方案如下：</w:t>
      </w:r>
    </w:p>
    <w:p w14:paraId="5C81FFF1">
      <w:pPr>
        <w:pStyle w:val="17"/>
        <w:ind w:firstLine="480" w:firstLineChars="200"/>
        <w:rPr>
          <w:rFonts w:hint="eastAsia" w:eastAsia="宋体" w:cs="宋体"/>
          <w:color w:val="auto"/>
          <w:sz w:val="24"/>
        </w:rPr>
      </w:pPr>
      <w:r>
        <w:rPr>
          <w:rFonts w:hint="eastAsia" w:eastAsia="宋体" w:cs="宋体"/>
          <w:color w:val="auto"/>
          <w:sz w:val="24"/>
        </w:rPr>
        <w:t>一、实施范围</w:t>
      </w:r>
    </w:p>
    <w:p w14:paraId="656BA4B5">
      <w:pPr>
        <w:pStyle w:val="17"/>
        <w:ind w:firstLine="480" w:firstLineChars="200"/>
        <w:rPr>
          <w:rFonts w:hint="eastAsia" w:eastAsia="宋体" w:cs="宋体"/>
          <w:color w:val="auto"/>
          <w:sz w:val="24"/>
        </w:rPr>
      </w:pPr>
      <w:r>
        <w:rPr>
          <w:rFonts w:hint="eastAsia" w:eastAsia="宋体" w:cs="宋体"/>
          <w:color w:val="auto"/>
          <w:sz w:val="24"/>
        </w:rPr>
        <w:t>该项目涉及栖霞区八卦洲街道、龙潭街道（含西岗街道）。</w:t>
      </w:r>
    </w:p>
    <w:p w14:paraId="7A7709FB">
      <w:pPr>
        <w:pStyle w:val="17"/>
        <w:ind w:firstLine="480" w:firstLineChars="200"/>
        <w:rPr>
          <w:rFonts w:hint="eastAsia" w:eastAsia="宋体" w:cs="宋体"/>
          <w:color w:val="auto"/>
          <w:sz w:val="24"/>
        </w:rPr>
      </w:pPr>
      <w:r>
        <w:rPr>
          <w:rFonts w:hint="eastAsia" w:eastAsia="宋体" w:cs="宋体"/>
          <w:color w:val="auto"/>
          <w:sz w:val="24"/>
        </w:rPr>
        <w:t>二、实施内容</w:t>
      </w:r>
    </w:p>
    <w:p w14:paraId="1480B070">
      <w:pPr>
        <w:pStyle w:val="17"/>
        <w:ind w:firstLine="480" w:firstLineChars="200"/>
        <w:rPr>
          <w:rFonts w:hint="eastAsia" w:eastAsia="宋体" w:cs="宋体"/>
          <w:color w:val="auto"/>
          <w:sz w:val="24"/>
        </w:rPr>
      </w:pPr>
      <w:r>
        <w:rPr>
          <w:rFonts w:hint="eastAsia" w:eastAsia="宋体" w:cs="宋体"/>
          <w:color w:val="auto"/>
          <w:sz w:val="24"/>
        </w:rPr>
        <w:t>（一）“2027年南京市栖霞区农药包装废弃物与废旧农膜回收处置”。项目以公开招标形式选定第三方提供农药包装废弃物与废旧农膜回收处置服务。依据审计情况，按照回收及处置的废弃物的数量据实结算资金。</w:t>
      </w:r>
    </w:p>
    <w:p w14:paraId="5CA98454">
      <w:pPr>
        <w:pStyle w:val="17"/>
        <w:ind w:firstLine="480" w:firstLineChars="200"/>
        <w:rPr>
          <w:rFonts w:hint="eastAsia" w:eastAsia="宋体" w:cs="宋体"/>
          <w:color w:val="auto"/>
          <w:sz w:val="24"/>
        </w:rPr>
      </w:pPr>
      <w:r>
        <w:rPr>
          <w:rFonts w:hint="eastAsia" w:eastAsia="宋体" w:cs="宋体"/>
          <w:color w:val="auto"/>
          <w:sz w:val="24"/>
        </w:rPr>
        <w:t>1.基层回收点建立。八卦洲街道与龙潭街道（含西岗街道）各建一个基层回收点。</w:t>
      </w:r>
    </w:p>
    <w:p w14:paraId="0AA95743">
      <w:pPr>
        <w:pStyle w:val="17"/>
        <w:ind w:firstLine="480" w:firstLineChars="200"/>
        <w:rPr>
          <w:rFonts w:hint="eastAsia" w:eastAsia="宋体" w:cs="宋体"/>
          <w:color w:val="auto"/>
          <w:sz w:val="24"/>
        </w:rPr>
      </w:pPr>
      <w:r>
        <w:rPr>
          <w:rFonts w:hint="eastAsia" w:eastAsia="宋体" w:cs="宋体"/>
          <w:color w:val="auto"/>
          <w:sz w:val="24"/>
        </w:rPr>
        <w:t>2.农药包装废弃物与废旧农膜有偿收购。按照瓶、袋、支包装规格的不同，作价回收栖霞区范围内农药包装废弃物。</w:t>
      </w:r>
    </w:p>
    <w:p w14:paraId="040D82E4">
      <w:pPr>
        <w:pStyle w:val="17"/>
        <w:ind w:firstLine="480" w:firstLineChars="200"/>
        <w:rPr>
          <w:rFonts w:hint="eastAsia" w:eastAsia="宋体" w:cs="宋体"/>
          <w:color w:val="auto"/>
          <w:sz w:val="24"/>
        </w:rPr>
      </w:pPr>
      <w:r>
        <w:rPr>
          <w:rFonts w:hint="eastAsia" w:eastAsia="宋体" w:cs="宋体"/>
          <w:color w:val="auto"/>
          <w:sz w:val="24"/>
        </w:rPr>
        <w:t>3.农药包装废弃物与废旧农膜无害化处置。按相关程序委托生态环境部门认可具有资质的废弃物处置单位对收集打包的废弃物进行无害化处置，做好处置台账记录。</w:t>
      </w:r>
    </w:p>
    <w:p w14:paraId="517F6387">
      <w:pPr>
        <w:pStyle w:val="17"/>
        <w:ind w:firstLine="480" w:firstLineChars="200"/>
        <w:rPr>
          <w:rFonts w:hint="eastAsia" w:eastAsia="宋体" w:cs="宋体"/>
          <w:color w:val="auto"/>
          <w:sz w:val="24"/>
        </w:rPr>
      </w:pPr>
      <w:r>
        <w:rPr>
          <w:rFonts w:hint="eastAsia" w:eastAsia="宋体" w:cs="宋体"/>
          <w:color w:val="auto"/>
          <w:sz w:val="24"/>
        </w:rPr>
        <w:t>4.农药包装废弃物与废旧农膜回收处置工作宣传培训。开展形式多样的农药包装废弃物回收宣传与培训工作，加强专业合作社、家庭农场和种植户对农药包装废弃物分类回收的意识。</w:t>
      </w:r>
    </w:p>
    <w:p w14:paraId="7B5ED085">
      <w:pPr>
        <w:pStyle w:val="17"/>
        <w:ind w:firstLine="480" w:firstLineChars="200"/>
        <w:rPr>
          <w:rFonts w:hint="eastAsia" w:eastAsia="宋体" w:cs="宋体"/>
          <w:color w:val="auto"/>
          <w:sz w:val="24"/>
        </w:rPr>
      </w:pPr>
      <w:r>
        <w:rPr>
          <w:rFonts w:hint="eastAsia" w:eastAsia="宋体" w:cs="宋体"/>
          <w:color w:val="auto"/>
          <w:sz w:val="24"/>
        </w:rPr>
        <w:t>5.开展一次培训（培训人数不低于30人次）。</w:t>
      </w:r>
    </w:p>
    <w:p w14:paraId="40407BAA">
      <w:pPr>
        <w:pStyle w:val="17"/>
        <w:ind w:firstLine="480" w:firstLineChars="200"/>
        <w:rPr>
          <w:rFonts w:hint="eastAsia" w:eastAsia="宋体" w:cs="宋体"/>
          <w:color w:val="auto"/>
          <w:sz w:val="24"/>
        </w:rPr>
      </w:pPr>
      <w:r>
        <w:rPr>
          <w:rFonts w:hint="eastAsia" w:eastAsia="宋体" w:cs="宋体"/>
          <w:color w:val="auto"/>
          <w:sz w:val="24"/>
        </w:rPr>
        <w:t>6.对项目建设任务完成情况、相关物料使用情况、设计目标实现情况等进行跟踪核查和财务审计。</w:t>
      </w:r>
    </w:p>
    <w:p w14:paraId="70EE8354">
      <w:pPr>
        <w:pStyle w:val="17"/>
        <w:ind w:firstLine="480" w:firstLineChars="200"/>
        <w:rPr>
          <w:rFonts w:hint="eastAsia" w:eastAsia="宋体" w:cs="宋体"/>
          <w:color w:val="auto"/>
          <w:sz w:val="24"/>
        </w:rPr>
      </w:pPr>
      <w:r>
        <w:rPr>
          <w:rFonts w:hint="eastAsia" w:eastAsia="宋体" w:cs="宋体"/>
          <w:color w:val="auto"/>
          <w:sz w:val="24"/>
        </w:rPr>
        <w:t>三、实施要求</w:t>
      </w:r>
    </w:p>
    <w:p w14:paraId="7B981075">
      <w:pPr>
        <w:pStyle w:val="17"/>
        <w:ind w:firstLine="480" w:firstLineChars="200"/>
        <w:rPr>
          <w:rFonts w:hint="eastAsia" w:eastAsia="宋体" w:cs="宋体"/>
          <w:color w:val="auto"/>
          <w:sz w:val="24"/>
        </w:rPr>
      </w:pPr>
      <w:r>
        <w:rPr>
          <w:rFonts w:hint="eastAsia" w:eastAsia="宋体" w:cs="宋体"/>
          <w:color w:val="auto"/>
          <w:sz w:val="24"/>
        </w:rPr>
        <w:t>（一）回收实施主体。通过购买服务形式，招标选定第三方回收实施主体，统一落实设点、收集、处置等运作工作，按照定点回收—分类整理—归集转运—无害化处置流程进行。回收实施主体需及时将收集的农药包装废弃物与废旧农膜转运至废弃物处置单位，并做好转运台账。同时按相关程序委托生态环境部门认可具有资质的废弃物处置单位对收集打包的废弃物进行无害化处置，做好处置台账。</w:t>
      </w:r>
    </w:p>
    <w:p w14:paraId="75B4B81D">
      <w:pPr>
        <w:pStyle w:val="17"/>
        <w:ind w:firstLine="480" w:firstLineChars="200"/>
        <w:rPr>
          <w:rFonts w:hint="eastAsia" w:eastAsia="宋体" w:cs="宋体"/>
          <w:color w:val="auto"/>
          <w:sz w:val="24"/>
        </w:rPr>
      </w:pPr>
      <w:r>
        <w:rPr>
          <w:rFonts w:hint="eastAsia" w:eastAsia="宋体" w:cs="宋体"/>
          <w:color w:val="auto"/>
          <w:sz w:val="24"/>
        </w:rPr>
        <w:t>（二）基层回收点。基层回收点应设立农药包装废弃物与废旧农膜回收桶或集中回收箱，并按有关规定加强管理，不得露天堆放，远离水源、热源，具备防扬散、防流失、防渗漏、防火灾等安全措施。需设立醒目标识，摆放回收设施分类回收，开具回收付款凭证、建立回收台账。回收点建设费用根据每个站点的实际建设情况据实支付，回收点管理费用按照回收点实际建设费用的10% 进行支付。</w:t>
      </w:r>
    </w:p>
    <w:p w14:paraId="4F1D9539">
      <w:pPr>
        <w:pStyle w:val="17"/>
        <w:ind w:firstLine="480" w:firstLineChars="200"/>
        <w:rPr>
          <w:rFonts w:hint="eastAsia" w:eastAsia="宋体" w:cs="宋体"/>
          <w:color w:val="auto"/>
          <w:sz w:val="24"/>
        </w:rPr>
      </w:pPr>
      <w:r>
        <w:rPr>
          <w:rFonts w:hint="eastAsia" w:eastAsia="宋体" w:cs="宋体"/>
          <w:color w:val="auto"/>
          <w:sz w:val="24"/>
        </w:rPr>
        <w:t>（三）农药包装废弃物有偿收购。按照瓶、袋、支包装规格的不同，作价回收栖霞区范围内农药包装废弃物。回收指导价为：①农药塑料瓶（附标签）：大包装（1kg 以上，含）0.5 元/只，小包装（1kg 以下）0.2 元/只；②农药铝箔袋（附标签）：大包装（1kg以上，含）0.5元/只，小包装（1kg以下）0.1元/只；③农药针剂（附标签）0.1元/支；④没有标签的桶、瓶、袋不予计价。</w:t>
      </w:r>
    </w:p>
    <w:p w14:paraId="1FDB7130">
      <w:pPr>
        <w:pStyle w:val="17"/>
        <w:ind w:firstLine="480" w:firstLineChars="200"/>
        <w:rPr>
          <w:rFonts w:hint="eastAsia" w:eastAsia="宋体" w:cs="宋体"/>
          <w:color w:val="auto"/>
          <w:sz w:val="24"/>
        </w:rPr>
      </w:pPr>
      <w:r>
        <w:rPr>
          <w:rFonts w:hint="eastAsia" w:eastAsia="宋体" w:cs="宋体"/>
          <w:color w:val="auto"/>
          <w:sz w:val="24"/>
        </w:rPr>
        <w:t>（四）农药包装废弃物回收归集费标准。按有偿回收总额的45%比例补贴，含集中回收、打包费用等。</w:t>
      </w:r>
    </w:p>
    <w:p w14:paraId="02022983">
      <w:pPr>
        <w:pStyle w:val="17"/>
        <w:ind w:firstLine="480" w:firstLineChars="200"/>
        <w:rPr>
          <w:rFonts w:hint="eastAsia" w:eastAsia="宋体" w:cs="宋体"/>
          <w:color w:val="auto"/>
          <w:sz w:val="24"/>
        </w:rPr>
      </w:pPr>
      <w:r>
        <w:rPr>
          <w:rFonts w:hint="eastAsia" w:eastAsia="宋体" w:cs="宋体"/>
          <w:color w:val="auto"/>
          <w:sz w:val="24"/>
        </w:rPr>
        <w:t>（五）农药包装废弃物无害化处置费标准。由回收组织根据实际进度进行处置并支付相关费用。按相关程序委托生态环境部门认可具有资质的废弃物处置单位对收集打包的废弃物进行无害化处置，做好处置台账记录。</w:t>
      </w:r>
    </w:p>
    <w:p w14:paraId="1B0636CA">
      <w:pPr>
        <w:pStyle w:val="17"/>
        <w:ind w:firstLine="480" w:firstLineChars="200"/>
        <w:rPr>
          <w:rFonts w:hint="eastAsia" w:eastAsia="宋体" w:cs="宋体"/>
          <w:color w:val="auto"/>
          <w:sz w:val="24"/>
        </w:rPr>
      </w:pPr>
      <w:r>
        <w:rPr>
          <w:rFonts w:hint="eastAsia" w:eastAsia="宋体" w:cs="宋体"/>
          <w:color w:val="auto"/>
          <w:sz w:val="24"/>
        </w:rPr>
        <w:t>（六）废旧农膜费用标准。废旧农膜回收处置费为5.6元/kg（参照往年标准执行，含废旧农膜回收指导费1.6元/kg及处置费），由回收组织根据实际进度进行处置并支付相关费用，做好处置台账（包含往年未处置的废旧农膜回收）。</w:t>
      </w:r>
    </w:p>
    <w:p w14:paraId="5C96B4B2">
      <w:pPr>
        <w:pStyle w:val="17"/>
        <w:ind w:firstLine="480" w:firstLineChars="200"/>
        <w:rPr>
          <w:rFonts w:hint="eastAsia" w:eastAsia="宋体" w:cs="宋体"/>
          <w:color w:val="auto"/>
          <w:sz w:val="24"/>
        </w:rPr>
      </w:pPr>
      <w:r>
        <w:rPr>
          <w:rFonts w:hint="eastAsia" w:eastAsia="宋体" w:cs="宋体"/>
          <w:color w:val="auto"/>
          <w:sz w:val="24"/>
        </w:rPr>
        <w:t>（七）台账记录。加强农药包装废弃物与废旧农膜回收数量、转运归集、无害化处理等方面信息共享，收集、运输、处置等环节要建立台账制度，台账要清晰完整且保存两年以上。</w:t>
      </w:r>
    </w:p>
    <w:p w14:paraId="2DD2BA6E">
      <w:pPr>
        <w:pStyle w:val="17"/>
        <w:ind w:firstLine="480" w:firstLineChars="200"/>
        <w:rPr>
          <w:rFonts w:hint="eastAsia" w:eastAsia="宋体" w:cs="宋体"/>
          <w:color w:val="auto"/>
          <w:sz w:val="24"/>
        </w:rPr>
      </w:pPr>
      <w:r>
        <w:rPr>
          <w:rFonts w:hint="eastAsia" w:eastAsia="宋体" w:cs="宋体"/>
          <w:color w:val="auto"/>
          <w:sz w:val="24"/>
        </w:rPr>
        <w:t>（八）其他要求。回收主体必须回收栖霞区内的瓶、袋、支等不同包装规格农药包装废弃物与废旧农膜，严禁收购栖霞区外或本辖区非农药包装废弃物与废旧农膜混杂充数，一经查实，取消回收主体资格，收回财政资金。</w:t>
      </w:r>
    </w:p>
    <w:p w14:paraId="4945F36A">
      <w:pPr>
        <w:spacing w:line="520" w:lineRule="exact"/>
        <w:ind w:firstLine="480" w:firstLineChars="200"/>
        <w:rPr>
          <w:rFonts w:hint="eastAsia" w:ascii="宋体" w:hAnsi="宋体" w:eastAsia="宋体" w:cs="宋体"/>
          <w:color w:val="auto"/>
          <w:sz w:val="24"/>
        </w:rPr>
      </w:pPr>
      <w:bookmarkStart w:id="8" w:name="page19"/>
      <w:bookmarkEnd w:id="8"/>
      <w:r>
        <w:rPr>
          <w:rFonts w:hint="eastAsia" w:ascii="宋体" w:hAnsi="宋体" w:eastAsia="宋体" w:cs="宋体"/>
          <w:color w:val="auto"/>
          <w:sz w:val="24"/>
        </w:rPr>
        <w:t>四、经费预算</w:t>
      </w:r>
    </w:p>
    <w:p w14:paraId="6BFFDA0D">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（一）资金分配</w:t>
      </w:r>
    </w:p>
    <w:tbl>
      <w:tblPr>
        <w:tblStyle w:val="40"/>
        <w:tblW w:w="10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029"/>
        <w:gridCol w:w="5834"/>
      </w:tblGrid>
      <w:tr w14:paraId="778E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Align w:val="center"/>
          </w:tcPr>
          <w:p w14:paraId="61523FF9">
            <w:pPr>
              <w:jc w:val="center"/>
              <w:rPr>
                <w:rFonts w:hint="eastAsia" w:ascii="宋体" w:hAnsi="宋体" w:eastAsia="宋体" w:cs="宋体"/>
                <w:color w:val="auto"/>
                <w:sz w:val="24"/>
              </w:rPr>
            </w:pPr>
            <w:r>
              <w:rPr>
                <w:rFonts w:hint="eastAsia" w:ascii="宋体" w:hAnsi="宋体" w:eastAsia="宋体" w:cs="宋体"/>
                <w:color w:val="auto"/>
                <w:sz w:val="24"/>
              </w:rPr>
              <w:t>实施内容</w:t>
            </w:r>
          </w:p>
        </w:tc>
        <w:tc>
          <w:tcPr>
            <w:tcW w:w="2029" w:type="dxa"/>
            <w:vAlign w:val="center"/>
          </w:tcPr>
          <w:p w14:paraId="1492D0CD">
            <w:pPr>
              <w:jc w:val="center"/>
              <w:rPr>
                <w:rFonts w:hint="eastAsia" w:ascii="宋体" w:hAnsi="宋体" w:eastAsia="宋体" w:cs="宋体"/>
                <w:color w:val="auto"/>
                <w:sz w:val="24"/>
              </w:rPr>
            </w:pPr>
            <w:r>
              <w:rPr>
                <w:rFonts w:hint="eastAsia" w:ascii="宋体" w:hAnsi="宋体" w:eastAsia="宋体" w:cs="宋体"/>
                <w:color w:val="auto"/>
                <w:sz w:val="24"/>
              </w:rPr>
              <w:t>市级财政补助资金（万元）</w:t>
            </w:r>
          </w:p>
        </w:tc>
        <w:tc>
          <w:tcPr>
            <w:tcW w:w="5834" w:type="dxa"/>
            <w:vAlign w:val="center"/>
          </w:tcPr>
          <w:p w14:paraId="7405691C">
            <w:pPr>
              <w:jc w:val="center"/>
              <w:rPr>
                <w:rFonts w:hint="eastAsia" w:ascii="宋体" w:hAnsi="宋体" w:eastAsia="宋体" w:cs="宋体"/>
                <w:color w:val="auto"/>
                <w:sz w:val="24"/>
              </w:rPr>
            </w:pPr>
            <w:r>
              <w:rPr>
                <w:rFonts w:hint="eastAsia" w:ascii="宋体" w:hAnsi="宋体" w:eastAsia="宋体" w:cs="宋体"/>
                <w:color w:val="auto"/>
                <w:sz w:val="24"/>
              </w:rPr>
              <w:t>备注</w:t>
            </w:r>
          </w:p>
        </w:tc>
      </w:tr>
      <w:tr w14:paraId="2273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Align w:val="center"/>
          </w:tcPr>
          <w:p w14:paraId="27A7887D">
            <w:pPr>
              <w:jc w:val="center"/>
              <w:rPr>
                <w:rFonts w:hint="eastAsia" w:ascii="宋体" w:hAnsi="宋体" w:eastAsia="宋体" w:cs="宋体"/>
                <w:color w:val="auto"/>
                <w:sz w:val="24"/>
              </w:rPr>
            </w:pPr>
            <w:r>
              <w:rPr>
                <w:rFonts w:hint="eastAsia" w:ascii="宋体" w:hAnsi="宋体" w:eastAsia="宋体" w:cs="宋体"/>
                <w:color w:val="auto"/>
                <w:sz w:val="24"/>
              </w:rPr>
              <w:t>农药包装废弃物与站点建设费用</w:t>
            </w:r>
          </w:p>
        </w:tc>
        <w:tc>
          <w:tcPr>
            <w:tcW w:w="2029" w:type="dxa"/>
            <w:vAlign w:val="center"/>
          </w:tcPr>
          <w:p w14:paraId="30C925C8">
            <w:pPr>
              <w:jc w:val="center"/>
              <w:rPr>
                <w:rFonts w:hint="eastAsia" w:ascii="宋体" w:hAnsi="宋体" w:eastAsia="宋体" w:cs="宋体"/>
                <w:color w:val="auto"/>
                <w:sz w:val="24"/>
              </w:rPr>
            </w:pPr>
            <w:r>
              <w:rPr>
                <w:rFonts w:hint="eastAsia" w:ascii="宋体" w:hAnsi="宋体" w:eastAsia="宋体" w:cs="宋体"/>
                <w:color w:val="auto"/>
                <w:sz w:val="24"/>
              </w:rPr>
              <w:t>55.00</w:t>
            </w:r>
          </w:p>
        </w:tc>
        <w:tc>
          <w:tcPr>
            <w:tcW w:w="5834" w:type="dxa"/>
            <w:vAlign w:val="center"/>
          </w:tcPr>
          <w:p w14:paraId="724C646C">
            <w:pPr>
              <w:rPr>
                <w:rFonts w:hint="eastAsia" w:ascii="宋体" w:hAnsi="宋体" w:eastAsia="宋体" w:cs="宋体"/>
                <w:color w:val="auto"/>
                <w:sz w:val="24"/>
              </w:rPr>
            </w:pPr>
            <w:r>
              <w:rPr>
                <w:rFonts w:hint="eastAsia" w:ascii="宋体" w:hAnsi="宋体" w:eastAsia="宋体" w:cs="宋体"/>
                <w:color w:val="auto"/>
                <w:sz w:val="24"/>
              </w:rPr>
              <w:t>主要用于农药包装废弃物有偿回收、回收点建设及相关设施设备租赁费、回收点管理费、农药包装废弃物回收归集费（含集中回收打包、运输费等）、农药包装废弃物无害化处置费、培训与宣传费等。</w:t>
            </w:r>
          </w:p>
        </w:tc>
      </w:tr>
      <w:tr w14:paraId="3EA1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Align w:val="center"/>
          </w:tcPr>
          <w:p w14:paraId="26A72354">
            <w:pPr>
              <w:rPr>
                <w:rFonts w:hint="eastAsia" w:ascii="宋体" w:hAnsi="宋体" w:eastAsia="宋体" w:cs="宋体"/>
                <w:color w:val="auto"/>
                <w:sz w:val="24"/>
              </w:rPr>
            </w:pPr>
            <w:r>
              <w:rPr>
                <w:rFonts w:hint="eastAsia" w:ascii="宋体" w:hAnsi="宋体" w:eastAsia="宋体" w:cs="宋体"/>
                <w:color w:val="auto"/>
                <w:sz w:val="24"/>
              </w:rPr>
              <w:t>废旧农膜回收处置</w:t>
            </w:r>
          </w:p>
        </w:tc>
        <w:tc>
          <w:tcPr>
            <w:tcW w:w="2029" w:type="dxa"/>
            <w:vAlign w:val="center"/>
          </w:tcPr>
          <w:p w14:paraId="7A390CB4">
            <w:pPr>
              <w:jc w:val="center"/>
              <w:rPr>
                <w:rFonts w:hint="eastAsia" w:ascii="宋体" w:hAnsi="宋体" w:eastAsia="宋体" w:cs="宋体"/>
                <w:color w:val="auto"/>
                <w:sz w:val="24"/>
              </w:rPr>
            </w:pPr>
            <w:r>
              <w:rPr>
                <w:rFonts w:hint="eastAsia" w:ascii="宋体" w:hAnsi="宋体" w:eastAsia="宋体" w:cs="宋体"/>
                <w:color w:val="auto"/>
                <w:sz w:val="24"/>
              </w:rPr>
              <w:t>40.00</w:t>
            </w:r>
          </w:p>
        </w:tc>
        <w:tc>
          <w:tcPr>
            <w:tcW w:w="5834" w:type="dxa"/>
            <w:vAlign w:val="center"/>
          </w:tcPr>
          <w:p w14:paraId="3B6C8FEE">
            <w:pPr>
              <w:rPr>
                <w:rFonts w:hint="eastAsia" w:ascii="宋体" w:hAnsi="宋体" w:eastAsia="宋体" w:cs="宋体"/>
                <w:color w:val="auto"/>
                <w:sz w:val="24"/>
              </w:rPr>
            </w:pPr>
            <w:r>
              <w:rPr>
                <w:rFonts w:hint="eastAsia" w:ascii="宋体" w:hAnsi="宋体" w:eastAsia="宋体" w:cs="宋体"/>
                <w:color w:val="auto"/>
                <w:sz w:val="24"/>
              </w:rPr>
              <w:t>废旧农膜处置费</w:t>
            </w:r>
          </w:p>
        </w:tc>
      </w:tr>
      <w:tr w14:paraId="5780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Align w:val="center"/>
          </w:tcPr>
          <w:p w14:paraId="7EA85892">
            <w:pPr>
              <w:jc w:val="center"/>
              <w:rPr>
                <w:rFonts w:hint="eastAsia" w:ascii="宋体" w:hAnsi="宋体" w:eastAsia="宋体" w:cs="宋体"/>
                <w:color w:val="auto"/>
                <w:sz w:val="24"/>
              </w:rPr>
            </w:pPr>
            <w:r>
              <w:rPr>
                <w:rFonts w:hint="eastAsia" w:ascii="宋体" w:hAnsi="宋体" w:eastAsia="宋体" w:cs="宋体"/>
                <w:color w:val="auto"/>
                <w:sz w:val="24"/>
              </w:rPr>
              <w:t>合计（万元）</w:t>
            </w:r>
          </w:p>
        </w:tc>
        <w:tc>
          <w:tcPr>
            <w:tcW w:w="2029" w:type="dxa"/>
            <w:vAlign w:val="center"/>
          </w:tcPr>
          <w:p w14:paraId="6F892999">
            <w:pPr>
              <w:jc w:val="center"/>
              <w:rPr>
                <w:rFonts w:hint="eastAsia" w:ascii="宋体" w:hAnsi="宋体" w:eastAsia="宋体" w:cs="宋体"/>
                <w:color w:val="auto"/>
                <w:sz w:val="24"/>
              </w:rPr>
            </w:pPr>
            <w:r>
              <w:rPr>
                <w:rFonts w:hint="eastAsia" w:ascii="宋体" w:hAnsi="宋体" w:eastAsia="宋体" w:cs="宋体"/>
                <w:color w:val="auto"/>
                <w:sz w:val="24"/>
              </w:rPr>
              <w:t>95.00</w:t>
            </w:r>
          </w:p>
        </w:tc>
        <w:tc>
          <w:tcPr>
            <w:tcW w:w="5834" w:type="dxa"/>
            <w:vAlign w:val="center"/>
          </w:tcPr>
          <w:p w14:paraId="69F4267A">
            <w:pPr>
              <w:jc w:val="center"/>
              <w:rPr>
                <w:rFonts w:hint="eastAsia" w:ascii="宋体" w:hAnsi="宋体" w:eastAsia="宋体" w:cs="宋体"/>
                <w:color w:val="auto"/>
                <w:sz w:val="24"/>
              </w:rPr>
            </w:pPr>
          </w:p>
        </w:tc>
      </w:tr>
    </w:tbl>
    <w:p w14:paraId="72838A15">
      <w:pPr>
        <w:spacing w:line="520" w:lineRule="exact"/>
        <w:ind w:firstLine="480" w:firstLineChars="200"/>
        <w:rPr>
          <w:rFonts w:hint="eastAsia" w:ascii="宋体" w:hAnsi="宋体" w:eastAsia="宋体" w:cs="宋体"/>
          <w:color w:val="auto"/>
          <w:sz w:val="24"/>
        </w:rPr>
      </w:pPr>
    </w:p>
    <w:p w14:paraId="02F86B01">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实施主体确立及资金操作方法。项目回收组织主体按政府购买服务的相关程序确立，确定回收组织主体后，及时签订合同，由回收组织主体统一支付相关费用等；我区将委托第三方中介机构对项目实施全程跟踪核查审计，根据审计和验收结果拨付项目资金，所有结余资金收回财政。</w:t>
      </w:r>
    </w:p>
    <w:p w14:paraId="7DDF73CD">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五、实施进度</w:t>
      </w:r>
    </w:p>
    <w:p w14:paraId="722ACAEA">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本项目实施期限自合同签订之日起2027年11月，实施进度安排如下： </w:t>
      </w:r>
    </w:p>
    <w:p w14:paraId="6A6B850A">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2026年10月—1</w:t>
      </w:r>
      <w:r>
        <w:rPr>
          <w:rFonts w:hint="eastAsia" w:ascii="宋体" w:hAnsi="宋体" w:eastAsia="宋体" w:cs="宋体"/>
          <w:color w:val="auto"/>
          <w:sz w:val="24"/>
          <w:lang w:val="en-US" w:eastAsia="zh-CN"/>
        </w:rPr>
        <w:t>1</w:t>
      </w:r>
      <w:r>
        <w:rPr>
          <w:rFonts w:hint="eastAsia" w:ascii="宋体" w:hAnsi="宋体" w:eastAsia="宋体" w:cs="宋体"/>
          <w:color w:val="auto"/>
          <w:sz w:val="24"/>
        </w:rPr>
        <w:t>月：制定项目方案报局</w:t>
      </w:r>
      <w:r>
        <w:rPr>
          <w:rFonts w:hint="eastAsia" w:ascii="宋体" w:hAnsi="宋体" w:eastAsia="宋体" w:cs="宋体"/>
          <w:color w:val="auto"/>
          <w:sz w:val="24"/>
          <w:lang w:eastAsia="zh-CN"/>
        </w:rPr>
        <w:t>党组会</w:t>
      </w:r>
      <w:r>
        <w:rPr>
          <w:rFonts w:hint="eastAsia" w:ascii="宋体" w:hAnsi="宋体" w:eastAsia="宋体" w:cs="宋体"/>
          <w:color w:val="auto"/>
          <w:sz w:val="24"/>
        </w:rPr>
        <w:t>认可。</w:t>
      </w:r>
    </w:p>
    <w:p w14:paraId="6189E9D3">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202</w:t>
      </w:r>
      <w:r>
        <w:rPr>
          <w:rFonts w:hint="eastAsia" w:ascii="宋体" w:hAnsi="宋体" w:eastAsia="宋体" w:cs="宋体"/>
          <w:color w:val="auto"/>
          <w:sz w:val="24"/>
          <w:lang w:val="en-US" w:eastAsia="zh-CN"/>
        </w:rPr>
        <w:t>6</w:t>
      </w:r>
      <w:r>
        <w:rPr>
          <w:rFonts w:hint="eastAsia" w:ascii="宋体" w:hAnsi="宋体" w:eastAsia="宋体" w:cs="宋体"/>
          <w:color w:val="auto"/>
          <w:sz w:val="24"/>
        </w:rPr>
        <w:t>年</w:t>
      </w:r>
      <w:r>
        <w:rPr>
          <w:rFonts w:hint="eastAsia" w:ascii="宋体" w:hAnsi="宋体" w:eastAsia="宋体" w:cs="宋体"/>
          <w:color w:val="auto"/>
          <w:sz w:val="24"/>
          <w:lang w:val="en-US" w:eastAsia="zh-CN"/>
        </w:rPr>
        <w:t>12</w:t>
      </w:r>
      <w:r>
        <w:rPr>
          <w:rFonts w:hint="eastAsia" w:ascii="宋体" w:hAnsi="宋体" w:eastAsia="宋体" w:cs="宋体"/>
          <w:color w:val="auto"/>
          <w:sz w:val="24"/>
        </w:rPr>
        <w:t>月—202</w:t>
      </w:r>
      <w:r>
        <w:rPr>
          <w:rFonts w:hint="eastAsia" w:ascii="宋体" w:hAnsi="宋体" w:eastAsia="宋体" w:cs="宋体"/>
          <w:color w:val="auto"/>
          <w:sz w:val="24"/>
          <w:lang w:val="en-US" w:eastAsia="zh-CN"/>
        </w:rPr>
        <w:t>7</w:t>
      </w:r>
      <w:r>
        <w:rPr>
          <w:rFonts w:hint="eastAsia" w:ascii="宋体" w:hAnsi="宋体" w:eastAsia="宋体" w:cs="宋体"/>
          <w:color w:val="auto"/>
          <w:sz w:val="24"/>
        </w:rPr>
        <w:t>年11月：开展“2027年南京市栖霞区农药包装废弃物与废旧农膜回收处置”工作；开展全项目跟踪审计，阶段支付资金；开展培训；开展审计、验收，整理项目档案，完成工作总结。</w:t>
      </w:r>
    </w:p>
    <w:p w14:paraId="1EBCF2A9">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六、项目实施成效</w:t>
      </w:r>
    </w:p>
    <w:p w14:paraId="077B288C">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1.涉农乡镇农药包装废弃物回收全覆盖，无害化处理率100%。</w:t>
      </w:r>
    </w:p>
    <w:p w14:paraId="1D025A88">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2.废旧农膜回收率大于等于 90%。</w:t>
      </w:r>
    </w:p>
    <w:p w14:paraId="5ECB9CA6">
      <w:pPr>
        <w:spacing w:line="360" w:lineRule="auto"/>
        <w:ind w:firstLine="440"/>
        <w:rPr>
          <w:rFonts w:hint="eastAsia" w:ascii="宋体" w:hAnsi="宋体" w:eastAsia="宋体" w:cs="宋体"/>
          <w:color w:val="auto"/>
          <w:sz w:val="24"/>
        </w:rPr>
      </w:pPr>
      <w:r>
        <w:rPr>
          <w:rFonts w:hint="eastAsia" w:ascii="宋体" w:hAnsi="宋体" w:eastAsia="宋体" w:cs="宋体"/>
          <w:color w:val="auto"/>
          <w:sz w:val="24"/>
        </w:rPr>
        <w:t>七、支付条款</w:t>
      </w:r>
    </w:p>
    <w:p w14:paraId="66894056">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合同签订后甲方预支付项目中标价的30%至乙方，</w:t>
      </w:r>
      <w:r>
        <w:rPr>
          <w:rFonts w:hint="eastAsia" w:ascii="宋体" w:hAnsi="宋体" w:eastAsia="宋体" w:cs="宋体"/>
          <w:color w:val="auto"/>
          <w:sz w:val="24"/>
          <w:lang w:val="en-US" w:eastAsia="zh-CN"/>
        </w:rPr>
        <w:t>2026年12月</w:t>
      </w:r>
      <w:r>
        <w:rPr>
          <w:rFonts w:hint="eastAsia" w:ascii="宋体" w:hAnsi="宋体" w:eastAsia="宋体" w:cs="宋体"/>
          <w:color w:val="auto"/>
          <w:sz w:val="24"/>
        </w:rPr>
        <w:t>—2027年11月每季度末可以提交结算材料分批结算，结算材料包含结算申请、跟踪审计阶段报告、回收和处置台账、发票。剩余款项项目结束、验收后支付。收到结算材料后30个工作日内支付。</w:t>
      </w:r>
    </w:p>
    <w:p w14:paraId="14BF942C">
      <w:pPr>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注：回收期内完成绩效才能全额结算资金。</w:t>
      </w:r>
      <w:bookmarkStart w:id="9" w:name="OLE_LINK10"/>
      <w:r>
        <w:rPr>
          <w:rFonts w:hint="eastAsia" w:ascii="宋体" w:hAnsi="宋体" w:eastAsia="宋体" w:cs="宋体"/>
          <w:color w:val="auto"/>
          <w:sz w:val="24"/>
        </w:rPr>
        <w:t>乙方收款时须向甲方提供正式发票。</w:t>
      </w:r>
      <w:bookmarkEnd w:id="9"/>
    </w:p>
    <w:p w14:paraId="060A88ED">
      <w:pPr>
        <w:spacing w:line="520" w:lineRule="exact"/>
        <w:ind w:firstLine="480" w:firstLineChars="200"/>
        <w:rPr>
          <w:rFonts w:hint="eastAsia" w:ascii="宋体" w:hAnsi="宋体" w:eastAsia="宋体" w:cs="宋体"/>
          <w:color w:val="auto"/>
          <w:sz w:val="24"/>
        </w:rPr>
      </w:pPr>
    </w:p>
    <w:p w14:paraId="435A6FAA">
      <w:pPr>
        <w:spacing w:line="312" w:lineRule="auto"/>
        <w:rPr>
          <w:rFonts w:hint="eastAsia" w:ascii="宋体" w:hAnsi="宋体" w:eastAsia="宋体" w:cs="宋体"/>
          <w:b/>
          <w:color w:val="auto"/>
          <w:sz w:val="40"/>
          <w:szCs w:val="40"/>
        </w:rPr>
      </w:pPr>
      <w:r>
        <w:rPr>
          <w:rFonts w:hint="eastAsia" w:ascii="宋体" w:hAnsi="宋体" w:eastAsia="宋体" w:cs="宋体"/>
          <w:b/>
          <w:color w:val="auto"/>
          <w:sz w:val="40"/>
          <w:szCs w:val="40"/>
        </w:rPr>
        <w:br w:type="page"/>
      </w:r>
    </w:p>
    <w:p w14:paraId="348BE5E6">
      <w:pPr>
        <w:numPr>
          <w:ilvl w:val="0"/>
          <w:numId w:val="8"/>
        </w:numPr>
        <w:jc w:val="center"/>
        <w:rPr>
          <w:rFonts w:hint="eastAsia" w:ascii="宋体" w:hAnsi="宋体" w:eastAsia="宋体" w:cs="宋体"/>
          <w:b/>
          <w:color w:val="auto"/>
          <w:sz w:val="40"/>
          <w:szCs w:val="40"/>
        </w:rPr>
      </w:pPr>
      <w:r>
        <w:rPr>
          <w:rFonts w:hint="eastAsia" w:ascii="宋体" w:hAnsi="宋体" w:eastAsia="宋体" w:cs="宋体"/>
          <w:b/>
          <w:color w:val="auto"/>
          <w:sz w:val="40"/>
          <w:szCs w:val="40"/>
        </w:rPr>
        <w:t>合同主要条款及格式</w:t>
      </w:r>
    </w:p>
    <w:p w14:paraId="1D4BF073">
      <w:pPr>
        <w:spacing w:line="0" w:lineRule="atLeast"/>
        <w:jc w:val="center"/>
        <w:rPr>
          <w:rFonts w:hint="eastAsia" w:ascii="宋体" w:hAnsi="宋体" w:eastAsia="宋体" w:cs="宋体"/>
          <w:color w:val="auto"/>
          <w:sz w:val="52"/>
          <w:szCs w:val="52"/>
        </w:rPr>
      </w:pPr>
    </w:p>
    <w:p w14:paraId="3B0431A5">
      <w:pPr>
        <w:spacing w:after="120"/>
        <w:rPr>
          <w:rFonts w:hint="eastAsia" w:ascii="宋体" w:hAnsi="宋体" w:eastAsia="宋体" w:cs="宋体"/>
          <w:color w:val="auto"/>
          <w:sz w:val="24"/>
        </w:rPr>
      </w:pPr>
    </w:p>
    <w:p w14:paraId="650A797B">
      <w:pPr>
        <w:pStyle w:val="15"/>
        <w:rPr>
          <w:rFonts w:hint="eastAsia" w:ascii="宋体" w:hAnsi="宋体" w:eastAsia="宋体" w:cs="宋体"/>
          <w:color w:val="auto"/>
        </w:rPr>
      </w:pPr>
    </w:p>
    <w:p w14:paraId="72DBEC01">
      <w:pPr>
        <w:rPr>
          <w:rFonts w:hint="eastAsia" w:ascii="宋体" w:hAnsi="宋体" w:eastAsia="宋体" w:cs="宋体"/>
          <w:color w:val="auto"/>
        </w:rPr>
      </w:pPr>
    </w:p>
    <w:p w14:paraId="7EA302FA">
      <w:pPr>
        <w:spacing w:after="120"/>
        <w:rPr>
          <w:rFonts w:hint="eastAsia" w:ascii="宋体" w:hAnsi="宋体" w:eastAsia="宋体" w:cs="宋体"/>
          <w:color w:val="auto"/>
          <w:sz w:val="24"/>
        </w:rPr>
      </w:pPr>
    </w:p>
    <w:p w14:paraId="54A28D5A">
      <w:pPr>
        <w:adjustRightInd w:val="0"/>
        <w:snapToGrid w:val="0"/>
        <w:spacing w:line="360" w:lineRule="auto"/>
        <w:jc w:val="center"/>
        <w:rPr>
          <w:rFonts w:hint="eastAsia" w:ascii="宋体" w:hAnsi="宋体" w:eastAsia="宋体" w:cs="宋体"/>
          <w:color w:val="auto"/>
        </w:rPr>
      </w:pPr>
      <w:r>
        <w:rPr>
          <w:rFonts w:hint="eastAsia" w:ascii="宋体" w:hAnsi="宋体" w:eastAsia="宋体" w:cs="宋体"/>
          <w:color w:val="auto"/>
          <w:sz w:val="52"/>
          <w:szCs w:val="52"/>
        </w:rPr>
        <w:t>服 务 合 同</w:t>
      </w:r>
    </w:p>
    <w:p w14:paraId="7B068076">
      <w:pPr>
        <w:spacing w:line="200" w:lineRule="exact"/>
        <w:rPr>
          <w:rFonts w:hint="eastAsia" w:ascii="宋体" w:hAnsi="宋体" w:eastAsia="宋体" w:cs="宋体"/>
          <w:color w:val="auto"/>
        </w:rPr>
      </w:pPr>
    </w:p>
    <w:p w14:paraId="365B9203">
      <w:pPr>
        <w:spacing w:line="200" w:lineRule="exact"/>
        <w:rPr>
          <w:rFonts w:hint="eastAsia" w:ascii="宋体" w:hAnsi="宋体" w:eastAsia="宋体" w:cs="宋体"/>
          <w:color w:val="auto"/>
        </w:rPr>
      </w:pPr>
    </w:p>
    <w:p w14:paraId="10CB8F9F">
      <w:pPr>
        <w:spacing w:line="360" w:lineRule="auto"/>
        <w:rPr>
          <w:rFonts w:hint="eastAsia" w:ascii="宋体" w:hAnsi="宋体" w:eastAsia="宋体" w:cs="宋体"/>
          <w:color w:val="auto"/>
          <w:sz w:val="24"/>
        </w:rPr>
      </w:pPr>
    </w:p>
    <w:p w14:paraId="4FD279DD">
      <w:pPr>
        <w:spacing w:line="200" w:lineRule="exact"/>
        <w:rPr>
          <w:rFonts w:hint="eastAsia" w:ascii="宋体" w:hAnsi="宋体" w:eastAsia="宋体" w:cs="宋体"/>
          <w:color w:val="auto"/>
        </w:rPr>
      </w:pPr>
    </w:p>
    <w:p w14:paraId="104E8689">
      <w:pPr>
        <w:spacing w:line="200" w:lineRule="exact"/>
        <w:rPr>
          <w:rFonts w:hint="eastAsia" w:ascii="宋体" w:hAnsi="宋体" w:eastAsia="宋体" w:cs="宋体"/>
          <w:color w:val="auto"/>
        </w:rPr>
      </w:pPr>
    </w:p>
    <w:p w14:paraId="67972074">
      <w:pPr>
        <w:ind w:firstLine="1807"/>
        <w:rPr>
          <w:rFonts w:hint="eastAsia" w:ascii="宋体" w:hAnsi="宋体" w:eastAsia="宋体" w:cs="宋体"/>
          <w:b/>
          <w:bCs/>
          <w:color w:val="auto"/>
          <w:sz w:val="36"/>
          <w:szCs w:val="36"/>
        </w:rPr>
      </w:pPr>
    </w:p>
    <w:p w14:paraId="56CC47C3">
      <w:pPr>
        <w:spacing w:line="360" w:lineRule="auto"/>
        <w:ind w:firstLine="1803"/>
        <w:rPr>
          <w:rFonts w:hint="eastAsia" w:ascii="宋体" w:hAnsi="宋体" w:eastAsia="宋体" w:cs="宋体"/>
          <w:color w:val="auto"/>
          <w:sz w:val="36"/>
          <w:szCs w:val="36"/>
        </w:rPr>
      </w:pPr>
      <w:r>
        <w:rPr>
          <w:rFonts w:hint="eastAsia" w:ascii="宋体" w:hAnsi="宋体" w:eastAsia="宋体" w:cs="宋体"/>
          <w:color w:val="auto"/>
          <w:sz w:val="36"/>
          <w:szCs w:val="36"/>
        </w:rPr>
        <w:t>项目名称：</w:t>
      </w:r>
    </w:p>
    <w:p w14:paraId="5DF1A641">
      <w:pPr>
        <w:spacing w:line="360" w:lineRule="auto"/>
        <w:ind w:firstLine="1803"/>
        <w:rPr>
          <w:rFonts w:hint="eastAsia" w:ascii="宋体" w:hAnsi="宋体" w:eastAsia="宋体" w:cs="宋体"/>
          <w:color w:val="auto"/>
          <w:sz w:val="36"/>
          <w:szCs w:val="36"/>
        </w:rPr>
      </w:pPr>
      <w:r>
        <w:rPr>
          <w:rFonts w:hint="eastAsia" w:ascii="宋体" w:hAnsi="宋体" w:eastAsia="宋体" w:cs="宋体"/>
          <w:color w:val="auto"/>
          <w:sz w:val="36"/>
          <w:szCs w:val="36"/>
        </w:rPr>
        <w:t>使用单位：</w:t>
      </w:r>
    </w:p>
    <w:p w14:paraId="54167459">
      <w:pPr>
        <w:spacing w:line="360" w:lineRule="auto"/>
        <w:ind w:firstLine="1803"/>
        <w:rPr>
          <w:rFonts w:hint="eastAsia" w:ascii="宋体" w:hAnsi="宋体" w:eastAsia="宋体" w:cs="宋体"/>
          <w:color w:val="auto"/>
          <w:sz w:val="36"/>
          <w:szCs w:val="36"/>
        </w:rPr>
      </w:pPr>
      <w:r>
        <w:rPr>
          <w:rFonts w:hint="eastAsia" w:ascii="宋体" w:hAnsi="宋体" w:eastAsia="宋体" w:cs="宋体"/>
          <w:color w:val="auto"/>
          <w:sz w:val="36"/>
          <w:szCs w:val="36"/>
        </w:rPr>
        <w:t>服务单位：</w:t>
      </w:r>
    </w:p>
    <w:p w14:paraId="36AFB8FE">
      <w:pPr>
        <w:spacing w:line="360" w:lineRule="auto"/>
        <w:ind w:firstLine="1803"/>
        <w:rPr>
          <w:rFonts w:hint="eastAsia" w:ascii="宋体" w:hAnsi="宋体" w:eastAsia="宋体" w:cs="宋体"/>
          <w:color w:val="auto"/>
          <w:sz w:val="36"/>
          <w:szCs w:val="36"/>
        </w:rPr>
      </w:pPr>
      <w:r>
        <w:rPr>
          <w:rFonts w:hint="eastAsia" w:ascii="宋体" w:hAnsi="宋体" w:eastAsia="宋体" w:cs="宋体"/>
          <w:color w:val="auto"/>
          <w:sz w:val="36"/>
          <w:szCs w:val="36"/>
        </w:rPr>
        <w:t>签订日期：</w:t>
      </w:r>
    </w:p>
    <w:p w14:paraId="06EDCDBF">
      <w:pPr>
        <w:rPr>
          <w:rFonts w:hint="eastAsia" w:ascii="宋体" w:hAnsi="宋体" w:eastAsia="宋体" w:cs="宋体"/>
          <w:color w:val="auto"/>
          <w:sz w:val="36"/>
          <w:szCs w:val="36"/>
        </w:rPr>
      </w:pPr>
    </w:p>
    <w:p w14:paraId="682EA42C">
      <w:pPr>
        <w:rPr>
          <w:rFonts w:hint="eastAsia" w:ascii="宋体" w:hAnsi="宋体" w:eastAsia="宋体" w:cs="宋体"/>
          <w:color w:val="auto"/>
          <w:sz w:val="36"/>
          <w:szCs w:val="36"/>
        </w:rPr>
      </w:pPr>
    </w:p>
    <w:p w14:paraId="4B675966">
      <w:pPr>
        <w:spacing w:after="120"/>
        <w:rPr>
          <w:rFonts w:hint="eastAsia" w:ascii="宋体" w:hAnsi="宋体" w:eastAsia="宋体" w:cs="宋体"/>
          <w:color w:val="auto"/>
          <w:sz w:val="36"/>
          <w:szCs w:val="36"/>
        </w:rPr>
      </w:pPr>
    </w:p>
    <w:p w14:paraId="18C3727A">
      <w:pPr>
        <w:rPr>
          <w:rFonts w:hint="eastAsia" w:ascii="宋体" w:hAnsi="宋体" w:eastAsia="宋体" w:cs="宋体"/>
          <w:color w:val="auto"/>
          <w:sz w:val="36"/>
          <w:szCs w:val="36"/>
        </w:rPr>
      </w:pPr>
    </w:p>
    <w:p w14:paraId="2524BA7C">
      <w:pPr>
        <w:spacing w:line="360" w:lineRule="auto"/>
        <w:rPr>
          <w:rFonts w:hint="eastAsia" w:ascii="宋体" w:hAnsi="宋体" w:eastAsia="宋体" w:cs="宋体"/>
          <w:color w:val="auto"/>
          <w:sz w:val="24"/>
          <w:lang w:val="zh-CN"/>
        </w:rPr>
      </w:pPr>
    </w:p>
    <w:p w14:paraId="1935BCF0">
      <w:pPr>
        <w:spacing w:line="360" w:lineRule="auto"/>
        <w:rPr>
          <w:rFonts w:hint="eastAsia" w:ascii="宋体" w:hAnsi="宋体" w:eastAsia="宋体" w:cs="宋体"/>
          <w:color w:val="auto"/>
          <w:sz w:val="24"/>
          <w:lang w:val="zh-CN"/>
        </w:rPr>
      </w:pPr>
    </w:p>
    <w:p w14:paraId="75A2ACD1">
      <w:pPr>
        <w:spacing w:line="360" w:lineRule="auto"/>
        <w:rPr>
          <w:rFonts w:hint="eastAsia" w:ascii="宋体" w:hAnsi="宋体" w:eastAsia="宋体" w:cs="宋体"/>
          <w:color w:val="auto"/>
          <w:sz w:val="24"/>
          <w:lang w:val="zh-CN"/>
        </w:rPr>
      </w:pPr>
    </w:p>
    <w:p w14:paraId="7FABF12B">
      <w:pPr>
        <w:rPr>
          <w:rFonts w:hint="eastAsia" w:ascii="宋体" w:hAnsi="宋体" w:eastAsia="宋体" w:cs="宋体"/>
          <w:color w:val="auto"/>
          <w:sz w:val="24"/>
        </w:rPr>
      </w:pPr>
      <w:r>
        <w:rPr>
          <w:rFonts w:hint="eastAsia" w:ascii="宋体" w:hAnsi="宋体" w:eastAsia="宋体" w:cs="宋体"/>
          <w:color w:val="auto"/>
          <w:sz w:val="24"/>
        </w:rPr>
        <w:br w:type="page"/>
      </w:r>
    </w:p>
    <w:tbl>
      <w:tblPr>
        <w:tblStyle w:val="39"/>
        <w:tblW w:w="9286" w:type="dxa"/>
        <w:tblInd w:w="-108" w:type="dxa"/>
        <w:tblLayout w:type="fixed"/>
        <w:tblCellMar>
          <w:top w:w="0" w:type="dxa"/>
          <w:left w:w="0" w:type="dxa"/>
          <w:bottom w:w="0" w:type="dxa"/>
          <w:right w:w="0" w:type="dxa"/>
        </w:tblCellMar>
      </w:tblPr>
      <w:tblGrid>
        <w:gridCol w:w="4643"/>
        <w:gridCol w:w="4643"/>
      </w:tblGrid>
      <w:tr w14:paraId="454F4484">
        <w:tblPrEx>
          <w:tblCellMar>
            <w:top w:w="0" w:type="dxa"/>
            <w:left w:w="0" w:type="dxa"/>
            <w:bottom w:w="0" w:type="dxa"/>
            <w:right w:w="0" w:type="dxa"/>
          </w:tblCellMar>
        </w:tblPrEx>
        <w:tc>
          <w:tcPr>
            <w:tcW w:w="4643" w:type="dxa"/>
            <w:tcBorders>
              <w:top w:val="nil"/>
              <w:left w:val="nil"/>
              <w:bottom w:val="nil"/>
              <w:right w:val="nil"/>
            </w:tcBorders>
          </w:tcPr>
          <w:p w14:paraId="340C9169">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采购人（以下简称甲方）</w:t>
            </w:r>
          </w:p>
        </w:tc>
        <w:tc>
          <w:tcPr>
            <w:tcW w:w="4643" w:type="dxa"/>
            <w:tcBorders>
              <w:top w:val="nil"/>
              <w:left w:val="nil"/>
              <w:bottom w:val="nil"/>
              <w:right w:val="nil"/>
            </w:tcBorders>
          </w:tcPr>
          <w:p w14:paraId="750ED1FE">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供应商：（以下简称乙方）</w:t>
            </w:r>
          </w:p>
        </w:tc>
      </w:tr>
      <w:tr w14:paraId="376DE7FE">
        <w:tblPrEx>
          <w:tblCellMar>
            <w:top w:w="0" w:type="dxa"/>
            <w:left w:w="0" w:type="dxa"/>
            <w:bottom w:w="0" w:type="dxa"/>
            <w:right w:w="0" w:type="dxa"/>
          </w:tblCellMar>
        </w:tblPrEx>
        <w:tc>
          <w:tcPr>
            <w:tcW w:w="4643" w:type="dxa"/>
            <w:tcBorders>
              <w:top w:val="nil"/>
              <w:left w:val="nil"/>
              <w:bottom w:val="nil"/>
              <w:right w:val="nil"/>
            </w:tcBorders>
          </w:tcPr>
          <w:p w14:paraId="03DD5988">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住所地：</w:t>
            </w:r>
          </w:p>
        </w:tc>
        <w:tc>
          <w:tcPr>
            <w:tcW w:w="4643" w:type="dxa"/>
            <w:tcBorders>
              <w:top w:val="nil"/>
              <w:left w:val="nil"/>
              <w:bottom w:val="nil"/>
              <w:right w:val="nil"/>
            </w:tcBorders>
          </w:tcPr>
          <w:p w14:paraId="089CB5A6">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住所地</w:t>
            </w:r>
          </w:p>
        </w:tc>
      </w:tr>
    </w:tbl>
    <w:p w14:paraId="243D8669">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 xml:space="preserve">    根据《中华人民共和国政府采购法》《中华人民共和国民法典》等法律法规的规定，甲、乙双方根据</w:t>
      </w:r>
      <w:r>
        <w:rPr>
          <w:rFonts w:hint="eastAsia" w:ascii="宋体" w:hAnsi="宋体" w:eastAsia="宋体" w:cs="宋体"/>
          <w:color w:val="auto"/>
          <w:sz w:val="24"/>
          <w:u w:val="single"/>
        </w:rPr>
        <w:t xml:space="preserve"> 2027年南京市栖霞区农药包装废弃物与废旧农膜回收处置项目</w:t>
      </w:r>
      <w:r>
        <w:rPr>
          <w:rFonts w:hint="eastAsia" w:ascii="宋体" w:hAnsi="宋体" w:eastAsia="宋体" w:cs="宋体"/>
          <w:color w:val="auto"/>
          <w:sz w:val="24"/>
          <w:lang w:val="zh-CN"/>
        </w:rPr>
        <w:t>采购结果和招标文件的要求，并经双方协调一致，订立本采购合同。</w:t>
      </w:r>
    </w:p>
    <w:p w14:paraId="40D8CA63">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b/>
          <w:bCs/>
          <w:color w:val="auto"/>
          <w:sz w:val="24"/>
          <w:lang w:val="zh-CN"/>
        </w:rPr>
        <w:t>一、合同文件组成及解释顺序：</w:t>
      </w:r>
    </w:p>
    <w:p w14:paraId="0450E8F1">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rPr>
        <w:t>招标</w:t>
      </w:r>
      <w:r>
        <w:rPr>
          <w:rFonts w:hint="eastAsia" w:ascii="宋体" w:hAnsi="宋体" w:eastAsia="宋体" w:cs="宋体"/>
          <w:color w:val="auto"/>
          <w:sz w:val="24"/>
          <w:lang w:val="zh-CN"/>
        </w:rPr>
        <w:t>文件及其补充文件、投标文件、双方来函。合同文件组成的所有内容是构成合同不可分割的部分，与合同具有同等法律效力。除上述合同顺序外，合同文件之间有矛盾的，以较后时间制定的为准。</w:t>
      </w:r>
    </w:p>
    <w:p w14:paraId="0471146C">
      <w:pPr>
        <w:widowControl/>
        <w:ind w:firstLine="420"/>
        <w:jc w:val="left"/>
        <w:rPr>
          <w:rFonts w:hint="eastAsia" w:ascii="宋体" w:hAnsi="宋体" w:eastAsia="宋体" w:cs="宋体"/>
          <w:b/>
          <w:bCs/>
          <w:color w:val="auto"/>
          <w:sz w:val="24"/>
        </w:rPr>
      </w:pPr>
      <w:r>
        <w:rPr>
          <w:rFonts w:hint="eastAsia" w:ascii="宋体" w:hAnsi="宋体" w:eastAsia="宋体" w:cs="宋体"/>
          <w:b/>
          <w:bCs/>
          <w:color w:val="auto"/>
          <w:sz w:val="24"/>
          <w:lang w:val="zh-CN"/>
        </w:rPr>
        <w:t>二、服务范围</w:t>
      </w:r>
    </w:p>
    <w:p w14:paraId="26A6E805">
      <w:pPr>
        <w:ind w:firstLine="440"/>
        <w:rPr>
          <w:rFonts w:hint="eastAsia" w:ascii="宋体" w:hAnsi="宋体" w:eastAsia="宋体" w:cs="宋体"/>
          <w:color w:val="auto"/>
          <w:sz w:val="24"/>
          <w:lang w:val="zh-CN"/>
        </w:rPr>
      </w:pPr>
      <w:r>
        <w:rPr>
          <w:rFonts w:hint="eastAsia" w:ascii="宋体" w:hAnsi="宋体" w:eastAsia="宋体" w:cs="宋体"/>
          <w:color w:val="auto"/>
          <w:sz w:val="24"/>
        </w:rPr>
        <w:t>1.该项目涉及栖霞区八卦洲街道、龙潭街道（含西岗街道）。</w:t>
      </w:r>
    </w:p>
    <w:p w14:paraId="2CC81972">
      <w:pPr>
        <w:spacing w:line="480" w:lineRule="exact"/>
        <w:ind w:firstLine="440"/>
        <w:rPr>
          <w:rFonts w:hint="eastAsia" w:ascii="宋体" w:hAnsi="宋体" w:eastAsia="宋体" w:cs="宋体"/>
          <w:color w:val="auto"/>
          <w:sz w:val="24"/>
        </w:rPr>
      </w:pPr>
      <w:r>
        <w:rPr>
          <w:rFonts w:hint="eastAsia" w:ascii="宋体" w:hAnsi="宋体" w:eastAsia="宋体" w:cs="宋体"/>
          <w:color w:val="auto"/>
          <w:sz w:val="24"/>
        </w:rPr>
        <w:t>2.基层回收点建立。八卦洲街道与龙潭街道（含西岗街道）各建一个基层回收点。</w:t>
      </w:r>
    </w:p>
    <w:p w14:paraId="4F85C492">
      <w:pPr>
        <w:spacing w:line="480" w:lineRule="exact"/>
        <w:ind w:firstLine="440"/>
        <w:rPr>
          <w:rFonts w:hint="eastAsia" w:ascii="宋体" w:hAnsi="宋体" w:eastAsia="宋体" w:cs="宋体"/>
          <w:color w:val="auto"/>
          <w:sz w:val="24"/>
        </w:rPr>
      </w:pPr>
      <w:r>
        <w:rPr>
          <w:rFonts w:hint="eastAsia" w:ascii="宋体" w:hAnsi="宋体" w:eastAsia="宋体" w:cs="宋体"/>
          <w:color w:val="auto"/>
          <w:sz w:val="24"/>
        </w:rPr>
        <w:t>3.农药包装废弃物与废旧地膜有偿收购。按照瓶、袋、支包装规格的不同，作价回收栖霞区范围内农药包装废弃物。</w:t>
      </w:r>
    </w:p>
    <w:p w14:paraId="6FEBBA71">
      <w:pPr>
        <w:spacing w:line="480" w:lineRule="exact"/>
        <w:ind w:firstLine="440"/>
        <w:rPr>
          <w:rFonts w:hint="eastAsia" w:ascii="宋体" w:hAnsi="宋体" w:eastAsia="宋体" w:cs="宋体"/>
          <w:color w:val="auto"/>
          <w:sz w:val="24"/>
        </w:rPr>
      </w:pPr>
      <w:r>
        <w:rPr>
          <w:rFonts w:hint="eastAsia" w:ascii="宋体" w:hAnsi="宋体" w:eastAsia="宋体" w:cs="宋体"/>
          <w:color w:val="auto"/>
          <w:sz w:val="24"/>
        </w:rPr>
        <w:t>4.农药包装废弃物与废旧地膜无害化处置。按相关程序委托生态环境部门认可具有资质的废弃物处置单位对收集打包的废弃物进行无害化处置，做好处置台账记录。</w:t>
      </w:r>
    </w:p>
    <w:p w14:paraId="42BDC63C">
      <w:pPr>
        <w:spacing w:line="480" w:lineRule="exact"/>
        <w:ind w:firstLine="440"/>
        <w:rPr>
          <w:rFonts w:hint="eastAsia" w:ascii="宋体" w:hAnsi="宋体" w:eastAsia="宋体" w:cs="宋体"/>
          <w:color w:val="auto"/>
          <w:sz w:val="24"/>
        </w:rPr>
      </w:pPr>
      <w:r>
        <w:rPr>
          <w:rFonts w:hint="eastAsia" w:ascii="宋体" w:hAnsi="宋体" w:eastAsia="宋体" w:cs="宋体"/>
          <w:color w:val="auto"/>
          <w:sz w:val="24"/>
        </w:rPr>
        <w:t>5.农药包装废弃物与废旧地膜回收处置工作宣传培训。开展形式多样的农药包装废弃物回收宣传与培训工作，加强专业合作社、家庭农场和种植户对农药包装废弃物分类回收的意识。</w:t>
      </w:r>
    </w:p>
    <w:p w14:paraId="02738A67">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6.开展一次培训（培训人数不低于30 人次）。</w:t>
      </w:r>
    </w:p>
    <w:p w14:paraId="55DC7205">
      <w:pPr>
        <w:widowControl/>
        <w:spacing w:line="360" w:lineRule="auto"/>
        <w:ind w:firstLine="420"/>
        <w:jc w:val="left"/>
        <w:rPr>
          <w:rFonts w:hint="eastAsia" w:ascii="宋体" w:hAnsi="宋体" w:eastAsia="宋体" w:cs="宋体"/>
          <w:color w:val="auto"/>
          <w:sz w:val="24"/>
          <w:shd w:val="clear" w:color="auto" w:fill="FFFFFF"/>
        </w:rPr>
      </w:pPr>
      <w:r>
        <w:rPr>
          <w:rFonts w:hint="eastAsia" w:ascii="宋体" w:hAnsi="宋体" w:eastAsia="宋体" w:cs="宋体"/>
          <w:color w:val="auto"/>
          <w:sz w:val="24"/>
          <w:shd w:val="clear" w:color="auto" w:fill="FFFFFF"/>
        </w:rPr>
        <w:t xml:space="preserve">7.包含往年未处置的废旧地膜回收。 </w:t>
      </w:r>
    </w:p>
    <w:p w14:paraId="21B8523D">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b/>
          <w:bCs/>
          <w:color w:val="auto"/>
          <w:sz w:val="24"/>
        </w:rPr>
        <w:t xml:space="preserve">三、合同期限 </w:t>
      </w:r>
      <w:r>
        <w:rPr>
          <w:rFonts w:hint="eastAsia" w:ascii="宋体" w:hAnsi="宋体" w:eastAsia="宋体" w:cs="宋体"/>
          <w:color w:val="auto"/>
          <w:sz w:val="24"/>
        </w:rPr>
        <w:t xml:space="preserve">    </w:t>
      </w:r>
    </w:p>
    <w:p w14:paraId="76149357">
      <w:pPr>
        <w:widowControl/>
        <w:spacing w:line="360" w:lineRule="auto"/>
        <w:ind w:firstLine="420"/>
        <w:jc w:val="left"/>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自合同签订之日起至2027年11月。</w:t>
      </w:r>
    </w:p>
    <w:p w14:paraId="66D4E648">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rPr>
        <w:t>四、合同价格</w:t>
      </w:r>
    </w:p>
    <w:p w14:paraId="69C22EEF">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本合同项下服务总价款为人民币</w:t>
      </w:r>
      <w:r>
        <w:rPr>
          <w:rFonts w:hint="eastAsia" w:ascii="宋体" w:hAnsi="宋体" w:eastAsia="宋体" w:cs="宋体"/>
          <w:color w:val="auto"/>
          <w:sz w:val="24"/>
          <w:u w:val="single"/>
        </w:rPr>
        <w:t xml:space="preserve">         </w:t>
      </w:r>
      <w:r>
        <w:rPr>
          <w:rFonts w:hint="eastAsia" w:ascii="宋体" w:hAnsi="宋体" w:eastAsia="宋体" w:cs="宋体"/>
          <w:color w:val="auto"/>
          <w:sz w:val="24"/>
        </w:rPr>
        <w:t>（大写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），分项价款在“分项报价表”中有明确规定。</w:t>
      </w:r>
    </w:p>
    <w:p w14:paraId="6680115D">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说明：</w:t>
      </w:r>
    </w:p>
    <w:p w14:paraId="490DF917">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1.服务费及单价必须包含完成甲方要求的一切可能的费用（包含回收点建设费、劳务费、回收费、处理费、材料费、人工费、税费等），无论本文件是否以文字形式规定，乙方应具备足够的专业知识和能力判定本项目所需的一切材料、服务，考虑各种未预见费用，不得在服务期间提出任何增加费用的要求，更不得减少服务项目，不得降低服务质量。</w:t>
      </w:r>
    </w:p>
    <w:p w14:paraId="7FA2BB9B">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2.中标总价为项目总价限价，其中废旧地膜回收费用不超过40万元。</w:t>
      </w:r>
    </w:p>
    <w:p w14:paraId="16307A1A">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rPr>
        <w:t>五、甲、乙双方的责任与义务</w:t>
      </w:r>
    </w:p>
    <w:p w14:paraId="3D541AD6">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（一）甲方责任与义务</w:t>
      </w:r>
    </w:p>
    <w:p w14:paraId="2052CA0C">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1.负责农药包装废弃物与废旧地膜回收处置过程中的指导和协调工作。</w:t>
      </w:r>
    </w:p>
    <w:p w14:paraId="007A6EA0">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2.派员核查乙方与处置单位交接回收农药包装废弃物（含废旧地膜）的数量，组织相关单位开展日常督查。</w:t>
      </w:r>
    </w:p>
    <w:p w14:paraId="4C9AF941">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3.组织相关单位对乙方实施情况进行考核。</w:t>
      </w:r>
    </w:p>
    <w:p w14:paraId="1335724B">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4.按合同约定支付合同价款。</w:t>
      </w:r>
    </w:p>
    <w:p w14:paraId="347B4B1E">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 xml:space="preserve">5.甲方全流程跟踪核查。  </w:t>
      </w:r>
    </w:p>
    <w:p w14:paraId="12096A6E">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（二）乙方责任与义务</w:t>
      </w:r>
    </w:p>
    <w:p w14:paraId="5AD6F511">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1.严格遵守国家有关法律、法规，自觉接受甲方和当地街道办事处监督，确保合同规定的回收数量，清除片区内田间、水渠、池塘、村庄等场所的农药包装废弃物，展现回收成效。</w:t>
      </w:r>
    </w:p>
    <w:p w14:paraId="36ABEADF">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2.乙方是农药包装废弃物（含废旧地膜）回收归集及废旧地膜处置工作责任主体，具体负责实施本片区内农药包装废弃物（含废旧地膜）回收归集及废旧地膜处置工作，不得自行处置农药包装废弃物，应当委托具备法定资质的专业处置单位参照危险废物处置的相关技术标准进行无害化集中处置。</w:t>
      </w:r>
    </w:p>
    <w:p w14:paraId="7AB54545">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3.乙方应在区域范围内根据农药施用情况建立2个回收点，回收点选址要方便回收并挂牌告示，回收点对回收的农药包装废弃物〈含废旧地膜）进行初步分类，并填写回收点回收台账。</w:t>
      </w:r>
    </w:p>
    <w:p w14:paraId="3BFCC2D9">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4.乙方应具备可以运输农药包装废弃物（含废旧地膜）的合格货车，须配备农药包装废弃物回收处置和废旧地膜处置相应设施设备（包括监控、通风等系统）和配套工具（包括封口机、铲车等）。具有在附近、远离居民区、交通方便、便于归集、暂存安全的农药包装废弃物和废旧地膜仓库，安全防护措施健全；具有专兼职从事农药包装废弃物（含废旧地膜）回收归集的服务人员。</w:t>
      </w:r>
    </w:p>
    <w:p w14:paraId="300441EB">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5.乙方应定期或不定期到回收点收集农药包装废弃物（含废旧地膜）。对收到的农药包装废弃物（含废旧地膜）要当场进行分类称重核算，填写回收点交付单，并经交接双方核实、签字，交付单一式两份，双方各执一份。</w:t>
      </w:r>
    </w:p>
    <w:p w14:paraId="369EA6A0">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6.农药包装废弃物处置应当委托具备法定资质的专业处置单位参照危险废物处置的相关技术标准进行无害化集中处置，并由处置单位到专存仓库专业运输；废旧地膜应委托有资质单位开展无害化处置。同时，乙方应取得并保存处置单位的过磅单、七联单（或三联单）和正式发票。</w:t>
      </w:r>
    </w:p>
    <w:p w14:paraId="7EC472CE">
      <w:pPr>
        <w:widowControl/>
        <w:spacing w:line="360" w:lineRule="auto"/>
        <w:ind w:firstLine="420"/>
        <w:jc w:val="left"/>
        <w:rPr>
          <w:rFonts w:hint="eastAsia" w:ascii="宋体" w:hAnsi="宋体" w:eastAsia="宋体" w:cs="宋体"/>
          <w:color w:val="auto"/>
          <w:sz w:val="24"/>
        </w:rPr>
      </w:pPr>
      <w:r>
        <w:rPr>
          <w:rFonts w:hint="eastAsia" w:ascii="宋体" w:hAnsi="宋体" w:eastAsia="宋体" w:cs="宋体"/>
          <w:color w:val="auto"/>
          <w:sz w:val="24"/>
        </w:rPr>
        <w:t>7.乙方须制定日常田间巡查工作计划方案，组建巡查队伍。</w:t>
      </w:r>
    </w:p>
    <w:p w14:paraId="0F05948B">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lang w:val="zh-CN"/>
        </w:rPr>
        <w:t>六、合同支付</w:t>
      </w:r>
    </w:p>
    <w:p w14:paraId="6F10FD52">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合同签订后甲方预支付项目中标价的30%至乙方，</w:t>
      </w:r>
      <w:r>
        <w:rPr>
          <w:rFonts w:hint="eastAsia" w:ascii="宋体" w:hAnsi="宋体" w:eastAsia="宋体" w:cs="宋体"/>
          <w:color w:val="auto"/>
          <w:sz w:val="24"/>
          <w:lang w:val="zh-CN" w:eastAsia="zh-CN"/>
        </w:rPr>
        <w:t>2026年12月</w:t>
      </w:r>
      <w:r>
        <w:rPr>
          <w:rFonts w:hint="eastAsia" w:ascii="宋体" w:hAnsi="宋体" w:eastAsia="宋体" w:cs="宋体"/>
          <w:color w:val="auto"/>
          <w:sz w:val="24"/>
          <w:lang w:val="zh-CN"/>
        </w:rPr>
        <w:t>—2027年11月每季度末可以提交结算材料分批结算，结算材料包含结算申请、跟踪审计阶段报告、回收和处置台账、发票。剩余款项项目结束、验收后支付。收到结算材料后30个工作日内支付。</w:t>
      </w:r>
    </w:p>
    <w:p w14:paraId="73A9A6DD">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注：回收期内完成绩效才能全额结算资金。乙方收款时须向甲方提供正式发票。</w:t>
      </w:r>
    </w:p>
    <w:p w14:paraId="711B8C60">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lang w:val="zh-CN"/>
        </w:rPr>
        <w:t>七、乙方服务质量要求</w:t>
      </w:r>
    </w:p>
    <w:p w14:paraId="554CF5B6">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1.建立农药包装废弃物和废旧地膜回收与处置各类管理制度。</w:t>
      </w:r>
    </w:p>
    <w:p w14:paraId="3FFA6ECD">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2.回收的农药包装废弃物要按农药袋、塑料农药瓶、玻璃农药瓶等分类归集，不得掺杂，不得夹杂放射性、电子类及爆炸性物质；废旧地膜需分类捆扎。</w:t>
      </w:r>
    </w:p>
    <w:p w14:paraId="4BC38540">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3.台账、交付单、交接单必须真实规范。</w:t>
      </w:r>
    </w:p>
    <w:p w14:paraId="08FF0A98">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4.田间不得存在明显的农药包装废弃物和废旧地膜遗弃现象。运输过程必须确保不得散落。</w:t>
      </w:r>
    </w:p>
    <w:p w14:paraId="0874F9B3">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5.回收转运中心仓储必须做好防水、防漏等安全工作，回收物堆放有序。</w:t>
      </w:r>
    </w:p>
    <w:p w14:paraId="65E98EEE">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6.及时汇报进度。应加强与所在街道的联系，听从街道指导，按时向街道和甲方上报回收处置进度。</w:t>
      </w:r>
    </w:p>
    <w:p w14:paraId="15E68BBA">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7.乙方须接受甲方的考核验收，按考核办法执行，否则甲方可单方拒付回收归集及处置费用。</w:t>
      </w:r>
    </w:p>
    <w:p w14:paraId="4299D58F">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8.乙方在履约前即合同签订后30天内在街道区域设立回收点，并报甲方审核同意，否则甲方有权单方终止合同。</w:t>
      </w:r>
    </w:p>
    <w:p w14:paraId="2D796875">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lang w:val="zh-CN"/>
        </w:rPr>
        <w:t>八、 合同的转让</w:t>
      </w:r>
    </w:p>
    <w:p w14:paraId="1EC15FE4">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乙方不得擅自部分或全部转让其应履行的合同义务。</w:t>
      </w:r>
    </w:p>
    <w:p w14:paraId="132EDDCC">
      <w:pPr>
        <w:widowControl/>
        <w:spacing w:line="360" w:lineRule="auto"/>
        <w:ind w:firstLine="420"/>
        <w:jc w:val="left"/>
        <w:rPr>
          <w:rFonts w:hint="eastAsia" w:ascii="宋体" w:hAnsi="宋体" w:eastAsia="宋体" w:cs="宋体"/>
          <w:b/>
          <w:bCs/>
          <w:color w:val="auto"/>
          <w:sz w:val="24"/>
        </w:rPr>
      </w:pPr>
      <w:r>
        <w:rPr>
          <w:rFonts w:hint="eastAsia" w:ascii="宋体" w:hAnsi="宋体" w:eastAsia="宋体" w:cs="宋体"/>
          <w:b/>
          <w:bCs/>
          <w:color w:val="auto"/>
          <w:sz w:val="24"/>
          <w:lang w:val="zh-CN"/>
        </w:rPr>
        <w:t>九、违约责任</w:t>
      </w:r>
    </w:p>
    <w:p w14:paraId="31535FC8">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1.甲方无故逾期验收和办理款项支付手续的，甲方应按逾期付款总额每日万分之五向乙方支付违约金。</w:t>
      </w:r>
    </w:p>
    <w:p w14:paraId="521E85DC">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2.乙方未能如期提供服务的，自逾期之日起十日内，每日向甲方支付合同款项的万分之五作为违约金。乙方超过约定日期</w:t>
      </w:r>
      <w:r>
        <w:rPr>
          <w:rFonts w:hint="eastAsia" w:ascii="宋体" w:hAnsi="宋体" w:eastAsia="宋体" w:cs="宋体"/>
          <w:color w:val="auto"/>
          <w:sz w:val="24"/>
          <w:u w:val="single"/>
        </w:rPr>
        <w:t>30</w:t>
      </w:r>
      <w:r>
        <w:rPr>
          <w:rFonts w:hint="eastAsia" w:ascii="宋体" w:hAnsi="宋体" w:eastAsia="宋体" w:cs="宋体"/>
          <w:color w:val="auto"/>
          <w:sz w:val="24"/>
          <w:lang w:val="zh-CN"/>
        </w:rPr>
        <w:t>个工作日仍不能提供服务的，甲方有权每天处以合同款项千分之六的罚款，且甲方可解除本合同。</w:t>
      </w:r>
    </w:p>
    <w:p w14:paraId="68434950">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b/>
          <w:bCs/>
          <w:color w:val="auto"/>
          <w:sz w:val="24"/>
          <w:lang w:val="zh-CN"/>
        </w:rPr>
        <w:t>十、争议的解决</w:t>
      </w:r>
    </w:p>
    <w:p w14:paraId="1583EF65">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因履行本合同引起的或与本合同有关的争议，甲、乙双方应首先通过友好协商解决，如果协商不能解决争议，则采取以下第（</w:t>
      </w:r>
      <w:r>
        <w:rPr>
          <w:rFonts w:hint="eastAsia" w:ascii="宋体" w:hAnsi="宋体" w:eastAsia="宋体" w:cs="宋体"/>
          <w:color w:val="auto"/>
          <w:sz w:val="24"/>
        </w:rPr>
        <w:t>1</w:t>
      </w:r>
      <w:r>
        <w:rPr>
          <w:rFonts w:hint="eastAsia" w:ascii="宋体" w:hAnsi="宋体" w:eastAsia="宋体" w:cs="宋体"/>
          <w:color w:val="auto"/>
          <w:sz w:val="24"/>
          <w:lang w:val="zh-CN"/>
        </w:rPr>
        <w:t>）种方式解决争议：</w:t>
      </w:r>
    </w:p>
    <w:p w14:paraId="58F20B1E">
      <w:pPr>
        <w:widowControl/>
        <w:spacing w:line="360" w:lineRule="auto"/>
        <w:ind w:firstLine="560"/>
        <w:jc w:val="left"/>
        <w:rPr>
          <w:rFonts w:hint="eastAsia" w:ascii="宋体" w:hAnsi="宋体" w:eastAsia="宋体" w:cs="宋体"/>
          <w:color w:val="auto"/>
          <w:sz w:val="24"/>
          <w:lang w:val="zh-CN"/>
        </w:rPr>
      </w:pPr>
      <w:r>
        <w:rPr>
          <w:rFonts w:hint="eastAsia" w:ascii="宋体" w:hAnsi="宋体" w:eastAsia="宋体" w:cs="宋体"/>
          <w:color w:val="auto"/>
          <w:sz w:val="24"/>
          <w:lang w:val="zh-CN"/>
        </w:rPr>
        <w:t>（1）向甲方所在地有管辖权的人民法院提起诉讼；</w:t>
      </w:r>
    </w:p>
    <w:p w14:paraId="2B440A34">
      <w:pPr>
        <w:widowControl/>
        <w:spacing w:line="360" w:lineRule="auto"/>
        <w:ind w:firstLine="560"/>
        <w:jc w:val="left"/>
        <w:rPr>
          <w:rFonts w:hint="eastAsia" w:ascii="宋体" w:hAnsi="宋体" w:eastAsia="宋体" w:cs="宋体"/>
          <w:color w:val="auto"/>
          <w:sz w:val="24"/>
          <w:lang w:val="zh-CN"/>
        </w:rPr>
      </w:pPr>
      <w:r>
        <w:rPr>
          <w:rFonts w:hint="eastAsia" w:ascii="宋体" w:hAnsi="宋体" w:eastAsia="宋体" w:cs="宋体"/>
          <w:color w:val="auto"/>
          <w:sz w:val="24"/>
          <w:lang w:val="zh-CN"/>
        </w:rPr>
        <w:t>（2）向南京仲裁委员会按其仲裁规则申请仲裁。</w:t>
      </w:r>
    </w:p>
    <w:p w14:paraId="596F1CB0">
      <w:pPr>
        <w:widowControl/>
        <w:spacing w:line="360" w:lineRule="auto"/>
        <w:ind w:firstLine="560"/>
        <w:jc w:val="left"/>
        <w:rPr>
          <w:rFonts w:hint="eastAsia" w:ascii="宋体" w:hAnsi="宋体" w:eastAsia="宋体" w:cs="宋体"/>
          <w:color w:val="auto"/>
          <w:sz w:val="24"/>
          <w:lang w:val="zh-CN"/>
        </w:rPr>
      </w:pPr>
      <w:r>
        <w:rPr>
          <w:rFonts w:hint="eastAsia" w:ascii="宋体" w:hAnsi="宋体" w:eastAsia="宋体" w:cs="宋体"/>
          <w:color w:val="auto"/>
          <w:sz w:val="24"/>
          <w:lang w:val="zh-CN"/>
        </w:rPr>
        <w:t>如没有约定，默认采取第2种方式解决争议。</w:t>
      </w:r>
    </w:p>
    <w:p w14:paraId="25C29D26">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3.在仲裁期间，本合同应继续履行。</w:t>
      </w:r>
    </w:p>
    <w:p w14:paraId="762A9E35">
      <w:pPr>
        <w:widowControl/>
        <w:spacing w:line="360" w:lineRule="auto"/>
        <w:ind w:firstLine="420"/>
        <w:jc w:val="left"/>
        <w:rPr>
          <w:rFonts w:hint="eastAsia" w:ascii="宋体" w:hAnsi="宋体" w:eastAsia="宋体" w:cs="宋体"/>
          <w:b/>
          <w:bCs/>
          <w:color w:val="auto"/>
          <w:sz w:val="24"/>
          <w:lang w:val="zh-CN"/>
        </w:rPr>
      </w:pPr>
      <w:r>
        <w:rPr>
          <w:rFonts w:hint="eastAsia" w:ascii="宋体" w:hAnsi="宋体" w:eastAsia="宋体" w:cs="宋体"/>
          <w:b/>
          <w:bCs/>
          <w:color w:val="auto"/>
          <w:sz w:val="24"/>
          <w:lang w:val="zh-CN"/>
        </w:rPr>
        <w:t xml:space="preserve">十一、 诚实信用 </w:t>
      </w:r>
    </w:p>
    <w:p w14:paraId="2896B82D">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乙方应诚实信用，严格按照竞争性招标文件要求和乙方承诺履行合同，不向甲方进行商业贿赂或者提供不正当利益。</w:t>
      </w:r>
    </w:p>
    <w:p w14:paraId="7489F062">
      <w:pPr>
        <w:widowControl/>
        <w:spacing w:line="360" w:lineRule="auto"/>
        <w:ind w:firstLine="420"/>
        <w:jc w:val="left"/>
        <w:rPr>
          <w:color w:val="auto"/>
        </w:rPr>
      </w:pPr>
      <w:r>
        <w:rPr>
          <w:rFonts w:hint="eastAsia" w:ascii="宋体" w:hAnsi="宋体" w:eastAsia="宋体" w:cs="宋体"/>
          <w:b/>
          <w:bCs/>
          <w:color w:val="auto"/>
          <w:sz w:val="24"/>
          <w:lang w:val="zh-CN"/>
        </w:rPr>
        <w:t>十二、 合同的变更和终止</w:t>
      </w:r>
    </w:p>
    <w:p w14:paraId="689373BF">
      <w:pPr>
        <w:widowControl/>
        <w:spacing w:line="360" w:lineRule="auto"/>
        <w:ind w:firstLine="420"/>
        <w:jc w:val="left"/>
        <w:rPr>
          <w:color w:val="auto"/>
        </w:rPr>
      </w:pPr>
      <w:r>
        <w:rPr>
          <w:rFonts w:hint="eastAsia" w:ascii="宋体" w:hAnsi="宋体" w:eastAsia="宋体" w:cs="宋体"/>
          <w:color w:val="auto"/>
          <w:sz w:val="24"/>
        </w:rPr>
        <w:t>1.除《中华人民共和国政府采购法》第五十条第二款规定的情形外，本合同一经签订，甲乙双方不得擅自变更、中止或终止合同。</w:t>
      </w:r>
    </w:p>
    <w:p w14:paraId="052C9DCE">
      <w:pPr>
        <w:widowControl/>
        <w:spacing w:line="360" w:lineRule="auto"/>
        <w:ind w:firstLine="420"/>
        <w:jc w:val="left"/>
        <w:rPr>
          <w:rFonts w:hint="eastAsia" w:ascii="宋体" w:hAnsi="宋体" w:eastAsia="宋体" w:cs="宋体"/>
          <w:b/>
          <w:bCs/>
          <w:color w:val="auto"/>
        </w:rPr>
      </w:pPr>
      <w:r>
        <w:rPr>
          <w:rFonts w:hint="eastAsia" w:ascii="宋体" w:hAnsi="宋体" w:eastAsia="宋体" w:cs="宋体"/>
          <w:color w:val="auto"/>
          <w:sz w:val="24"/>
        </w:rPr>
        <w:t>2.除发生法律规定的不能预见、不能避免并不能克服的客观情况外，甲乙双方不得放弃或拒绝履行合同。乙方放弃或拒绝履行合同，保证金不予退还。</w:t>
      </w:r>
    </w:p>
    <w:p w14:paraId="5CBBBF6A">
      <w:pPr>
        <w:widowControl/>
        <w:spacing w:line="360" w:lineRule="auto"/>
        <w:ind w:firstLine="420"/>
        <w:jc w:val="left"/>
        <w:rPr>
          <w:rFonts w:hint="eastAsia" w:ascii="宋体" w:hAnsi="宋体" w:eastAsia="宋体" w:cs="宋体"/>
          <w:b/>
          <w:bCs/>
          <w:color w:val="auto"/>
          <w:sz w:val="24"/>
          <w:lang w:val="zh-CN"/>
        </w:rPr>
      </w:pPr>
      <w:r>
        <w:rPr>
          <w:rFonts w:hint="eastAsia" w:ascii="宋体" w:hAnsi="宋体" w:eastAsia="宋体" w:cs="宋体"/>
          <w:b/>
          <w:bCs/>
          <w:color w:val="auto"/>
          <w:sz w:val="24"/>
          <w:lang w:val="zh-CN"/>
        </w:rPr>
        <w:t>十三、合同生效及其他</w:t>
      </w:r>
    </w:p>
    <w:p w14:paraId="6E3FE279">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1.本合同自签订之日起生效。</w:t>
      </w:r>
    </w:p>
    <w:p w14:paraId="2CCE173B">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2.本合同一式伍份，甲乙双方各执贰份，壹份交采购代理机构存档。</w:t>
      </w:r>
    </w:p>
    <w:p w14:paraId="5DE9B186">
      <w:pPr>
        <w:widowControl/>
        <w:spacing w:line="360" w:lineRule="auto"/>
        <w:ind w:firstLine="420"/>
        <w:jc w:val="left"/>
        <w:rPr>
          <w:rFonts w:hint="eastAsia" w:ascii="宋体" w:hAnsi="宋体" w:eastAsia="宋体" w:cs="宋体"/>
          <w:color w:val="auto"/>
          <w:sz w:val="24"/>
          <w:lang w:val="zh-CN"/>
        </w:rPr>
      </w:pPr>
      <w:r>
        <w:rPr>
          <w:rFonts w:hint="eastAsia" w:ascii="宋体" w:hAnsi="宋体" w:eastAsia="宋体" w:cs="宋体"/>
          <w:color w:val="auto"/>
          <w:sz w:val="24"/>
          <w:lang w:val="zh-CN"/>
        </w:rPr>
        <w:t>3.本合同应按照中华人民共和国的现行法律进行解释。</w:t>
      </w:r>
    </w:p>
    <w:tbl>
      <w:tblPr>
        <w:tblStyle w:val="39"/>
        <w:tblW w:w="9286" w:type="dxa"/>
        <w:tblInd w:w="-108" w:type="dxa"/>
        <w:tblLayout w:type="fixed"/>
        <w:tblCellMar>
          <w:top w:w="0" w:type="dxa"/>
          <w:left w:w="0" w:type="dxa"/>
          <w:bottom w:w="0" w:type="dxa"/>
          <w:right w:w="0" w:type="dxa"/>
        </w:tblCellMar>
      </w:tblPr>
      <w:tblGrid>
        <w:gridCol w:w="4643"/>
        <w:gridCol w:w="4643"/>
      </w:tblGrid>
      <w:tr w14:paraId="12184EF4">
        <w:tblPrEx>
          <w:tblCellMar>
            <w:top w:w="0" w:type="dxa"/>
            <w:left w:w="0" w:type="dxa"/>
            <w:bottom w:w="0" w:type="dxa"/>
            <w:right w:w="0" w:type="dxa"/>
          </w:tblCellMar>
        </w:tblPrEx>
        <w:tc>
          <w:tcPr>
            <w:tcW w:w="4643" w:type="dxa"/>
            <w:tcBorders>
              <w:top w:val="nil"/>
              <w:left w:val="nil"/>
              <w:bottom w:val="nil"/>
              <w:right w:val="nil"/>
            </w:tcBorders>
          </w:tcPr>
          <w:p w14:paraId="3C3024A1">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甲方（采购人）：（盖章）</w:t>
            </w:r>
          </w:p>
        </w:tc>
        <w:tc>
          <w:tcPr>
            <w:tcW w:w="4643" w:type="dxa"/>
            <w:tcBorders>
              <w:top w:val="nil"/>
              <w:left w:val="nil"/>
              <w:bottom w:val="nil"/>
              <w:right w:val="nil"/>
            </w:tcBorders>
          </w:tcPr>
          <w:p w14:paraId="2A2FE102">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乙方（投标人）：（盖章）</w:t>
            </w:r>
          </w:p>
        </w:tc>
      </w:tr>
      <w:tr w14:paraId="5A55DF29">
        <w:tblPrEx>
          <w:tblCellMar>
            <w:top w:w="0" w:type="dxa"/>
            <w:left w:w="0" w:type="dxa"/>
            <w:bottom w:w="0" w:type="dxa"/>
            <w:right w:w="0" w:type="dxa"/>
          </w:tblCellMar>
        </w:tblPrEx>
        <w:tc>
          <w:tcPr>
            <w:tcW w:w="4643" w:type="dxa"/>
            <w:tcBorders>
              <w:top w:val="nil"/>
              <w:left w:val="nil"/>
              <w:bottom w:val="nil"/>
              <w:right w:val="nil"/>
            </w:tcBorders>
          </w:tcPr>
          <w:p w14:paraId="5FB2B252">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代表人：</w:t>
            </w:r>
          </w:p>
        </w:tc>
        <w:tc>
          <w:tcPr>
            <w:tcW w:w="4643" w:type="dxa"/>
            <w:tcBorders>
              <w:top w:val="nil"/>
              <w:left w:val="nil"/>
              <w:bottom w:val="nil"/>
              <w:right w:val="nil"/>
            </w:tcBorders>
          </w:tcPr>
          <w:p w14:paraId="30D3CB6E">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代表人</w:t>
            </w:r>
            <w:r>
              <w:rPr>
                <w:rFonts w:hint="eastAsia" w:ascii="宋体" w:hAnsi="宋体" w:eastAsia="宋体" w:cs="宋体"/>
                <w:color w:val="auto"/>
                <w:sz w:val="24"/>
              </w:rPr>
              <w:t>：</w:t>
            </w:r>
          </w:p>
        </w:tc>
      </w:tr>
      <w:tr w14:paraId="6C73ACEE">
        <w:tblPrEx>
          <w:tblCellMar>
            <w:top w:w="0" w:type="dxa"/>
            <w:left w:w="0" w:type="dxa"/>
            <w:bottom w:w="0" w:type="dxa"/>
            <w:right w:w="0" w:type="dxa"/>
          </w:tblCellMar>
        </w:tblPrEx>
        <w:tc>
          <w:tcPr>
            <w:tcW w:w="4643" w:type="dxa"/>
            <w:tcBorders>
              <w:top w:val="nil"/>
              <w:left w:val="nil"/>
              <w:bottom w:val="nil"/>
              <w:right w:val="nil"/>
            </w:tcBorders>
          </w:tcPr>
          <w:p w14:paraId="101E8FD1">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电话：</w:t>
            </w:r>
          </w:p>
        </w:tc>
        <w:tc>
          <w:tcPr>
            <w:tcW w:w="4643" w:type="dxa"/>
            <w:tcBorders>
              <w:top w:val="nil"/>
              <w:left w:val="nil"/>
              <w:bottom w:val="nil"/>
              <w:right w:val="nil"/>
            </w:tcBorders>
          </w:tcPr>
          <w:p w14:paraId="7C9FFED0">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电话：</w:t>
            </w:r>
          </w:p>
        </w:tc>
      </w:tr>
      <w:tr w14:paraId="06FCEC6E">
        <w:tblPrEx>
          <w:tblCellMar>
            <w:top w:w="0" w:type="dxa"/>
            <w:left w:w="0" w:type="dxa"/>
            <w:bottom w:w="0" w:type="dxa"/>
            <w:right w:w="0" w:type="dxa"/>
          </w:tblCellMar>
        </w:tblPrEx>
        <w:tc>
          <w:tcPr>
            <w:tcW w:w="4643" w:type="dxa"/>
            <w:tcBorders>
              <w:top w:val="nil"/>
              <w:left w:val="nil"/>
              <w:bottom w:val="nil"/>
              <w:right w:val="nil"/>
            </w:tcBorders>
          </w:tcPr>
          <w:p w14:paraId="12D8D9C3">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开户银行：</w:t>
            </w:r>
          </w:p>
        </w:tc>
        <w:tc>
          <w:tcPr>
            <w:tcW w:w="4643" w:type="dxa"/>
            <w:tcBorders>
              <w:top w:val="nil"/>
              <w:left w:val="nil"/>
              <w:bottom w:val="nil"/>
              <w:right w:val="nil"/>
            </w:tcBorders>
          </w:tcPr>
          <w:p w14:paraId="3CED132D">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开户银行：</w:t>
            </w:r>
          </w:p>
        </w:tc>
      </w:tr>
      <w:tr w14:paraId="78B98326">
        <w:tblPrEx>
          <w:tblCellMar>
            <w:top w:w="0" w:type="dxa"/>
            <w:left w:w="0" w:type="dxa"/>
            <w:bottom w:w="0" w:type="dxa"/>
            <w:right w:w="0" w:type="dxa"/>
          </w:tblCellMar>
        </w:tblPrEx>
        <w:tc>
          <w:tcPr>
            <w:tcW w:w="4643" w:type="dxa"/>
            <w:tcBorders>
              <w:top w:val="nil"/>
              <w:left w:val="nil"/>
              <w:bottom w:val="nil"/>
              <w:right w:val="nil"/>
            </w:tcBorders>
          </w:tcPr>
          <w:p w14:paraId="718F4D99">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zh-CN"/>
              </w:rPr>
              <w:t>账号：</w:t>
            </w:r>
          </w:p>
        </w:tc>
        <w:tc>
          <w:tcPr>
            <w:tcW w:w="4643" w:type="dxa"/>
            <w:tcBorders>
              <w:top w:val="nil"/>
              <w:left w:val="nil"/>
              <w:bottom w:val="nil"/>
              <w:right w:val="nil"/>
            </w:tcBorders>
          </w:tcPr>
          <w:p w14:paraId="5EA5DA9A">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账号：</w:t>
            </w:r>
          </w:p>
        </w:tc>
      </w:tr>
      <w:tr w14:paraId="0E3D35D5">
        <w:tblPrEx>
          <w:tblCellMar>
            <w:top w:w="0" w:type="dxa"/>
            <w:left w:w="0" w:type="dxa"/>
            <w:bottom w:w="0" w:type="dxa"/>
            <w:right w:w="0" w:type="dxa"/>
          </w:tblCellMar>
        </w:tblPrEx>
        <w:tc>
          <w:tcPr>
            <w:tcW w:w="4643" w:type="dxa"/>
            <w:tcBorders>
              <w:top w:val="nil"/>
              <w:left w:val="nil"/>
              <w:bottom w:val="nil"/>
              <w:right w:val="nil"/>
            </w:tcBorders>
          </w:tcPr>
          <w:p w14:paraId="1CF16D89">
            <w:pPr>
              <w:widowControl/>
              <w:spacing w:line="360" w:lineRule="auto"/>
              <w:jc w:val="left"/>
              <w:rPr>
                <w:rFonts w:hint="eastAsia" w:ascii="宋体" w:hAnsi="宋体" w:eastAsia="宋体" w:cs="宋体"/>
                <w:color w:val="auto"/>
                <w:sz w:val="24"/>
                <w:lang w:val="zh-CN"/>
              </w:rPr>
            </w:pPr>
            <w:bookmarkStart w:id="10" w:name="OLE_LINK11"/>
            <w:r>
              <w:rPr>
                <w:rFonts w:hint="eastAsia" w:ascii="宋体" w:hAnsi="宋体" w:eastAsia="宋体" w:cs="宋体"/>
                <w:color w:val="auto"/>
                <w:sz w:val="24"/>
                <w:lang w:val="zh-CN"/>
              </w:rPr>
              <w:t xml:space="preserve">日期：   </w:t>
            </w:r>
            <w:bookmarkEnd w:id="10"/>
            <w:r>
              <w:rPr>
                <w:rFonts w:hint="eastAsia" w:ascii="宋体" w:hAnsi="宋体" w:eastAsia="宋体" w:cs="宋体"/>
                <w:color w:val="auto"/>
                <w:sz w:val="24"/>
                <w:lang w:val="zh-CN"/>
              </w:rPr>
              <w:t>年</w:t>
            </w:r>
            <w:r>
              <w:rPr>
                <w:rFonts w:hint="eastAsia" w:ascii="宋体" w:hAnsi="宋体" w:eastAsia="宋体" w:cs="宋体"/>
                <w:color w:val="auto"/>
                <w:sz w:val="24"/>
              </w:rPr>
              <w:t xml:space="preserve">  </w:t>
            </w:r>
            <w:r>
              <w:rPr>
                <w:rFonts w:hint="eastAsia" w:ascii="宋体" w:hAnsi="宋体" w:eastAsia="宋体" w:cs="宋体"/>
                <w:color w:val="auto"/>
                <w:sz w:val="24"/>
                <w:lang w:val="zh-CN"/>
              </w:rPr>
              <w:t>月</w:t>
            </w:r>
            <w:r>
              <w:rPr>
                <w:rFonts w:hint="eastAsia" w:ascii="宋体" w:hAnsi="宋体" w:eastAsia="宋体" w:cs="宋体"/>
                <w:color w:val="auto"/>
                <w:sz w:val="24"/>
              </w:rPr>
              <w:t xml:space="preserve">  </w:t>
            </w:r>
            <w:r>
              <w:rPr>
                <w:rFonts w:hint="eastAsia" w:ascii="宋体" w:hAnsi="宋体" w:eastAsia="宋体" w:cs="宋体"/>
                <w:color w:val="auto"/>
                <w:sz w:val="24"/>
                <w:lang w:val="zh-CN"/>
              </w:rPr>
              <w:t>日</w:t>
            </w:r>
          </w:p>
        </w:tc>
        <w:tc>
          <w:tcPr>
            <w:tcW w:w="4643" w:type="dxa"/>
          </w:tcPr>
          <w:p w14:paraId="1ECAFFB8">
            <w:pPr>
              <w:widowControl/>
              <w:spacing w:line="360" w:lineRule="auto"/>
              <w:jc w:val="left"/>
              <w:rPr>
                <w:rFonts w:hint="eastAsia" w:ascii="宋体" w:hAnsi="宋体" w:eastAsia="宋体" w:cs="宋体"/>
                <w:color w:val="auto"/>
                <w:sz w:val="24"/>
                <w:lang w:val="zh-CN"/>
              </w:rPr>
            </w:pPr>
            <w:r>
              <w:rPr>
                <w:rFonts w:hint="eastAsia" w:ascii="宋体" w:hAnsi="宋体" w:eastAsia="宋体" w:cs="宋体"/>
                <w:color w:val="auto"/>
                <w:sz w:val="24"/>
                <w:lang w:val="zh-CN"/>
              </w:rPr>
              <w:t>日期：   年</w:t>
            </w:r>
            <w:r>
              <w:rPr>
                <w:rFonts w:hint="eastAsia" w:ascii="宋体" w:hAnsi="宋体" w:eastAsia="宋体" w:cs="宋体"/>
                <w:color w:val="auto"/>
                <w:sz w:val="24"/>
              </w:rPr>
              <w:t xml:space="preserve">  </w:t>
            </w:r>
            <w:r>
              <w:rPr>
                <w:rFonts w:hint="eastAsia" w:ascii="宋体" w:hAnsi="宋体" w:eastAsia="宋体" w:cs="宋体"/>
                <w:color w:val="auto"/>
                <w:sz w:val="24"/>
                <w:lang w:val="zh-CN"/>
              </w:rPr>
              <w:t>月</w:t>
            </w:r>
            <w:r>
              <w:rPr>
                <w:rFonts w:hint="eastAsia" w:ascii="宋体" w:hAnsi="宋体" w:eastAsia="宋体" w:cs="宋体"/>
                <w:color w:val="auto"/>
                <w:sz w:val="24"/>
              </w:rPr>
              <w:t xml:space="preserve">  </w:t>
            </w:r>
            <w:r>
              <w:rPr>
                <w:rFonts w:hint="eastAsia" w:ascii="宋体" w:hAnsi="宋体" w:eastAsia="宋体" w:cs="宋体"/>
                <w:color w:val="auto"/>
                <w:sz w:val="24"/>
                <w:lang w:val="zh-CN"/>
              </w:rPr>
              <w:t>日</w:t>
            </w:r>
          </w:p>
        </w:tc>
      </w:tr>
    </w:tbl>
    <w:p w14:paraId="0997420B">
      <w:pPr>
        <w:spacing w:line="336" w:lineRule="auto"/>
        <w:ind w:firstLine="440"/>
        <w:rPr>
          <w:rFonts w:hint="eastAsia" w:ascii="宋体" w:hAnsi="宋体" w:eastAsia="宋体" w:cs="宋体"/>
          <w:color w:val="auto"/>
          <w:sz w:val="24"/>
        </w:rPr>
      </w:pPr>
    </w:p>
    <w:p w14:paraId="0111DE40">
      <w:pPr>
        <w:spacing w:line="336" w:lineRule="auto"/>
        <w:ind w:firstLine="440"/>
        <w:rPr>
          <w:rFonts w:hint="eastAsia" w:ascii="宋体" w:hAnsi="宋体" w:eastAsia="宋体" w:cs="宋体"/>
          <w:color w:val="auto"/>
          <w:sz w:val="24"/>
        </w:rPr>
      </w:pPr>
    </w:p>
    <w:p w14:paraId="29ABD4CF">
      <w:pPr>
        <w:spacing w:line="336" w:lineRule="auto"/>
        <w:ind w:firstLine="440"/>
        <w:rPr>
          <w:rFonts w:hint="eastAsia" w:ascii="宋体" w:hAnsi="宋体" w:eastAsia="宋体" w:cs="宋体"/>
          <w:color w:val="auto"/>
          <w:sz w:val="24"/>
        </w:rPr>
      </w:pPr>
    </w:p>
    <w:p w14:paraId="6B6CDBD5">
      <w:pPr>
        <w:spacing w:line="336" w:lineRule="auto"/>
        <w:ind w:firstLine="440"/>
        <w:rPr>
          <w:rFonts w:hint="eastAsia" w:ascii="宋体" w:hAnsi="宋体" w:eastAsia="宋体" w:cs="宋体"/>
          <w:color w:val="auto"/>
          <w:sz w:val="24"/>
        </w:rPr>
      </w:pPr>
    </w:p>
    <w:p w14:paraId="739EAB27">
      <w:pPr>
        <w:rPr>
          <w:rFonts w:hint="eastAsia" w:ascii="宋体" w:hAnsi="宋体" w:eastAsia="宋体" w:cs="宋体"/>
          <w:b/>
          <w:color w:val="auto"/>
          <w:sz w:val="36"/>
          <w:szCs w:val="36"/>
        </w:rPr>
      </w:pPr>
      <w:r>
        <w:rPr>
          <w:rFonts w:hint="eastAsia" w:ascii="宋体" w:hAnsi="宋体" w:eastAsia="宋体" w:cs="宋体"/>
          <w:b/>
          <w:color w:val="auto"/>
          <w:sz w:val="36"/>
          <w:szCs w:val="36"/>
        </w:rPr>
        <w:br w:type="page"/>
      </w:r>
    </w:p>
    <w:p w14:paraId="011CF308">
      <w:pPr>
        <w:jc w:val="center"/>
        <w:rPr>
          <w:rFonts w:hint="eastAsia" w:ascii="宋体" w:hAnsi="宋体" w:eastAsia="宋体" w:cs="宋体"/>
          <w:b/>
          <w:color w:val="auto"/>
          <w:sz w:val="32"/>
          <w:szCs w:val="32"/>
        </w:rPr>
      </w:pPr>
      <w:r>
        <w:rPr>
          <w:rFonts w:hint="eastAsia" w:ascii="宋体" w:hAnsi="宋体" w:eastAsia="宋体" w:cs="宋体"/>
          <w:b/>
          <w:color w:val="auto"/>
          <w:sz w:val="36"/>
          <w:szCs w:val="36"/>
        </w:rPr>
        <w:t>第六章 投标文件及附件格式</w:t>
      </w:r>
    </w:p>
    <w:p w14:paraId="219C4F66">
      <w:pPr>
        <w:jc w:val="center"/>
        <w:rPr>
          <w:rFonts w:hint="eastAsia" w:ascii="宋体" w:hAnsi="宋体" w:eastAsia="宋体" w:cs="宋体"/>
          <w:b/>
          <w:color w:val="auto"/>
          <w:sz w:val="31"/>
          <w:szCs w:val="31"/>
        </w:rPr>
      </w:pPr>
    </w:p>
    <w:tbl>
      <w:tblPr>
        <w:tblStyle w:val="40"/>
        <w:tblW w:w="22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0"/>
      </w:tblGrid>
      <w:tr w14:paraId="3A11B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2260" w:type="dxa"/>
          </w:tcPr>
          <w:p w14:paraId="4BE4E740">
            <w:pPr>
              <w:rPr>
                <w:rFonts w:hint="eastAsia" w:ascii="宋体" w:hAnsi="宋体" w:eastAsia="宋体" w:cs="宋体"/>
                <w:b/>
                <w:color w:val="auto"/>
                <w:sz w:val="40"/>
                <w:szCs w:val="40"/>
              </w:rPr>
            </w:pPr>
            <w:r>
              <w:rPr>
                <w:rFonts w:hint="eastAsia" w:ascii="宋体" w:hAnsi="宋体" w:eastAsia="宋体" w:cs="宋体"/>
                <w:b/>
                <w:color w:val="auto"/>
                <w:sz w:val="40"/>
                <w:szCs w:val="40"/>
              </w:rPr>
              <w:t>正本/副本</w:t>
            </w:r>
          </w:p>
        </w:tc>
      </w:tr>
    </w:tbl>
    <w:p w14:paraId="36FECD36">
      <w:pPr>
        <w:rPr>
          <w:rFonts w:hint="eastAsia" w:ascii="宋体" w:hAnsi="宋体" w:eastAsia="宋体" w:cs="宋体"/>
          <w:b/>
          <w:color w:val="auto"/>
          <w:sz w:val="40"/>
          <w:szCs w:val="40"/>
        </w:rPr>
      </w:pPr>
    </w:p>
    <w:p w14:paraId="4415CAC8">
      <w:pPr>
        <w:pStyle w:val="5"/>
        <w:rPr>
          <w:color w:val="auto"/>
        </w:rPr>
      </w:pPr>
    </w:p>
    <w:p w14:paraId="570357BF">
      <w:pPr>
        <w:jc w:val="center"/>
        <w:rPr>
          <w:rFonts w:hint="eastAsia" w:ascii="宋体" w:hAnsi="宋体" w:eastAsia="宋体" w:cs="宋体"/>
          <w:b/>
          <w:color w:val="auto"/>
          <w:sz w:val="56"/>
          <w:szCs w:val="56"/>
        </w:rPr>
      </w:pPr>
      <w:r>
        <w:rPr>
          <w:rFonts w:hint="eastAsia" w:ascii="宋体" w:hAnsi="宋体" w:eastAsia="宋体" w:cs="宋体"/>
          <w:b/>
          <w:color w:val="auto"/>
          <w:sz w:val="56"/>
          <w:szCs w:val="56"/>
        </w:rPr>
        <w:t>投 标 文 件</w:t>
      </w:r>
    </w:p>
    <w:p w14:paraId="7C7B39F2">
      <w:pPr>
        <w:jc w:val="center"/>
        <w:rPr>
          <w:rFonts w:hint="eastAsia" w:ascii="宋体" w:hAnsi="宋体" w:eastAsia="宋体" w:cs="宋体"/>
          <w:b/>
          <w:color w:val="auto"/>
          <w:sz w:val="43"/>
          <w:szCs w:val="43"/>
        </w:rPr>
      </w:pPr>
    </w:p>
    <w:p w14:paraId="64A4FF47">
      <w:pPr>
        <w:rPr>
          <w:rFonts w:hint="eastAsia" w:ascii="宋体" w:hAnsi="宋体" w:eastAsia="宋体" w:cs="宋体"/>
          <w:b/>
          <w:color w:val="auto"/>
          <w:sz w:val="43"/>
          <w:szCs w:val="43"/>
        </w:rPr>
      </w:pPr>
    </w:p>
    <w:p w14:paraId="69B31D83">
      <w:pPr>
        <w:keepNext/>
        <w:keepLines/>
        <w:spacing w:before="340" w:after="330" w:line="578" w:lineRule="auto"/>
        <w:outlineLvl w:val="0"/>
        <w:rPr>
          <w:rFonts w:hint="eastAsia" w:ascii="宋体" w:hAnsi="宋体" w:eastAsia="宋体" w:cs="宋体"/>
          <w:b/>
          <w:bCs/>
          <w:color w:val="auto"/>
          <w:sz w:val="44"/>
          <w:szCs w:val="44"/>
        </w:rPr>
      </w:pPr>
    </w:p>
    <w:p w14:paraId="6716C084">
      <w:pPr>
        <w:ind w:firstLine="1084"/>
        <w:rPr>
          <w:rFonts w:hint="eastAsia" w:ascii="宋体" w:hAnsi="宋体" w:eastAsia="宋体" w:cs="宋体"/>
          <w:b/>
          <w:bCs/>
          <w:color w:val="auto"/>
          <w:sz w:val="36"/>
          <w:szCs w:val="36"/>
        </w:rPr>
      </w:pPr>
      <w:r>
        <w:rPr>
          <w:rFonts w:hint="eastAsia" w:ascii="宋体" w:hAnsi="宋体" w:eastAsia="宋体" w:cs="宋体"/>
          <w:b/>
          <w:bCs/>
          <w:color w:val="auto"/>
          <w:sz w:val="36"/>
          <w:szCs w:val="36"/>
        </w:rPr>
        <w:t>项目名称：</w:t>
      </w:r>
    </w:p>
    <w:p w14:paraId="32FE429C">
      <w:pPr>
        <w:ind w:firstLine="1084"/>
        <w:rPr>
          <w:rFonts w:hint="eastAsia" w:ascii="宋体" w:hAnsi="宋体" w:eastAsia="宋体" w:cs="宋体"/>
          <w:b/>
          <w:bCs/>
          <w:color w:val="auto"/>
          <w:sz w:val="36"/>
          <w:szCs w:val="36"/>
        </w:rPr>
      </w:pPr>
      <w:r>
        <w:rPr>
          <w:rFonts w:hint="eastAsia" w:ascii="宋体" w:hAnsi="宋体" w:eastAsia="宋体" w:cs="宋体"/>
          <w:b/>
          <w:bCs/>
          <w:color w:val="auto"/>
          <w:sz w:val="36"/>
          <w:szCs w:val="36"/>
        </w:rPr>
        <w:t>项目编号：</w:t>
      </w:r>
    </w:p>
    <w:p w14:paraId="73A338A9">
      <w:pPr>
        <w:ind w:firstLine="1084"/>
        <w:rPr>
          <w:rFonts w:hint="eastAsia" w:ascii="宋体" w:hAnsi="宋体" w:eastAsia="宋体" w:cs="宋体"/>
          <w:b/>
          <w:bCs/>
          <w:color w:val="auto"/>
          <w:sz w:val="36"/>
          <w:szCs w:val="36"/>
          <w:u w:val="single"/>
        </w:rPr>
      </w:pPr>
    </w:p>
    <w:p w14:paraId="33918ED1">
      <w:pPr>
        <w:rPr>
          <w:rFonts w:hint="eastAsia" w:ascii="宋体" w:hAnsi="宋体" w:eastAsia="宋体" w:cs="宋体"/>
          <w:b/>
          <w:bCs/>
          <w:color w:val="auto"/>
          <w:sz w:val="36"/>
          <w:szCs w:val="36"/>
        </w:rPr>
      </w:pPr>
    </w:p>
    <w:p w14:paraId="077FCB7F">
      <w:pPr>
        <w:rPr>
          <w:rFonts w:hint="eastAsia" w:ascii="宋体" w:hAnsi="宋体" w:eastAsia="宋体" w:cs="宋体"/>
          <w:b/>
          <w:bCs/>
          <w:color w:val="auto"/>
          <w:sz w:val="36"/>
          <w:szCs w:val="36"/>
        </w:rPr>
      </w:pPr>
    </w:p>
    <w:p w14:paraId="5D5941FA">
      <w:pPr>
        <w:spacing w:line="360" w:lineRule="auto"/>
        <w:ind w:firstLine="480"/>
        <w:rPr>
          <w:rFonts w:hint="eastAsia" w:ascii="宋体" w:hAnsi="宋体" w:eastAsia="宋体" w:cs="宋体"/>
          <w:color w:val="auto"/>
          <w:sz w:val="24"/>
        </w:rPr>
      </w:pPr>
    </w:p>
    <w:p w14:paraId="66F430CE">
      <w:pPr>
        <w:rPr>
          <w:rFonts w:hint="eastAsia" w:ascii="宋体" w:hAnsi="宋体" w:eastAsia="宋体" w:cs="宋体"/>
          <w:b/>
          <w:bCs/>
          <w:color w:val="auto"/>
          <w:sz w:val="36"/>
          <w:szCs w:val="36"/>
        </w:rPr>
      </w:pPr>
    </w:p>
    <w:p w14:paraId="746BD868">
      <w:pPr>
        <w:rPr>
          <w:rFonts w:hint="eastAsia" w:ascii="宋体" w:hAnsi="宋体" w:eastAsia="宋体" w:cs="宋体"/>
          <w:b/>
          <w:bCs/>
          <w:color w:val="auto"/>
          <w:sz w:val="36"/>
          <w:szCs w:val="36"/>
        </w:rPr>
      </w:pPr>
    </w:p>
    <w:p w14:paraId="2F66D894">
      <w:pPr>
        <w:rPr>
          <w:rFonts w:hint="eastAsia" w:ascii="宋体" w:hAnsi="宋体" w:eastAsia="宋体" w:cs="宋体"/>
          <w:b/>
          <w:bCs/>
          <w:color w:val="auto"/>
          <w:sz w:val="36"/>
          <w:szCs w:val="36"/>
        </w:rPr>
      </w:pPr>
    </w:p>
    <w:p w14:paraId="7E648362">
      <w:pPr>
        <w:rPr>
          <w:rFonts w:hint="eastAsia" w:ascii="宋体" w:hAnsi="宋体" w:eastAsia="宋体" w:cs="宋体"/>
          <w:b/>
          <w:bCs/>
          <w:color w:val="auto"/>
          <w:sz w:val="36"/>
          <w:szCs w:val="36"/>
        </w:rPr>
      </w:pPr>
    </w:p>
    <w:p w14:paraId="01942956">
      <w:pPr>
        <w:spacing w:line="360" w:lineRule="auto"/>
        <w:ind w:firstLine="1083"/>
        <w:rPr>
          <w:rFonts w:hint="eastAsia" w:ascii="宋体" w:hAnsi="宋体" w:eastAsia="宋体" w:cs="宋体"/>
          <w:b/>
          <w:bCs/>
          <w:color w:val="auto"/>
          <w:sz w:val="36"/>
          <w:szCs w:val="36"/>
        </w:rPr>
      </w:pPr>
      <w:r>
        <w:rPr>
          <w:rFonts w:hint="eastAsia" w:ascii="宋体" w:hAnsi="宋体" w:eastAsia="宋体" w:cs="宋体"/>
          <w:b/>
          <w:bCs/>
          <w:color w:val="auto"/>
          <w:sz w:val="36"/>
          <w:szCs w:val="36"/>
        </w:rPr>
        <w:t>供应商名称：（加盖公章）</w:t>
      </w:r>
    </w:p>
    <w:p w14:paraId="436AF80B">
      <w:pPr>
        <w:spacing w:line="360" w:lineRule="auto"/>
        <w:ind w:firstLine="1083"/>
        <w:rPr>
          <w:rFonts w:hint="eastAsia" w:ascii="宋体" w:hAnsi="宋体" w:eastAsia="宋体" w:cs="宋体"/>
          <w:b/>
          <w:bCs/>
          <w:color w:val="auto"/>
          <w:sz w:val="36"/>
          <w:szCs w:val="36"/>
        </w:rPr>
      </w:pPr>
      <w:r>
        <w:rPr>
          <w:rFonts w:hint="eastAsia" w:ascii="宋体" w:hAnsi="宋体" w:eastAsia="宋体" w:cs="宋体"/>
          <w:b/>
          <w:bCs/>
          <w:color w:val="auto"/>
          <w:sz w:val="36"/>
          <w:szCs w:val="36"/>
        </w:rPr>
        <w:t>日期：</w:t>
      </w:r>
    </w:p>
    <w:p w14:paraId="11F655A6">
      <w:pPr>
        <w:spacing w:line="360" w:lineRule="auto"/>
        <w:ind w:firstLine="1083"/>
        <w:rPr>
          <w:rFonts w:hint="eastAsia" w:ascii="宋体" w:hAnsi="宋体" w:eastAsia="宋体" w:cs="宋体"/>
          <w:b/>
          <w:bCs/>
          <w:color w:val="auto"/>
          <w:sz w:val="36"/>
          <w:szCs w:val="36"/>
        </w:rPr>
      </w:pPr>
    </w:p>
    <w:p w14:paraId="45B77F57">
      <w:pPr>
        <w:rPr>
          <w:rFonts w:hint="eastAsia" w:ascii="宋体" w:hAnsi="宋体" w:eastAsia="宋体" w:cs="宋体"/>
          <w:b/>
          <w:bCs/>
          <w:color w:val="auto"/>
          <w:sz w:val="31"/>
          <w:szCs w:val="31"/>
        </w:rPr>
      </w:pPr>
      <w:r>
        <w:rPr>
          <w:rFonts w:hint="eastAsia" w:ascii="宋体" w:hAnsi="宋体" w:eastAsia="宋体" w:cs="宋体"/>
          <w:b/>
          <w:bCs/>
          <w:color w:val="auto"/>
          <w:sz w:val="36"/>
          <w:szCs w:val="36"/>
        </w:rPr>
        <w:br w:type="page"/>
      </w:r>
      <w:r>
        <w:rPr>
          <w:rFonts w:hint="eastAsia" w:ascii="宋体" w:hAnsi="宋体" w:eastAsia="宋体" w:cs="宋体"/>
          <w:b/>
          <w:color w:val="auto"/>
          <w:sz w:val="31"/>
          <w:szCs w:val="31"/>
        </w:rPr>
        <w:t>附件一、投标申请及声明格式</w:t>
      </w:r>
    </w:p>
    <w:p w14:paraId="4105DB0B">
      <w:pPr>
        <w:spacing w:after="120"/>
        <w:rPr>
          <w:rFonts w:hint="eastAsia" w:ascii="宋体" w:hAnsi="宋体" w:eastAsia="宋体" w:cs="宋体"/>
          <w:color w:val="auto"/>
          <w:sz w:val="24"/>
        </w:rPr>
      </w:pPr>
    </w:p>
    <w:p w14:paraId="7426AF5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投标申请及声明</w:t>
      </w:r>
    </w:p>
    <w:p w14:paraId="639953CE">
      <w:pPr>
        <w:pStyle w:val="17"/>
        <w:rPr>
          <w:rFonts w:hint="eastAsia"/>
          <w:color w:val="auto"/>
        </w:rPr>
      </w:pPr>
    </w:p>
    <w:p w14:paraId="255986AE">
      <w:pPr>
        <w:spacing w:line="336" w:lineRule="auto"/>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南京市栖霞区农业农村局</w:t>
      </w:r>
    </w:p>
    <w:p w14:paraId="5B8D7C08">
      <w:pPr>
        <w:spacing w:line="336" w:lineRule="auto"/>
        <w:ind w:left="420" w:firstLine="440"/>
        <w:rPr>
          <w:rFonts w:hint="eastAsia" w:ascii="宋体" w:hAnsi="宋体" w:eastAsia="宋体" w:cs="宋体"/>
          <w:color w:val="auto"/>
          <w:sz w:val="24"/>
        </w:rPr>
      </w:pPr>
      <w:r>
        <w:rPr>
          <w:rFonts w:hint="eastAsia" w:ascii="宋体" w:hAnsi="宋体" w:eastAsia="宋体" w:cs="宋体"/>
          <w:color w:val="auto"/>
          <w:sz w:val="24"/>
        </w:rPr>
        <w:t>根据贵方</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项目名称）</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（项目编号）</w:t>
      </w:r>
      <w:r>
        <w:rPr>
          <w:rFonts w:hint="eastAsia" w:ascii="宋体" w:hAnsi="宋体" w:eastAsia="宋体" w:cs="宋体"/>
          <w:color w:val="auto"/>
          <w:sz w:val="24"/>
          <w:u w:val="single"/>
        </w:rPr>
        <w:t xml:space="preserve">     （项目名称）</w:t>
      </w:r>
      <w:r>
        <w:rPr>
          <w:rFonts w:hint="eastAsia" w:ascii="宋体" w:hAnsi="宋体" w:eastAsia="宋体" w:cs="宋体"/>
          <w:color w:val="auto"/>
          <w:sz w:val="24"/>
        </w:rPr>
        <w:t>投标邀请，正式授权下述签字人</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姓名）代表供应商 </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（供应商名称），提交投标文件。</w:t>
      </w:r>
    </w:p>
    <w:p w14:paraId="16F6F75C">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据此函，签字人兹宣布声明和承诺如下：</w:t>
      </w:r>
    </w:p>
    <w:p w14:paraId="094C79CE">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1.我们的资格条件完全符合本次招标要求，我们同意并向贵方提供了与投标有关的所有证据和资料。</w:t>
      </w:r>
    </w:p>
    <w:p w14:paraId="7A6A7A9A">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2.按招标要求，我们的投标报价为</w:t>
      </w:r>
      <w:r>
        <w:rPr>
          <w:rFonts w:hint="eastAsia" w:ascii="宋体" w:hAnsi="宋体" w:eastAsia="宋体" w:cs="宋体"/>
          <w:color w:val="auto"/>
          <w:sz w:val="24"/>
          <w:u w:val="single"/>
        </w:rPr>
        <w:t xml:space="preserve">           元</w:t>
      </w:r>
      <w:r>
        <w:rPr>
          <w:rFonts w:hint="eastAsia" w:ascii="宋体" w:hAnsi="宋体" w:eastAsia="宋体" w:cs="宋体"/>
          <w:color w:val="auto"/>
          <w:sz w:val="24"/>
        </w:rPr>
        <w:t>，大写</w:t>
      </w:r>
      <w:r>
        <w:rPr>
          <w:rFonts w:hint="eastAsia" w:ascii="宋体" w:hAnsi="宋体" w:eastAsia="宋体" w:cs="宋体"/>
          <w:color w:val="auto"/>
          <w:sz w:val="24"/>
          <w:u w:val="single"/>
        </w:rPr>
        <w:t xml:space="preserve">         。</w:t>
      </w:r>
    </w:p>
    <w:p w14:paraId="453D1141">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 xml:space="preserve">3.项目负责人 </w:t>
      </w:r>
      <w:r>
        <w:rPr>
          <w:rFonts w:hint="eastAsia" w:ascii="宋体" w:hAnsi="宋体" w:eastAsia="宋体" w:cs="宋体"/>
          <w:color w:val="auto"/>
          <w:sz w:val="24"/>
          <w:u w:val="single"/>
        </w:rPr>
        <w:t xml:space="preserve">          （姓名）</w:t>
      </w:r>
      <w:r>
        <w:rPr>
          <w:rFonts w:hint="eastAsia" w:ascii="宋体" w:hAnsi="宋体" w:eastAsia="宋体" w:cs="宋体"/>
          <w:color w:val="auto"/>
          <w:sz w:val="24"/>
        </w:rPr>
        <w:t>；合同履行期限</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0B18FEC4">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4.我们已详细审核全部招标文件及其有效补充文件，我们放弃对招标文件任何误解的权利，在提交投标文件后，不对招标文件本身提出质疑。</w:t>
      </w:r>
    </w:p>
    <w:p w14:paraId="3A851F36">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5.我们同意从规定的开标日期起遵循本投标文件，并在规定的投标有效期期满之前均具有约束力。</w:t>
      </w:r>
    </w:p>
    <w:p w14:paraId="3B6013DD">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6.一旦我方中标，我方将根据招标文件的规定严格履行合同。</w:t>
      </w:r>
    </w:p>
    <w:p w14:paraId="7A199B08">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7.我方决不提供虚假材料谋取中标、决不采取不正当手段诋毁、排挤其他供应商、决不与采购人、其他供应商或者招标代理恶意串通、决不向采购人、采购单位工作人员和评委进行商业贿赂、决不在采购过程中与采购人进行协商谈判、决不拒绝有关部门监督检查或提供虚假情况，如有违反，无条件接受贵方及相关管理部门的处罚。</w:t>
      </w:r>
    </w:p>
    <w:p w14:paraId="499E9909">
      <w:pPr>
        <w:spacing w:line="336" w:lineRule="auto"/>
        <w:ind w:firstLine="440"/>
        <w:rPr>
          <w:rFonts w:hint="eastAsia" w:ascii="宋体" w:hAnsi="宋体" w:eastAsia="宋体" w:cs="宋体"/>
          <w:color w:val="auto"/>
          <w:sz w:val="24"/>
        </w:rPr>
      </w:pPr>
      <w:r>
        <w:rPr>
          <w:rFonts w:hint="eastAsia" w:ascii="宋体" w:hAnsi="宋体" w:eastAsia="宋体" w:cs="宋体"/>
          <w:color w:val="auto"/>
          <w:sz w:val="24"/>
        </w:rPr>
        <w:t>8.与本投标有关的正式联系方式为：</w:t>
      </w:r>
    </w:p>
    <w:p w14:paraId="74A2692E">
      <w:pPr>
        <w:spacing w:line="336" w:lineRule="auto"/>
        <w:ind w:firstLine="420"/>
        <w:rPr>
          <w:rFonts w:hint="eastAsia" w:ascii="宋体" w:hAnsi="宋体" w:eastAsia="宋体" w:cs="宋体"/>
          <w:color w:val="auto"/>
          <w:sz w:val="24"/>
        </w:rPr>
      </w:pPr>
      <w:r>
        <w:rPr>
          <w:rFonts w:hint="eastAsia" w:ascii="宋体" w:hAnsi="宋体" w:eastAsia="宋体" w:cs="宋体"/>
          <w:color w:val="auto"/>
          <w:sz w:val="24"/>
        </w:rPr>
        <w:t>地址：</w:t>
      </w:r>
      <w:r>
        <w:rPr>
          <w:rFonts w:hint="eastAsia" w:ascii="宋体" w:hAnsi="宋体" w:eastAsia="宋体" w:cs="宋体"/>
          <w:color w:val="auto"/>
          <w:sz w:val="24"/>
          <w:u w:val="single"/>
        </w:rPr>
        <w:t xml:space="preserve">                </w:t>
      </w:r>
    </w:p>
    <w:p w14:paraId="54F5B27E">
      <w:pPr>
        <w:spacing w:line="336" w:lineRule="auto"/>
        <w:ind w:firstLine="420"/>
        <w:rPr>
          <w:rFonts w:hint="eastAsia" w:ascii="宋体" w:hAnsi="宋体" w:eastAsia="宋体" w:cs="宋体"/>
          <w:color w:val="auto"/>
          <w:sz w:val="24"/>
          <w:u w:val="single"/>
        </w:rPr>
      </w:pPr>
      <w:r>
        <w:rPr>
          <w:rFonts w:hint="eastAsia" w:ascii="宋体" w:hAnsi="宋体" w:eastAsia="宋体" w:cs="宋体"/>
          <w:color w:val="auto"/>
          <w:sz w:val="24"/>
        </w:rPr>
        <w:t>电话：</w:t>
      </w:r>
      <w:r>
        <w:rPr>
          <w:rFonts w:hint="eastAsia" w:ascii="宋体" w:hAnsi="宋体" w:eastAsia="宋体" w:cs="宋体"/>
          <w:color w:val="auto"/>
          <w:sz w:val="24"/>
          <w:u w:val="single"/>
        </w:rPr>
        <w:t xml:space="preserve">                </w:t>
      </w:r>
    </w:p>
    <w:p w14:paraId="0D50E186">
      <w:pPr>
        <w:spacing w:line="336" w:lineRule="auto"/>
        <w:ind w:firstLine="420"/>
        <w:rPr>
          <w:rFonts w:hint="eastAsia" w:ascii="宋体" w:hAnsi="宋体" w:eastAsia="宋体" w:cs="宋体"/>
          <w:color w:val="auto"/>
          <w:sz w:val="24"/>
        </w:rPr>
      </w:pPr>
      <w:r>
        <w:rPr>
          <w:rFonts w:hint="eastAsia" w:ascii="宋体" w:hAnsi="宋体" w:eastAsia="宋体" w:cs="宋体"/>
          <w:color w:val="auto"/>
          <w:sz w:val="24"/>
        </w:rPr>
        <w:t>开户银行：</w:t>
      </w:r>
      <w:r>
        <w:rPr>
          <w:rFonts w:hint="eastAsia" w:ascii="宋体" w:hAnsi="宋体" w:eastAsia="宋体" w:cs="宋体"/>
          <w:color w:val="auto"/>
          <w:sz w:val="24"/>
          <w:u w:val="single"/>
        </w:rPr>
        <w:t xml:space="preserve">                </w:t>
      </w:r>
    </w:p>
    <w:p w14:paraId="4F5FC477">
      <w:pPr>
        <w:spacing w:line="336" w:lineRule="auto"/>
        <w:ind w:firstLine="420"/>
        <w:rPr>
          <w:rFonts w:hint="eastAsia" w:ascii="宋体" w:hAnsi="宋体" w:eastAsia="宋体" w:cs="宋体"/>
          <w:color w:val="auto"/>
          <w:sz w:val="24"/>
        </w:rPr>
      </w:pPr>
      <w:r>
        <w:rPr>
          <w:rFonts w:hint="eastAsia" w:ascii="宋体" w:hAnsi="宋体" w:eastAsia="宋体" w:cs="宋体"/>
          <w:color w:val="auto"/>
          <w:sz w:val="24"/>
        </w:rPr>
        <w:t>银行账号：</w:t>
      </w:r>
      <w:r>
        <w:rPr>
          <w:rFonts w:hint="eastAsia" w:ascii="宋体" w:hAnsi="宋体" w:eastAsia="宋体" w:cs="宋体"/>
          <w:color w:val="auto"/>
          <w:sz w:val="24"/>
          <w:u w:val="single"/>
        </w:rPr>
        <w:t xml:space="preserve">                </w:t>
      </w:r>
    </w:p>
    <w:p w14:paraId="65AE64F2">
      <w:pPr>
        <w:spacing w:line="336" w:lineRule="auto"/>
        <w:ind w:firstLine="420"/>
        <w:rPr>
          <w:rFonts w:hint="eastAsia" w:ascii="宋体" w:hAnsi="宋体" w:eastAsia="宋体" w:cs="宋体"/>
          <w:color w:val="auto"/>
          <w:sz w:val="24"/>
        </w:rPr>
      </w:pPr>
      <w:r>
        <w:rPr>
          <w:rFonts w:hint="eastAsia" w:ascii="宋体" w:hAnsi="宋体" w:eastAsia="宋体" w:cs="宋体"/>
          <w:color w:val="auto"/>
          <w:sz w:val="24"/>
        </w:rPr>
        <w:t>供应商授权代表姓名（签字或盖章）：</w:t>
      </w:r>
      <w:r>
        <w:rPr>
          <w:rFonts w:hint="eastAsia" w:ascii="宋体" w:hAnsi="宋体" w:eastAsia="宋体" w:cs="宋体"/>
          <w:color w:val="auto"/>
          <w:sz w:val="24"/>
          <w:u w:val="single"/>
        </w:rPr>
        <w:t xml:space="preserve">                </w:t>
      </w:r>
    </w:p>
    <w:p w14:paraId="17F0B1A8">
      <w:pPr>
        <w:spacing w:line="336" w:lineRule="auto"/>
        <w:ind w:firstLine="420"/>
        <w:rPr>
          <w:rFonts w:hint="eastAsia" w:ascii="宋体" w:hAnsi="宋体" w:eastAsia="宋体" w:cs="宋体"/>
          <w:color w:val="auto"/>
          <w:sz w:val="24"/>
        </w:rPr>
      </w:pPr>
      <w:r>
        <w:rPr>
          <w:rFonts w:hint="eastAsia" w:ascii="宋体" w:hAnsi="宋体" w:eastAsia="宋体" w:cs="宋体"/>
          <w:color w:val="auto"/>
          <w:sz w:val="24"/>
        </w:rPr>
        <w:t>供应商名称：</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7E92D875">
      <w:pPr>
        <w:spacing w:line="360" w:lineRule="auto"/>
        <w:ind w:firstLine="420"/>
        <w:rPr>
          <w:rFonts w:hint="eastAsia" w:ascii="宋体" w:hAnsi="宋体" w:eastAsia="宋体" w:cs="宋体"/>
          <w:color w:val="auto"/>
          <w:sz w:val="24"/>
        </w:rPr>
      </w:pPr>
      <w:r>
        <w:rPr>
          <w:rFonts w:hint="eastAsia" w:ascii="宋体" w:hAnsi="宋体" w:eastAsia="宋体" w:cs="宋体"/>
          <w:color w:val="auto"/>
          <w:sz w:val="24"/>
        </w:rPr>
        <w:t>日期：</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日</w:t>
      </w:r>
    </w:p>
    <w:p w14:paraId="4040EF8C">
      <w:pPr>
        <w:rPr>
          <w:rFonts w:hint="eastAsia" w:ascii="宋体" w:hAnsi="宋体" w:eastAsia="宋体" w:cs="宋体"/>
          <w:b/>
          <w:color w:val="auto"/>
          <w:sz w:val="31"/>
          <w:szCs w:val="31"/>
        </w:rPr>
      </w:pPr>
      <w:r>
        <w:rPr>
          <w:rFonts w:hint="eastAsia" w:ascii="宋体" w:hAnsi="宋体" w:eastAsia="宋体" w:cs="宋体"/>
          <w:b/>
          <w:color w:val="auto"/>
          <w:sz w:val="31"/>
          <w:szCs w:val="31"/>
        </w:rPr>
        <w:br w:type="page" w:clear="all"/>
      </w:r>
      <w:r>
        <w:rPr>
          <w:rFonts w:hint="eastAsia" w:ascii="宋体" w:hAnsi="宋体" w:eastAsia="宋体" w:cs="宋体"/>
          <w:b/>
          <w:color w:val="auto"/>
          <w:sz w:val="31"/>
          <w:szCs w:val="31"/>
        </w:rPr>
        <w:t>附件二、法定代表人授权委托书格式</w:t>
      </w:r>
    </w:p>
    <w:p w14:paraId="75C604B6">
      <w:pPr>
        <w:spacing w:after="120"/>
        <w:rPr>
          <w:rFonts w:hint="eastAsia" w:ascii="宋体" w:hAnsi="宋体" w:eastAsia="宋体" w:cs="宋体"/>
          <w:color w:val="auto"/>
          <w:sz w:val="24"/>
        </w:rPr>
      </w:pPr>
    </w:p>
    <w:p w14:paraId="21A601DB">
      <w:pPr>
        <w:rPr>
          <w:rFonts w:hint="eastAsia" w:ascii="宋体" w:hAnsi="宋体" w:eastAsia="宋体" w:cs="宋体"/>
          <w:color w:val="auto"/>
        </w:rPr>
      </w:pPr>
    </w:p>
    <w:p w14:paraId="6161B5B3">
      <w:pPr>
        <w:jc w:val="center"/>
        <w:rPr>
          <w:rFonts w:hint="eastAsia" w:ascii="宋体" w:hAnsi="宋体" w:eastAsia="宋体" w:cs="宋体"/>
          <w:color w:val="auto"/>
        </w:rPr>
      </w:pPr>
      <w:r>
        <w:rPr>
          <w:rFonts w:hint="eastAsia" w:ascii="宋体" w:hAnsi="宋体" w:eastAsia="宋体" w:cs="宋体"/>
          <w:color w:val="auto"/>
          <w:sz w:val="28"/>
          <w:szCs w:val="28"/>
        </w:rPr>
        <w:t>法定代表人授权委托书</w:t>
      </w:r>
    </w:p>
    <w:p w14:paraId="706CAEC1">
      <w:pPr>
        <w:spacing w:line="360" w:lineRule="auto"/>
        <w:rPr>
          <w:rFonts w:hint="eastAsia" w:ascii="宋体" w:hAnsi="宋体" w:eastAsia="宋体" w:cs="宋体"/>
          <w:color w:val="auto"/>
          <w:sz w:val="24"/>
          <w:u w:val="single"/>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p>
    <w:p w14:paraId="1FB582FB">
      <w:pPr>
        <w:spacing w:line="360" w:lineRule="auto"/>
        <w:ind w:left="-420" w:firstLine="960"/>
        <w:rPr>
          <w:rFonts w:hint="eastAsia" w:ascii="宋体" w:hAnsi="宋体" w:eastAsia="宋体" w:cs="宋体"/>
          <w:color w:val="auto"/>
          <w:sz w:val="24"/>
        </w:rPr>
      </w:pPr>
      <w:r>
        <w:rPr>
          <w:rFonts w:hint="eastAsia" w:ascii="宋体" w:hAnsi="宋体" w:eastAsia="宋体" w:cs="宋体"/>
          <w:color w:val="auto"/>
          <w:sz w:val="24"/>
        </w:rPr>
        <w:t xml:space="preserve">本授权书声明：注册于 </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（供应商住址）的 </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（法定代表人姓名）代表本公司授权在下面签字的</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（供应商代表姓名）为本公司的合法代理人，就贵方组织的 </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（项目名称），</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（项目编号）投标，以本公司名义处理一切与之有关的事务。</w:t>
      </w:r>
    </w:p>
    <w:p w14:paraId="2BB809C8">
      <w:pPr>
        <w:spacing w:line="360" w:lineRule="auto"/>
        <w:ind w:firstLine="480"/>
        <w:rPr>
          <w:rFonts w:hint="eastAsia" w:ascii="宋体" w:hAnsi="宋体" w:eastAsia="宋体" w:cs="宋体"/>
          <w:color w:val="auto"/>
          <w:sz w:val="24"/>
        </w:rPr>
      </w:pPr>
    </w:p>
    <w:p w14:paraId="60046118">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本授权书于</w:t>
      </w:r>
      <w:r>
        <w:rPr>
          <w:rFonts w:hint="eastAsia" w:ascii="宋体" w:hAnsi="宋体" w:eastAsia="宋体" w:cs="宋体"/>
          <w:color w:val="auto"/>
          <w:sz w:val="24"/>
          <w:u w:val="single"/>
        </w:rPr>
        <w:t xml:space="preserve">    年  月  日</w:t>
      </w:r>
      <w:r>
        <w:rPr>
          <w:rFonts w:hint="eastAsia" w:ascii="宋体" w:hAnsi="宋体" w:eastAsia="宋体" w:cs="宋体"/>
          <w:color w:val="auto"/>
          <w:sz w:val="24"/>
        </w:rPr>
        <w:t>签字生效，特此声明。</w:t>
      </w:r>
    </w:p>
    <w:p w14:paraId="6DF08B49">
      <w:pPr>
        <w:spacing w:line="360" w:lineRule="auto"/>
        <w:ind w:firstLine="480"/>
        <w:rPr>
          <w:rFonts w:hint="eastAsia" w:ascii="宋体" w:hAnsi="宋体" w:eastAsia="宋体" w:cs="宋体"/>
          <w:color w:val="auto"/>
          <w:sz w:val="24"/>
        </w:rPr>
      </w:pPr>
    </w:p>
    <w:p w14:paraId="22DAEED8">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法定代表人签字或盖章：</w:t>
      </w:r>
    </w:p>
    <w:p w14:paraId="1246E049">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授权委托人签字或盖章：</w:t>
      </w:r>
    </w:p>
    <w:p w14:paraId="04631A95">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日期：    年    月      日</w:t>
      </w:r>
    </w:p>
    <w:p w14:paraId="68BF01F2">
      <w:pPr>
        <w:spacing w:line="360" w:lineRule="auto"/>
        <w:rPr>
          <w:rFonts w:hint="eastAsia" w:ascii="宋体" w:hAnsi="宋体" w:eastAsia="宋体" w:cs="宋体"/>
          <w:color w:val="auto"/>
          <w:sz w:val="24"/>
        </w:rPr>
      </w:pPr>
    </w:p>
    <w:p w14:paraId="509E05A9">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委托代理人的身份证的复印件：</w:t>
      </w:r>
    </w:p>
    <w:p w14:paraId="2DB18B49">
      <w:pPr>
        <w:spacing w:line="360" w:lineRule="auto"/>
        <w:ind w:firstLine="480"/>
        <w:rPr>
          <w:rFonts w:hint="eastAsia" w:ascii="宋体" w:hAnsi="宋体" w:eastAsia="宋体" w:cs="宋体"/>
          <w:color w:val="auto"/>
          <w:sz w:val="24"/>
        </w:rPr>
      </w:pPr>
    </w:p>
    <w:p w14:paraId="5644A486">
      <w:pPr>
        <w:spacing w:line="360" w:lineRule="auto"/>
        <w:ind w:firstLine="420"/>
        <w:rPr>
          <w:rFonts w:hint="eastAsia" w:ascii="宋体" w:hAnsi="宋体" w:eastAsia="宋体" w:cs="宋体"/>
          <w:color w:val="auto"/>
          <w:szCs w:val="21"/>
        </w:rPr>
      </w:pPr>
    </w:p>
    <w:p w14:paraId="06122FAC">
      <w:pPr>
        <w:spacing w:after="120"/>
        <w:rPr>
          <w:rFonts w:hint="eastAsia" w:ascii="宋体" w:hAnsi="宋体" w:eastAsia="宋体" w:cs="宋体"/>
          <w:color w:val="auto"/>
          <w:sz w:val="24"/>
          <w:szCs w:val="21"/>
        </w:rPr>
      </w:pPr>
    </w:p>
    <w:p w14:paraId="322ECAEF">
      <w:pPr>
        <w:rPr>
          <w:rFonts w:hint="eastAsia" w:ascii="宋体" w:hAnsi="宋体" w:eastAsia="宋体" w:cs="宋体"/>
          <w:b/>
          <w:color w:val="auto"/>
          <w:sz w:val="31"/>
          <w:szCs w:val="31"/>
        </w:rPr>
      </w:pPr>
    </w:p>
    <w:p w14:paraId="37A1BB5C">
      <w:pPr>
        <w:rPr>
          <w:rFonts w:hint="eastAsia" w:ascii="宋体" w:hAnsi="宋体" w:eastAsia="宋体" w:cs="宋体"/>
          <w:b/>
          <w:color w:val="auto"/>
          <w:sz w:val="31"/>
          <w:szCs w:val="31"/>
        </w:rPr>
      </w:pPr>
    </w:p>
    <w:p w14:paraId="5226BB3A">
      <w:pPr>
        <w:rPr>
          <w:rFonts w:hint="eastAsia" w:ascii="宋体" w:hAnsi="宋体" w:eastAsia="宋体" w:cs="宋体"/>
          <w:b/>
          <w:color w:val="auto"/>
          <w:sz w:val="31"/>
          <w:szCs w:val="31"/>
        </w:rPr>
      </w:pPr>
    </w:p>
    <w:p w14:paraId="0A644D2B">
      <w:pPr>
        <w:rPr>
          <w:rFonts w:hint="eastAsia" w:ascii="宋体" w:hAnsi="宋体" w:eastAsia="宋体" w:cs="宋体"/>
          <w:b/>
          <w:color w:val="auto"/>
          <w:sz w:val="31"/>
          <w:szCs w:val="31"/>
        </w:rPr>
      </w:pPr>
    </w:p>
    <w:p w14:paraId="71CE6259">
      <w:pPr>
        <w:rPr>
          <w:rFonts w:hint="eastAsia" w:ascii="宋体" w:hAnsi="宋体" w:eastAsia="宋体" w:cs="宋体"/>
          <w:b/>
          <w:color w:val="auto"/>
          <w:sz w:val="31"/>
          <w:szCs w:val="31"/>
        </w:rPr>
      </w:pPr>
    </w:p>
    <w:p w14:paraId="237CD09C">
      <w:pPr>
        <w:rPr>
          <w:rFonts w:hint="eastAsia" w:ascii="宋体" w:hAnsi="宋体" w:eastAsia="宋体" w:cs="宋体"/>
          <w:b/>
          <w:color w:val="auto"/>
          <w:sz w:val="31"/>
          <w:szCs w:val="31"/>
        </w:rPr>
      </w:pPr>
    </w:p>
    <w:p w14:paraId="4F9CBB04">
      <w:pPr>
        <w:rPr>
          <w:rFonts w:hint="eastAsia" w:ascii="宋体" w:hAnsi="宋体" w:eastAsia="宋体" w:cs="宋体"/>
          <w:b/>
          <w:color w:val="auto"/>
          <w:sz w:val="31"/>
          <w:szCs w:val="31"/>
        </w:rPr>
      </w:pPr>
    </w:p>
    <w:p w14:paraId="18E9EF26">
      <w:pPr>
        <w:rPr>
          <w:rFonts w:hint="eastAsia" w:ascii="宋体" w:hAnsi="宋体" w:eastAsia="宋体" w:cs="宋体"/>
          <w:b/>
          <w:color w:val="auto"/>
          <w:sz w:val="31"/>
          <w:szCs w:val="31"/>
        </w:rPr>
      </w:pPr>
    </w:p>
    <w:p w14:paraId="55DB6EE5">
      <w:pPr>
        <w:rPr>
          <w:rFonts w:hint="eastAsia" w:ascii="宋体" w:hAnsi="宋体" w:eastAsia="宋体" w:cs="宋体"/>
          <w:b/>
          <w:color w:val="auto"/>
          <w:sz w:val="31"/>
          <w:szCs w:val="31"/>
        </w:rPr>
      </w:pPr>
    </w:p>
    <w:p w14:paraId="10FB72A9">
      <w:pPr>
        <w:rPr>
          <w:rFonts w:hint="eastAsia" w:ascii="宋体" w:hAnsi="宋体" w:eastAsia="宋体" w:cs="宋体"/>
          <w:b/>
          <w:color w:val="auto"/>
          <w:sz w:val="31"/>
          <w:szCs w:val="31"/>
        </w:rPr>
      </w:pPr>
    </w:p>
    <w:p w14:paraId="5CC49EDD">
      <w:pPr>
        <w:spacing w:after="120"/>
        <w:rPr>
          <w:rFonts w:hint="eastAsia" w:ascii="宋体" w:hAnsi="宋体" w:eastAsia="宋体" w:cs="宋体"/>
          <w:b/>
          <w:color w:val="auto"/>
          <w:sz w:val="31"/>
          <w:szCs w:val="31"/>
        </w:rPr>
      </w:pPr>
    </w:p>
    <w:p w14:paraId="558AB59B">
      <w:pPr>
        <w:rPr>
          <w:rFonts w:hint="eastAsia" w:ascii="宋体" w:hAnsi="宋体" w:eastAsia="宋体" w:cs="宋体"/>
          <w:color w:val="auto"/>
        </w:rPr>
      </w:pPr>
    </w:p>
    <w:p w14:paraId="1A066917">
      <w:pPr>
        <w:rPr>
          <w:rFonts w:hint="eastAsia" w:ascii="宋体" w:hAnsi="宋体" w:eastAsia="宋体" w:cs="宋体"/>
          <w:color w:val="auto"/>
          <w:sz w:val="24"/>
        </w:rPr>
      </w:pPr>
      <w:r>
        <w:rPr>
          <w:rFonts w:hint="eastAsia" w:ascii="宋体" w:hAnsi="宋体" w:eastAsia="宋体" w:cs="宋体"/>
          <w:color w:val="auto"/>
          <w:sz w:val="24"/>
        </w:rPr>
        <w:br w:type="page" w:clear="all"/>
      </w:r>
    </w:p>
    <w:p w14:paraId="45C2CAFD">
      <w:pPr>
        <w:rPr>
          <w:rFonts w:hint="eastAsia" w:ascii="宋体" w:hAnsi="宋体" w:eastAsia="宋体" w:cs="宋体"/>
          <w:b/>
          <w:color w:val="auto"/>
          <w:sz w:val="31"/>
          <w:szCs w:val="31"/>
        </w:rPr>
      </w:pPr>
      <w:r>
        <w:rPr>
          <w:rFonts w:hint="eastAsia" w:ascii="宋体" w:hAnsi="宋体" w:eastAsia="宋体" w:cs="宋体"/>
          <w:b/>
          <w:color w:val="auto"/>
          <w:sz w:val="31"/>
          <w:szCs w:val="31"/>
        </w:rPr>
        <w:t>附件三、开标一览表</w:t>
      </w:r>
    </w:p>
    <w:p w14:paraId="644B91E6">
      <w:pPr>
        <w:pStyle w:val="70"/>
        <w:rPr>
          <w:color w:val="auto"/>
        </w:rPr>
      </w:pPr>
    </w:p>
    <w:p w14:paraId="5B322D58">
      <w:pPr>
        <w:shd w:val="clear" w:color="auto" w:fill="FFFFFF"/>
        <w:spacing w:line="360" w:lineRule="auto"/>
        <w:ind w:firstLine="3960"/>
        <w:rPr>
          <w:rFonts w:hint="eastAsia" w:ascii="宋体" w:hAnsi="宋体" w:eastAsia="宋体" w:cs="宋体"/>
          <w:color w:val="auto"/>
          <w:sz w:val="36"/>
          <w:szCs w:val="36"/>
        </w:rPr>
      </w:pPr>
      <w:r>
        <w:rPr>
          <w:rFonts w:hint="eastAsia" w:ascii="宋体" w:hAnsi="宋体" w:eastAsia="宋体" w:cs="宋体"/>
          <w:color w:val="auto"/>
          <w:sz w:val="36"/>
          <w:szCs w:val="36"/>
        </w:rPr>
        <w:t>开标一览表</w:t>
      </w:r>
    </w:p>
    <w:p w14:paraId="6C4F0B23">
      <w:pPr>
        <w:spacing w:line="360" w:lineRule="auto"/>
        <w:rPr>
          <w:color w:val="auto"/>
          <w:sz w:val="24"/>
        </w:rPr>
      </w:pPr>
      <w:r>
        <w:rPr>
          <w:rFonts w:hint="eastAsia" w:ascii="宋体" w:hAnsi="宋体"/>
          <w:color w:val="auto"/>
          <w:sz w:val="24"/>
        </w:rPr>
        <w:t>项目名称：</w:t>
      </w:r>
    </w:p>
    <w:p w14:paraId="328F5F32">
      <w:pPr>
        <w:spacing w:line="360" w:lineRule="auto"/>
        <w:rPr>
          <w:rFonts w:hint="eastAsia" w:ascii="宋体" w:hAnsi="宋体"/>
          <w:color w:val="auto"/>
          <w:sz w:val="24"/>
        </w:rPr>
      </w:pPr>
      <w:r>
        <w:rPr>
          <w:rFonts w:hint="eastAsia" w:ascii="宋体" w:hAnsi="宋体"/>
          <w:color w:val="auto"/>
          <w:sz w:val="24"/>
        </w:rPr>
        <w:t xml:space="preserve">项目编号：                                   </w:t>
      </w:r>
    </w:p>
    <w:p w14:paraId="498ACEBE">
      <w:pPr>
        <w:spacing w:line="360" w:lineRule="auto"/>
        <w:rPr>
          <w:rFonts w:hint="eastAsia" w:ascii="宋体" w:hAnsi="宋体"/>
          <w:color w:val="auto"/>
          <w:sz w:val="24"/>
        </w:rPr>
      </w:pPr>
    </w:p>
    <w:tbl>
      <w:tblPr>
        <w:tblStyle w:val="39"/>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9"/>
        <w:gridCol w:w="5330"/>
        <w:gridCol w:w="1847"/>
      </w:tblGrid>
      <w:tr w14:paraId="6E48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4" w:hRule="atLeast"/>
        </w:trPr>
        <w:tc>
          <w:tcPr>
            <w:tcW w:w="2279" w:type="dxa"/>
            <w:vAlign w:val="center"/>
          </w:tcPr>
          <w:p w14:paraId="1C58E222">
            <w:pPr>
              <w:jc w:val="center"/>
              <w:rPr>
                <w:rFonts w:hint="eastAsia" w:ascii="宋体" w:hAnsi="宋体"/>
                <w:color w:val="auto"/>
                <w:sz w:val="24"/>
              </w:rPr>
            </w:pPr>
            <w:r>
              <w:rPr>
                <w:rFonts w:hint="eastAsia" w:ascii="宋体" w:hAnsi="宋体"/>
                <w:color w:val="auto"/>
                <w:sz w:val="24"/>
              </w:rPr>
              <w:t>项目名称</w:t>
            </w:r>
          </w:p>
        </w:tc>
        <w:tc>
          <w:tcPr>
            <w:tcW w:w="5330" w:type="dxa"/>
            <w:vAlign w:val="center"/>
          </w:tcPr>
          <w:p w14:paraId="04982975">
            <w:pPr>
              <w:jc w:val="left"/>
              <w:rPr>
                <w:rFonts w:hint="eastAsia" w:ascii="宋体" w:hAnsi="宋体"/>
                <w:color w:val="auto"/>
                <w:sz w:val="24"/>
              </w:rPr>
            </w:pPr>
            <w:r>
              <w:rPr>
                <w:rFonts w:hint="eastAsia" w:ascii="宋体" w:hAnsi="宋体"/>
                <w:color w:val="auto"/>
                <w:sz w:val="24"/>
                <w:lang w:val="zh-CN"/>
              </w:rPr>
              <w:t>2027年南京市栖霞区农药包装废弃物与废旧农膜回收处置项目</w:t>
            </w:r>
          </w:p>
        </w:tc>
        <w:tc>
          <w:tcPr>
            <w:tcW w:w="1847" w:type="dxa"/>
            <w:vAlign w:val="center"/>
          </w:tcPr>
          <w:p w14:paraId="62BD38FD">
            <w:pPr>
              <w:jc w:val="center"/>
              <w:rPr>
                <w:rFonts w:hint="eastAsia" w:ascii="宋体" w:hAnsi="宋体"/>
                <w:color w:val="auto"/>
                <w:sz w:val="24"/>
              </w:rPr>
            </w:pPr>
            <w:r>
              <w:rPr>
                <w:rFonts w:hint="eastAsia" w:ascii="宋体" w:hAnsi="宋体"/>
                <w:color w:val="auto"/>
                <w:sz w:val="24"/>
              </w:rPr>
              <w:t>备注</w:t>
            </w:r>
          </w:p>
        </w:tc>
      </w:tr>
      <w:tr w14:paraId="27DD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279" w:type="dxa"/>
            <w:vMerge w:val="restart"/>
            <w:vAlign w:val="center"/>
          </w:tcPr>
          <w:p w14:paraId="1615D0D5">
            <w:pPr>
              <w:pStyle w:val="232"/>
              <w:spacing w:before="0" w:after="0" w:line="500" w:lineRule="exact"/>
              <w:ind w:firstLine="0"/>
              <w:jc w:val="center"/>
              <w:rPr>
                <w:rFonts w:hint="eastAsia" w:ascii="宋体" w:hAnsi="宋体" w:cs="宋体"/>
                <w:color w:val="auto"/>
              </w:rPr>
            </w:pPr>
            <w:r>
              <w:rPr>
                <w:rFonts w:hint="eastAsia" w:ascii="宋体" w:hAnsi="宋体" w:cs="宋体"/>
                <w:color w:val="auto"/>
              </w:rPr>
              <w:t>总报价</w:t>
            </w:r>
          </w:p>
        </w:tc>
        <w:tc>
          <w:tcPr>
            <w:tcW w:w="5330" w:type="dxa"/>
            <w:vAlign w:val="center"/>
          </w:tcPr>
          <w:p w14:paraId="29BA9DD3">
            <w:pPr>
              <w:pStyle w:val="232"/>
              <w:spacing w:before="0" w:after="0" w:line="500" w:lineRule="exact"/>
              <w:ind w:firstLine="0"/>
              <w:rPr>
                <w:rFonts w:hint="eastAsia" w:ascii="宋体" w:hAnsi="宋体"/>
                <w:color w:val="auto"/>
                <w:szCs w:val="21"/>
              </w:rPr>
            </w:pPr>
            <w:r>
              <w:rPr>
                <w:rFonts w:hint="eastAsia" w:ascii="宋体" w:hAnsi="宋体" w:cs="宋体"/>
                <w:color w:val="auto"/>
              </w:rPr>
              <w:t>小写（人民币）：</w:t>
            </w:r>
            <w:bookmarkStart w:id="11" w:name="OLE_LINK12"/>
            <w:r>
              <w:rPr>
                <w:rFonts w:hint="eastAsia" w:ascii="宋体" w:hAnsi="宋体" w:cs="宋体"/>
                <w:color w:val="auto"/>
                <w:u w:val="single"/>
              </w:rPr>
              <w:t xml:space="preserve">        </w:t>
            </w:r>
            <w:bookmarkEnd w:id="11"/>
            <w:r>
              <w:rPr>
                <w:rFonts w:hint="eastAsia" w:ascii="宋体" w:hAnsi="宋体" w:cs="宋体"/>
                <w:color w:val="auto"/>
                <w:u w:val="single"/>
              </w:rPr>
              <w:t xml:space="preserve"> </w:t>
            </w:r>
            <w:r>
              <w:rPr>
                <w:rFonts w:hint="eastAsia" w:ascii="宋体" w:hAnsi="宋体" w:cs="宋体"/>
                <w:color w:val="auto"/>
              </w:rPr>
              <w:t xml:space="preserve">元                         </w:t>
            </w:r>
          </w:p>
        </w:tc>
        <w:tc>
          <w:tcPr>
            <w:tcW w:w="1847" w:type="dxa"/>
            <w:vMerge w:val="restart"/>
            <w:vAlign w:val="center"/>
          </w:tcPr>
          <w:p w14:paraId="3CE3824F">
            <w:pPr>
              <w:pStyle w:val="232"/>
              <w:spacing w:before="0" w:after="0" w:line="500" w:lineRule="exact"/>
              <w:ind w:firstLine="0"/>
              <w:jc w:val="center"/>
              <w:rPr>
                <w:rFonts w:hint="eastAsia" w:ascii="宋体" w:hAnsi="宋体" w:cs="宋体"/>
                <w:color w:val="auto"/>
              </w:rPr>
            </w:pPr>
          </w:p>
        </w:tc>
      </w:tr>
      <w:tr w14:paraId="53CA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7" w:hRule="atLeast"/>
        </w:trPr>
        <w:tc>
          <w:tcPr>
            <w:tcW w:w="2279" w:type="dxa"/>
            <w:vMerge w:val="continue"/>
            <w:vAlign w:val="center"/>
          </w:tcPr>
          <w:p w14:paraId="6F51C168">
            <w:pPr>
              <w:pStyle w:val="232"/>
              <w:spacing w:before="0" w:after="0" w:line="500" w:lineRule="exact"/>
              <w:ind w:firstLine="0"/>
              <w:jc w:val="center"/>
              <w:rPr>
                <w:rFonts w:hint="eastAsia" w:ascii="宋体" w:hAnsi="宋体" w:cs="宋体"/>
                <w:color w:val="auto"/>
              </w:rPr>
            </w:pPr>
          </w:p>
        </w:tc>
        <w:tc>
          <w:tcPr>
            <w:tcW w:w="5330" w:type="dxa"/>
            <w:vAlign w:val="center"/>
          </w:tcPr>
          <w:p w14:paraId="26102E96">
            <w:pPr>
              <w:pStyle w:val="232"/>
              <w:spacing w:before="0" w:after="0" w:line="500" w:lineRule="exact"/>
              <w:ind w:firstLine="0"/>
              <w:rPr>
                <w:rFonts w:hint="eastAsia" w:ascii="宋体" w:hAnsi="宋体" w:cs="宋体"/>
                <w:color w:val="auto"/>
              </w:rPr>
            </w:pPr>
            <w:r>
              <w:rPr>
                <w:rFonts w:hint="eastAsia" w:ascii="宋体" w:hAnsi="宋体" w:cs="宋体"/>
                <w:color w:val="auto"/>
              </w:rPr>
              <w:t>大写（人民币）：</w:t>
            </w:r>
            <w:r>
              <w:rPr>
                <w:rFonts w:hint="eastAsia" w:ascii="宋体" w:hAnsi="宋体" w:cs="宋体"/>
                <w:color w:val="auto"/>
                <w:u w:val="single"/>
              </w:rPr>
              <w:t xml:space="preserve">                          </w:t>
            </w:r>
          </w:p>
        </w:tc>
        <w:tc>
          <w:tcPr>
            <w:tcW w:w="1847" w:type="dxa"/>
            <w:vMerge w:val="continue"/>
            <w:vAlign w:val="center"/>
          </w:tcPr>
          <w:p w14:paraId="1DA9164A">
            <w:pPr>
              <w:pStyle w:val="232"/>
              <w:spacing w:before="0" w:after="0" w:line="500" w:lineRule="exact"/>
              <w:ind w:firstLine="0"/>
              <w:rPr>
                <w:rFonts w:hint="eastAsia" w:ascii="宋体" w:hAnsi="宋体" w:cs="宋体"/>
                <w:color w:val="auto"/>
              </w:rPr>
            </w:pPr>
          </w:p>
        </w:tc>
      </w:tr>
      <w:tr w14:paraId="1B18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trPr>
        <w:tc>
          <w:tcPr>
            <w:tcW w:w="2279" w:type="dxa"/>
            <w:vAlign w:val="center"/>
          </w:tcPr>
          <w:p w14:paraId="656CD63C">
            <w:pPr>
              <w:pStyle w:val="232"/>
              <w:spacing w:before="0" w:after="0" w:line="500" w:lineRule="exact"/>
              <w:ind w:firstLine="0"/>
              <w:jc w:val="center"/>
              <w:rPr>
                <w:rFonts w:hint="eastAsia" w:ascii="宋体" w:hAnsi="宋体" w:cs="宋体"/>
                <w:color w:val="auto"/>
              </w:rPr>
            </w:pPr>
            <w:r>
              <w:rPr>
                <w:rFonts w:hint="eastAsia" w:ascii="宋体" w:hAnsi="宋体" w:cs="宋体"/>
                <w:color w:val="auto"/>
              </w:rPr>
              <w:t>服务期</w:t>
            </w:r>
          </w:p>
        </w:tc>
        <w:tc>
          <w:tcPr>
            <w:tcW w:w="5330" w:type="dxa"/>
            <w:vAlign w:val="center"/>
          </w:tcPr>
          <w:p w14:paraId="4D354738">
            <w:pPr>
              <w:pStyle w:val="232"/>
              <w:spacing w:before="0" w:after="0" w:line="500" w:lineRule="exact"/>
              <w:ind w:firstLine="0"/>
              <w:rPr>
                <w:rFonts w:hint="eastAsia" w:ascii="宋体" w:hAnsi="宋体" w:cs="宋体"/>
                <w:color w:val="auto"/>
              </w:rPr>
            </w:pPr>
            <w:r>
              <w:rPr>
                <w:rFonts w:hint="eastAsia" w:ascii="宋体" w:hAnsi="宋体" w:cs="宋体"/>
                <w:color w:val="auto"/>
              </w:rPr>
              <w:t>满足招标文件要求</w:t>
            </w:r>
          </w:p>
        </w:tc>
        <w:tc>
          <w:tcPr>
            <w:tcW w:w="1847" w:type="dxa"/>
            <w:vAlign w:val="center"/>
          </w:tcPr>
          <w:p w14:paraId="3B977F82">
            <w:pPr>
              <w:pStyle w:val="232"/>
              <w:spacing w:before="0" w:after="0" w:line="500" w:lineRule="exact"/>
              <w:ind w:firstLine="0"/>
              <w:rPr>
                <w:rFonts w:hint="eastAsia" w:ascii="宋体" w:hAnsi="宋体" w:cs="宋体"/>
                <w:color w:val="auto"/>
              </w:rPr>
            </w:pPr>
          </w:p>
        </w:tc>
      </w:tr>
      <w:tr w14:paraId="1172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2" w:hRule="atLeast"/>
        </w:trPr>
        <w:tc>
          <w:tcPr>
            <w:tcW w:w="2279" w:type="dxa"/>
            <w:vAlign w:val="center"/>
          </w:tcPr>
          <w:p w14:paraId="42B1600E">
            <w:pPr>
              <w:pStyle w:val="232"/>
              <w:spacing w:before="0" w:after="0" w:line="500" w:lineRule="exact"/>
              <w:ind w:firstLine="0"/>
              <w:jc w:val="center"/>
              <w:rPr>
                <w:rFonts w:hint="eastAsia" w:ascii="宋体" w:hAnsi="宋体" w:cs="宋体"/>
                <w:color w:val="auto"/>
              </w:rPr>
            </w:pPr>
            <w:r>
              <w:rPr>
                <w:rFonts w:hint="eastAsia" w:ascii="宋体" w:hAnsi="宋体" w:cs="宋体"/>
                <w:color w:val="auto"/>
              </w:rPr>
              <w:t>项目负责人</w:t>
            </w:r>
          </w:p>
        </w:tc>
        <w:tc>
          <w:tcPr>
            <w:tcW w:w="5330" w:type="dxa"/>
            <w:vAlign w:val="center"/>
          </w:tcPr>
          <w:p w14:paraId="4C0F7460">
            <w:pPr>
              <w:pStyle w:val="232"/>
              <w:spacing w:before="0" w:after="0" w:line="500" w:lineRule="exact"/>
              <w:ind w:firstLine="0"/>
              <w:rPr>
                <w:rFonts w:hint="eastAsia" w:ascii="宋体" w:hAnsi="宋体" w:cs="宋体"/>
                <w:color w:val="auto"/>
              </w:rPr>
            </w:pPr>
          </w:p>
        </w:tc>
        <w:tc>
          <w:tcPr>
            <w:tcW w:w="1847" w:type="dxa"/>
            <w:vAlign w:val="center"/>
          </w:tcPr>
          <w:p w14:paraId="15C2F1B8">
            <w:pPr>
              <w:pStyle w:val="232"/>
              <w:spacing w:before="0" w:after="0" w:line="500" w:lineRule="exact"/>
              <w:ind w:firstLine="0"/>
              <w:rPr>
                <w:rFonts w:hint="eastAsia" w:ascii="宋体" w:hAnsi="宋体" w:cs="宋体"/>
                <w:color w:val="auto"/>
              </w:rPr>
            </w:pPr>
          </w:p>
        </w:tc>
      </w:tr>
      <w:tr w14:paraId="1964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trPr>
        <w:tc>
          <w:tcPr>
            <w:tcW w:w="2279" w:type="dxa"/>
            <w:vAlign w:val="center"/>
          </w:tcPr>
          <w:p w14:paraId="56B6C0C7">
            <w:pPr>
              <w:pStyle w:val="12"/>
              <w:spacing w:line="560" w:lineRule="exact"/>
              <w:ind w:firstLine="0"/>
              <w:jc w:val="center"/>
              <w:rPr>
                <w:rFonts w:hint="eastAsia" w:ascii="宋体" w:hAnsi="宋体" w:cs="宋体"/>
                <w:color w:val="auto"/>
              </w:rPr>
            </w:pPr>
            <w:r>
              <w:rPr>
                <w:rFonts w:ascii="宋体" w:hAnsi="宋体" w:cs="Arial"/>
                <w:color w:val="auto"/>
                <w:sz w:val="24"/>
              </w:rPr>
              <w:t>标的是否全部由小微企业提供</w:t>
            </w:r>
          </w:p>
        </w:tc>
        <w:tc>
          <w:tcPr>
            <w:tcW w:w="5330" w:type="dxa"/>
            <w:vAlign w:val="center"/>
          </w:tcPr>
          <w:p w14:paraId="45D26200">
            <w:pPr>
              <w:pStyle w:val="12"/>
              <w:spacing w:line="560" w:lineRule="exact"/>
              <w:ind w:firstLine="540" w:firstLineChars="225"/>
              <w:rPr>
                <w:rFonts w:hint="eastAsia" w:ascii="宋体" w:hAnsi="宋体" w:cs="宋体"/>
                <w:color w:val="auto"/>
              </w:rPr>
            </w:pPr>
            <w:r>
              <w:rPr>
                <w:rFonts w:ascii="宋体" w:hAnsi="宋体" w:cs="Arial"/>
                <w:color w:val="auto"/>
                <w:sz w:val="24"/>
                <w:u w:val="single"/>
              </w:rPr>
              <w:t xml:space="preserve">        </w:t>
            </w:r>
            <w:r>
              <w:rPr>
                <w:rFonts w:ascii="宋体" w:hAnsi="宋体" w:cs="Arial"/>
                <w:color w:val="auto"/>
                <w:sz w:val="24"/>
              </w:rPr>
              <w:t>（</w:t>
            </w:r>
            <w:r>
              <w:rPr>
                <w:rFonts w:ascii="宋体" w:hAnsi="宋体" w:cs="Arial"/>
                <w:color w:val="auto"/>
                <w:sz w:val="24"/>
                <w:lang w:val="zh-CN"/>
              </w:rPr>
              <w:t>填写“是”或“否</w:t>
            </w:r>
            <w:r>
              <w:rPr>
                <w:rFonts w:ascii="宋体" w:hAnsi="宋体" w:cs="Arial"/>
                <w:color w:val="auto"/>
                <w:sz w:val="24"/>
              </w:rPr>
              <w:t>）</w:t>
            </w:r>
          </w:p>
        </w:tc>
        <w:tc>
          <w:tcPr>
            <w:tcW w:w="1847" w:type="dxa"/>
            <w:vAlign w:val="center"/>
          </w:tcPr>
          <w:p w14:paraId="07D9CA88">
            <w:pPr>
              <w:pStyle w:val="12"/>
              <w:spacing w:line="560" w:lineRule="exact"/>
              <w:ind w:firstLine="0"/>
              <w:jc w:val="center"/>
              <w:rPr>
                <w:rFonts w:hint="eastAsia" w:ascii="宋体" w:hAnsi="宋体" w:cs="宋体"/>
                <w:color w:val="auto"/>
              </w:rPr>
            </w:pPr>
          </w:p>
        </w:tc>
      </w:tr>
    </w:tbl>
    <w:p w14:paraId="3C9F445F">
      <w:pPr>
        <w:rPr>
          <w:rFonts w:hint="eastAsia" w:ascii="宋体" w:hAnsi="宋体"/>
          <w:color w:val="auto"/>
          <w:sz w:val="24"/>
        </w:rPr>
      </w:pPr>
    </w:p>
    <w:p w14:paraId="7415B117">
      <w:pPr>
        <w:widowControl/>
        <w:shd w:val="clear" w:color="auto" w:fill="FFFFFF"/>
        <w:spacing w:line="560" w:lineRule="exact"/>
        <w:jc w:val="left"/>
        <w:rPr>
          <w:rFonts w:hint="eastAsia" w:ascii="宋体" w:hAnsi="宋体" w:cs="Arial"/>
          <w:color w:val="auto"/>
          <w:sz w:val="24"/>
        </w:rPr>
      </w:pPr>
      <w:r>
        <w:rPr>
          <w:rFonts w:ascii="宋体" w:hAnsi="宋体" w:cs="Arial"/>
          <w:color w:val="auto"/>
          <w:sz w:val="24"/>
        </w:rPr>
        <w:t>说明：</w:t>
      </w:r>
    </w:p>
    <w:p w14:paraId="70740FD6">
      <w:pPr>
        <w:widowControl/>
        <w:shd w:val="clear" w:color="auto" w:fill="FFFFFF"/>
        <w:spacing w:line="560" w:lineRule="exact"/>
        <w:jc w:val="left"/>
        <w:rPr>
          <w:rFonts w:hint="eastAsia" w:ascii="宋体" w:hAnsi="宋体" w:cs="Arial"/>
          <w:color w:val="auto"/>
          <w:sz w:val="24"/>
        </w:rPr>
      </w:pPr>
      <w:r>
        <w:rPr>
          <w:rFonts w:hint="eastAsia" w:ascii="宋体" w:hAnsi="宋体" w:cs="Arial"/>
          <w:color w:val="auto"/>
          <w:sz w:val="24"/>
        </w:rPr>
        <w:t>1.</w:t>
      </w:r>
      <w:r>
        <w:rPr>
          <w:rFonts w:ascii="宋体" w:hAnsi="宋体" w:cs="Arial"/>
          <w:color w:val="auto"/>
          <w:sz w:val="24"/>
        </w:rPr>
        <w:t>本项目仅接受一个价格，不得填报有选择性报价方案。若有优惠条款须注明，但不得影响报价，影响产品整体功能。</w:t>
      </w:r>
    </w:p>
    <w:p w14:paraId="4511AB95">
      <w:pPr>
        <w:spacing w:line="560" w:lineRule="exact"/>
        <w:ind w:right="180" w:firstLine="480"/>
        <w:jc w:val="right"/>
        <w:rPr>
          <w:rFonts w:hint="eastAsia" w:ascii="宋体" w:hAnsi="宋体"/>
          <w:color w:val="auto"/>
          <w:sz w:val="24"/>
        </w:rPr>
      </w:pPr>
    </w:p>
    <w:p w14:paraId="56703BEB">
      <w:pPr>
        <w:spacing w:line="560" w:lineRule="exact"/>
        <w:ind w:right="180" w:firstLine="480"/>
        <w:jc w:val="right"/>
        <w:rPr>
          <w:rFonts w:ascii="宋体" w:hAnsi="宋体"/>
          <w:color w:val="auto"/>
          <w:sz w:val="24"/>
        </w:rPr>
      </w:pPr>
      <w:r>
        <w:rPr>
          <w:rFonts w:hint="eastAsia" w:ascii="宋体" w:hAnsi="宋体"/>
          <w:color w:val="auto"/>
          <w:sz w:val="24"/>
        </w:rPr>
        <w:t xml:space="preserve">                                    </w:t>
      </w:r>
    </w:p>
    <w:p w14:paraId="0CB24245">
      <w:pPr>
        <w:spacing w:line="560" w:lineRule="exact"/>
        <w:ind w:right="1140" w:firstLine="480"/>
        <w:jc w:val="center"/>
        <w:rPr>
          <w:rFonts w:hint="eastAsia" w:ascii="宋体" w:hAnsi="宋体"/>
          <w:color w:val="auto"/>
          <w:sz w:val="24"/>
          <w:u w:val="single"/>
        </w:rPr>
      </w:pPr>
      <w:r>
        <w:rPr>
          <w:rFonts w:hint="eastAsia" w:ascii="宋体" w:hAnsi="宋体"/>
          <w:color w:val="auto"/>
          <w:sz w:val="24"/>
        </w:rPr>
        <w:t xml:space="preserve">                                供应商名称：</w:t>
      </w:r>
      <w:r>
        <w:rPr>
          <w:rFonts w:hint="eastAsia" w:ascii="宋体" w:hAnsi="宋体"/>
          <w:color w:val="auto"/>
          <w:sz w:val="24"/>
          <w:u w:val="single"/>
        </w:rPr>
        <w:t xml:space="preserve">（加盖公章）           </w:t>
      </w:r>
    </w:p>
    <w:p w14:paraId="63205D4D">
      <w:pPr>
        <w:ind w:firstLine="720"/>
        <w:rPr>
          <w:rFonts w:ascii="宋体" w:hAnsi="宋体"/>
          <w:color w:val="auto"/>
          <w:sz w:val="24"/>
        </w:rPr>
      </w:pPr>
      <w:r>
        <w:rPr>
          <w:rFonts w:hint="eastAsia" w:ascii="宋体" w:hAnsi="宋体"/>
          <w:color w:val="auto"/>
          <w:sz w:val="24"/>
        </w:rPr>
        <w:t xml:space="preserve">                                               </w:t>
      </w:r>
    </w:p>
    <w:p w14:paraId="4C5EFF8E">
      <w:pPr>
        <w:ind w:firstLine="720"/>
        <w:rPr>
          <w:rFonts w:hint="eastAsia" w:ascii="宋体" w:hAnsi="宋体"/>
          <w:color w:val="auto"/>
          <w:sz w:val="24"/>
        </w:rPr>
      </w:pPr>
      <w:r>
        <w:rPr>
          <w:rFonts w:hint="eastAsia" w:ascii="宋体" w:hAnsi="宋体"/>
          <w:color w:val="auto"/>
          <w:sz w:val="24"/>
        </w:rPr>
        <w:t xml:space="preserve">                        法定代表人或</w:t>
      </w:r>
      <w:r>
        <w:rPr>
          <w:rFonts w:hint="eastAsia" w:ascii="宋体" w:hAnsi="宋体" w:eastAsia="宋体" w:cs="宋体"/>
          <w:color w:val="auto"/>
          <w:sz w:val="24"/>
        </w:rPr>
        <w:t>其</w:t>
      </w:r>
      <w:r>
        <w:rPr>
          <w:rFonts w:hint="eastAsia" w:ascii="宋体" w:hAnsi="宋体"/>
          <w:color w:val="auto"/>
          <w:sz w:val="24"/>
        </w:rPr>
        <w:t>授权代理人（签字或盖章）：</w:t>
      </w:r>
      <w:r>
        <w:rPr>
          <w:rFonts w:hint="eastAsia" w:ascii="宋体" w:hAnsi="宋体"/>
          <w:color w:val="auto"/>
          <w:sz w:val="24"/>
          <w:u w:val="single"/>
        </w:rPr>
        <w:t xml:space="preserve">      </w:t>
      </w:r>
    </w:p>
    <w:p w14:paraId="0261BDB1">
      <w:pPr>
        <w:ind w:firstLine="4800" w:firstLineChars="2000"/>
        <w:rPr>
          <w:rFonts w:ascii="宋体" w:hAnsi="宋体"/>
          <w:color w:val="auto"/>
          <w:sz w:val="24"/>
        </w:rPr>
      </w:pPr>
    </w:p>
    <w:p w14:paraId="20FE4753">
      <w:pPr>
        <w:ind w:firstLine="5040" w:firstLineChars="2100"/>
        <w:rPr>
          <w:rFonts w:hint="eastAsia" w:ascii="宋体" w:hAnsi="宋体"/>
          <w:color w:val="auto"/>
          <w:sz w:val="24"/>
        </w:rPr>
      </w:pPr>
      <w:r>
        <w:rPr>
          <w:rFonts w:hint="eastAsia" w:ascii="宋体" w:hAnsi="宋体"/>
          <w:color w:val="auto"/>
          <w:sz w:val="24"/>
        </w:rPr>
        <w:t>日  期：    年  月   日</w:t>
      </w:r>
    </w:p>
    <w:p w14:paraId="1C649123">
      <w:pPr>
        <w:ind w:firstLine="480"/>
        <w:rPr>
          <w:rFonts w:hint="eastAsia" w:ascii="黑体" w:hAnsi="黑体" w:eastAsia="黑体"/>
          <w:b/>
          <w:i/>
          <w:color w:val="auto"/>
          <w:sz w:val="32"/>
          <w:szCs w:val="32"/>
          <w:u w:val="single"/>
        </w:rPr>
      </w:pPr>
    </w:p>
    <w:p w14:paraId="68FB3F7D">
      <w:pPr>
        <w:jc w:val="center"/>
        <w:rPr>
          <w:rFonts w:hint="eastAsia" w:ascii="宋体" w:hAnsi="宋体" w:eastAsia="宋体" w:cs="宋体"/>
          <w:b/>
          <w:color w:val="auto"/>
          <w:sz w:val="32"/>
          <w:szCs w:val="32"/>
        </w:rPr>
      </w:pPr>
      <w:r>
        <w:rPr>
          <w:rFonts w:hint="eastAsia" w:ascii="宋体" w:hAnsi="宋体" w:eastAsia="宋体" w:cs="宋体"/>
          <w:b/>
          <w:color w:val="auto"/>
          <w:sz w:val="31"/>
          <w:szCs w:val="31"/>
        </w:rPr>
        <w:br w:type="page" w:clear="all"/>
      </w:r>
      <w:r>
        <w:rPr>
          <w:rFonts w:hint="eastAsia" w:ascii="宋体" w:hAnsi="宋体" w:eastAsia="宋体" w:cs="宋体"/>
          <w:b/>
          <w:color w:val="auto"/>
          <w:sz w:val="32"/>
          <w:szCs w:val="32"/>
        </w:rPr>
        <w:t>分项报价表</w:t>
      </w:r>
    </w:p>
    <w:p w14:paraId="6A55B8C0">
      <w:pPr>
        <w:spacing w:line="360" w:lineRule="auto"/>
        <w:ind w:firstLine="420"/>
        <w:jc w:val="center"/>
        <w:rPr>
          <w:rFonts w:hint="eastAsia" w:ascii="宋体" w:hAnsi="宋体" w:eastAsia="宋体" w:cs="宋体"/>
          <w:color w:val="auto"/>
          <w:szCs w:val="21"/>
        </w:rPr>
      </w:pPr>
      <w:r>
        <w:rPr>
          <w:rFonts w:hint="eastAsia" w:ascii="宋体" w:hAnsi="宋体" w:eastAsia="宋体" w:cs="宋体"/>
          <w:color w:val="auto"/>
          <w:szCs w:val="21"/>
        </w:rPr>
        <w:t>（如有，格式自拟）</w:t>
      </w:r>
    </w:p>
    <w:p w14:paraId="12675BFB">
      <w:pPr>
        <w:spacing w:line="360" w:lineRule="auto"/>
        <w:ind w:firstLine="420"/>
        <w:rPr>
          <w:rFonts w:hint="eastAsia" w:ascii="宋体" w:hAnsi="宋体" w:eastAsia="宋体" w:cs="宋体"/>
          <w:color w:val="auto"/>
          <w:szCs w:val="21"/>
        </w:rPr>
      </w:pPr>
    </w:p>
    <w:p w14:paraId="34AF2D6A">
      <w:pPr>
        <w:spacing w:line="360" w:lineRule="auto"/>
        <w:ind w:firstLine="420"/>
        <w:rPr>
          <w:rFonts w:hint="eastAsia" w:ascii="宋体" w:hAnsi="宋体" w:eastAsia="宋体" w:cs="宋体"/>
          <w:color w:val="auto"/>
          <w:szCs w:val="21"/>
        </w:rPr>
      </w:pPr>
    </w:p>
    <w:p w14:paraId="553C2C59">
      <w:pPr>
        <w:spacing w:line="360" w:lineRule="auto"/>
        <w:ind w:firstLine="420"/>
        <w:rPr>
          <w:rFonts w:hint="eastAsia" w:ascii="宋体" w:hAnsi="宋体" w:eastAsia="宋体" w:cs="宋体"/>
          <w:color w:val="auto"/>
          <w:szCs w:val="21"/>
        </w:rPr>
      </w:pPr>
    </w:p>
    <w:p w14:paraId="3B07541D">
      <w:pPr>
        <w:spacing w:line="360" w:lineRule="auto"/>
        <w:ind w:firstLine="420"/>
        <w:rPr>
          <w:rFonts w:hint="eastAsia" w:ascii="宋体" w:hAnsi="宋体" w:eastAsia="宋体" w:cs="宋体"/>
          <w:color w:val="auto"/>
          <w:szCs w:val="21"/>
        </w:rPr>
      </w:pPr>
      <w:r>
        <w:rPr>
          <w:rFonts w:hint="eastAsia" w:ascii="宋体" w:hAnsi="宋体" w:eastAsia="宋体" w:cs="宋体"/>
          <w:color w:val="auto"/>
          <w:szCs w:val="21"/>
        </w:rPr>
        <w:t>说明：供应商应分项进行填报，表中表格行数可自行添加。招标文件中未列出的相关辅助材料和在实施过程中涉及到的其它一切费用应在报价时一并考虑，项目实施过程中不再单独结算。表中报价总计应与对应报价一览表中总报价一致。</w:t>
      </w:r>
    </w:p>
    <w:p w14:paraId="6240ED3B">
      <w:pPr>
        <w:spacing w:line="360" w:lineRule="auto"/>
        <w:ind w:firstLine="420"/>
        <w:rPr>
          <w:rFonts w:hint="eastAsia" w:ascii="宋体" w:hAnsi="宋体" w:eastAsia="宋体" w:cs="宋体"/>
          <w:color w:val="auto"/>
          <w:szCs w:val="21"/>
        </w:rPr>
      </w:pPr>
      <w:r>
        <w:rPr>
          <w:rFonts w:hint="eastAsia" w:ascii="宋体" w:hAnsi="宋体" w:eastAsia="宋体" w:cs="宋体"/>
          <w:color w:val="auto"/>
          <w:szCs w:val="21"/>
        </w:rPr>
        <w:t>在“备注（符合小微企业等规定的请注明）”栏内，填写“符合 小微型企业/监狱企业/残疾人福利性产品 报价”，“小微型企业、监狱企业或残疾人福利性产品报价总计”填写汇总价（报价折扣无需折算），如果未按上表格式填写，评审时将不享受价格扣除。</w:t>
      </w:r>
    </w:p>
    <w:p w14:paraId="66C85C49">
      <w:pPr>
        <w:spacing w:line="360" w:lineRule="auto"/>
        <w:ind w:right="9"/>
        <w:rPr>
          <w:rFonts w:hint="eastAsia" w:ascii="宋体" w:hAnsi="宋体" w:eastAsia="宋体" w:cs="宋体"/>
          <w:color w:val="auto"/>
          <w:szCs w:val="21"/>
        </w:rPr>
      </w:pPr>
    </w:p>
    <w:p w14:paraId="7A4A34CE">
      <w:pPr>
        <w:spacing w:line="360" w:lineRule="auto"/>
        <w:ind w:right="9"/>
        <w:rPr>
          <w:rFonts w:hint="eastAsia" w:ascii="宋体" w:hAnsi="宋体" w:eastAsia="宋体" w:cs="宋体"/>
          <w:color w:val="auto"/>
          <w:szCs w:val="21"/>
        </w:rPr>
      </w:pPr>
    </w:p>
    <w:p w14:paraId="6B7CB510">
      <w:pPr>
        <w:spacing w:line="360" w:lineRule="auto"/>
        <w:ind w:right="9"/>
        <w:rPr>
          <w:rFonts w:hint="eastAsia" w:ascii="宋体" w:hAnsi="宋体" w:eastAsia="宋体" w:cs="宋体"/>
          <w:color w:val="auto"/>
          <w:szCs w:val="21"/>
        </w:rPr>
      </w:pPr>
    </w:p>
    <w:p w14:paraId="0507FD4A">
      <w:pPr>
        <w:spacing w:line="360" w:lineRule="auto"/>
        <w:ind w:right="9"/>
        <w:jc w:val="right"/>
        <w:rPr>
          <w:rFonts w:hint="eastAsia" w:ascii="宋体" w:hAnsi="宋体" w:eastAsia="宋体" w:cs="宋体"/>
          <w:color w:val="auto"/>
          <w:sz w:val="24"/>
          <w:u w:val="single"/>
        </w:rPr>
      </w:pPr>
      <w:r>
        <w:rPr>
          <w:rFonts w:hint="eastAsia" w:ascii="宋体" w:hAnsi="宋体" w:eastAsia="宋体" w:cs="宋体"/>
          <w:color w:val="auto"/>
          <w:sz w:val="24"/>
        </w:rPr>
        <w:t>供应商名称：</w:t>
      </w:r>
      <w:r>
        <w:rPr>
          <w:rFonts w:hint="eastAsia" w:ascii="宋体" w:hAnsi="宋体" w:eastAsia="宋体" w:cs="宋体"/>
          <w:color w:val="auto"/>
          <w:sz w:val="24"/>
          <w:u w:val="single"/>
        </w:rPr>
        <w:t>（盖章）</w:t>
      </w:r>
    </w:p>
    <w:p w14:paraId="1DC779EB">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法定代表人</w:t>
      </w:r>
      <w:bookmarkStart w:id="12" w:name="OLE_LINK13"/>
      <w:r>
        <w:rPr>
          <w:rFonts w:hint="eastAsia" w:ascii="宋体" w:hAnsi="宋体" w:eastAsia="宋体" w:cs="宋体"/>
          <w:color w:val="auto"/>
          <w:sz w:val="24"/>
        </w:rPr>
        <w:t>或其</w:t>
      </w:r>
      <w:bookmarkEnd w:id="12"/>
      <w:r>
        <w:rPr>
          <w:rFonts w:hint="eastAsia" w:ascii="宋体" w:hAnsi="宋体" w:eastAsia="宋体" w:cs="宋体"/>
          <w:color w:val="auto"/>
          <w:sz w:val="24"/>
        </w:rPr>
        <w:t>授权代理人：</w:t>
      </w:r>
      <w:r>
        <w:rPr>
          <w:rFonts w:hint="eastAsia" w:ascii="宋体" w:hAnsi="宋体" w:eastAsia="宋体" w:cs="宋体"/>
          <w:color w:val="auto"/>
          <w:sz w:val="24"/>
          <w:u w:val="single"/>
        </w:rPr>
        <w:t>（签字或盖章）</w:t>
      </w:r>
    </w:p>
    <w:p w14:paraId="45D63949">
      <w:pPr>
        <w:spacing w:line="360" w:lineRule="auto"/>
        <w:jc w:val="right"/>
        <w:rPr>
          <w:rFonts w:hint="eastAsia" w:ascii="宋体" w:hAnsi="宋体" w:eastAsia="宋体" w:cs="宋体"/>
          <w:color w:val="auto"/>
          <w:sz w:val="24"/>
        </w:rPr>
      </w:pPr>
      <w:r>
        <w:rPr>
          <w:rFonts w:hint="eastAsia" w:ascii="宋体" w:hAnsi="宋体" w:eastAsia="宋体" w:cs="宋体"/>
          <w:color w:val="auto"/>
          <w:sz w:val="24"/>
        </w:rPr>
        <w:t>日期：   年   月   日</w:t>
      </w:r>
    </w:p>
    <w:p w14:paraId="444FB90C">
      <w:pPr>
        <w:rPr>
          <w:rFonts w:ascii="宋体" w:hAnsi="宋体" w:eastAsia="宋体" w:cs="宋体"/>
          <w:b/>
          <w:color w:val="auto"/>
          <w:sz w:val="31"/>
          <w:szCs w:val="31"/>
        </w:rPr>
      </w:pPr>
    </w:p>
    <w:p w14:paraId="53570115">
      <w:pPr>
        <w:rPr>
          <w:rFonts w:ascii="宋体" w:hAnsi="宋体" w:eastAsia="宋体" w:cs="宋体"/>
          <w:b/>
          <w:color w:val="auto"/>
          <w:sz w:val="31"/>
          <w:szCs w:val="31"/>
        </w:rPr>
      </w:pPr>
    </w:p>
    <w:p w14:paraId="7DC8AA80">
      <w:pPr>
        <w:rPr>
          <w:rFonts w:ascii="宋体" w:hAnsi="宋体" w:eastAsia="宋体" w:cs="宋体"/>
          <w:b/>
          <w:color w:val="auto"/>
          <w:sz w:val="31"/>
          <w:szCs w:val="31"/>
        </w:rPr>
      </w:pPr>
    </w:p>
    <w:p w14:paraId="75B270EF">
      <w:pPr>
        <w:rPr>
          <w:rFonts w:ascii="宋体" w:hAnsi="宋体" w:eastAsia="宋体" w:cs="宋体"/>
          <w:b/>
          <w:color w:val="auto"/>
          <w:sz w:val="31"/>
          <w:szCs w:val="31"/>
        </w:rPr>
      </w:pPr>
    </w:p>
    <w:p w14:paraId="13B5BB78">
      <w:pPr>
        <w:rPr>
          <w:rFonts w:hint="eastAsia" w:ascii="宋体" w:hAnsi="宋体" w:eastAsia="宋体" w:cs="宋体"/>
          <w:b/>
          <w:color w:val="auto"/>
          <w:sz w:val="31"/>
          <w:szCs w:val="31"/>
        </w:rPr>
      </w:pPr>
    </w:p>
    <w:p w14:paraId="60AA3180">
      <w:pPr>
        <w:shd w:val="clear" w:color="auto" w:fill="FFFFFF"/>
        <w:spacing w:line="360" w:lineRule="auto"/>
        <w:rPr>
          <w:rFonts w:ascii="宋体" w:hAnsi="宋体" w:eastAsia="宋体" w:cs="宋体"/>
          <w:b/>
          <w:color w:val="auto"/>
          <w:sz w:val="31"/>
          <w:szCs w:val="31"/>
        </w:rPr>
      </w:pPr>
    </w:p>
    <w:p w14:paraId="07487D79">
      <w:pPr>
        <w:shd w:val="clear" w:color="auto" w:fill="FFFFFF"/>
        <w:spacing w:line="360" w:lineRule="auto"/>
        <w:rPr>
          <w:rFonts w:ascii="宋体" w:hAnsi="宋体" w:eastAsia="宋体" w:cs="宋体"/>
          <w:b/>
          <w:color w:val="auto"/>
          <w:sz w:val="31"/>
          <w:szCs w:val="31"/>
        </w:rPr>
      </w:pPr>
    </w:p>
    <w:p w14:paraId="20A79E90">
      <w:pPr>
        <w:shd w:val="clear" w:color="auto" w:fill="FFFFFF"/>
        <w:spacing w:line="360" w:lineRule="auto"/>
        <w:rPr>
          <w:rFonts w:ascii="宋体" w:hAnsi="宋体" w:eastAsia="宋体" w:cs="宋体"/>
          <w:b/>
          <w:color w:val="auto"/>
          <w:sz w:val="31"/>
          <w:szCs w:val="31"/>
        </w:rPr>
      </w:pPr>
    </w:p>
    <w:p w14:paraId="6AE89385">
      <w:pPr>
        <w:shd w:val="clear" w:color="auto" w:fill="FFFFFF"/>
        <w:spacing w:line="360" w:lineRule="auto"/>
        <w:rPr>
          <w:rFonts w:ascii="宋体" w:hAnsi="宋体" w:eastAsia="宋体" w:cs="宋体"/>
          <w:b/>
          <w:color w:val="auto"/>
          <w:sz w:val="31"/>
          <w:szCs w:val="31"/>
        </w:rPr>
      </w:pPr>
    </w:p>
    <w:p w14:paraId="2D7EFCFB">
      <w:pPr>
        <w:shd w:val="clear" w:color="auto" w:fill="FFFFFF"/>
        <w:spacing w:line="360" w:lineRule="auto"/>
        <w:rPr>
          <w:rFonts w:ascii="宋体" w:hAnsi="宋体" w:eastAsia="宋体" w:cs="宋体"/>
          <w:b/>
          <w:color w:val="auto"/>
          <w:sz w:val="31"/>
          <w:szCs w:val="31"/>
        </w:rPr>
      </w:pPr>
    </w:p>
    <w:p w14:paraId="78D85442">
      <w:pPr>
        <w:shd w:val="clear" w:color="auto" w:fill="FFFFFF"/>
        <w:spacing w:line="360" w:lineRule="auto"/>
        <w:rPr>
          <w:rFonts w:ascii="宋体" w:hAnsi="宋体" w:eastAsia="宋体" w:cs="宋体"/>
          <w:b/>
          <w:color w:val="auto"/>
          <w:sz w:val="31"/>
          <w:szCs w:val="31"/>
        </w:rPr>
      </w:pPr>
    </w:p>
    <w:p w14:paraId="4CE1E3EC">
      <w:pPr>
        <w:shd w:val="clear" w:color="auto" w:fill="FFFFFF"/>
        <w:spacing w:line="360" w:lineRule="auto"/>
        <w:rPr>
          <w:rFonts w:ascii="宋体" w:hAnsi="宋体" w:eastAsia="宋体" w:cs="宋体"/>
          <w:b/>
          <w:color w:val="auto"/>
          <w:sz w:val="31"/>
          <w:szCs w:val="31"/>
        </w:rPr>
      </w:pPr>
    </w:p>
    <w:p w14:paraId="3B90233A">
      <w:pPr>
        <w:shd w:val="clear" w:color="auto" w:fill="FFFFFF"/>
        <w:spacing w:line="360" w:lineRule="auto"/>
        <w:rPr>
          <w:rFonts w:ascii="宋体" w:hAnsi="宋体" w:eastAsia="宋体" w:cs="宋体"/>
          <w:b/>
          <w:color w:val="auto"/>
          <w:sz w:val="31"/>
          <w:szCs w:val="31"/>
        </w:rPr>
      </w:pPr>
    </w:p>
    <w:p w14:paraId="5DE3B572">
      <w:pPr>
        <w:shd w:val="clear" w:color="auto" w:fill="FFFFFF"/>
        <w:spacing w:line="360" w:lineRule="auto"/>
        <w:rPr>
          <w:rFonts w:ascii="宋体" w:hAnsi="宋体" w:eastAsia="宋体" w:cs="宋体"/>
          <w:b/>
          <w:color w:val="auto"/>
          <w:sz w:val="31"/>
          <w:szCs w:val="31"/>
        </w:rPr>
      </w:pPr>
    </w:p>
    <w:p w14:paraId="5C4BF116">
      <w:pPr>
        <w:shd w:val="clear" w:color="auto" w:fill="FFFFFF"/>
        <w:spacing w:line="360" w:lineRule="auto"/>
        <w:rPr>
          <w:rFonts w:hint="eastAsia" w:ascii="宋体" w:hAnsi="宋体" w:eastAsia="宋体" w:cs="宋体"/>
          <w:b/>
          <w:bCs/>
          <w:color w:val="auto"/>
          <w:sz w:val="24"/>
          <w:lang w:val="zh-CN"/>
        </w:rPr>
      </w:pPr>
      <w:r>
        <w:rPr>
          <w:rFonts w:hint="eastAsia" w:ascii="宋体" w:hAnsi="宋体" w:eastAsia="宋体" w:cs="宋体"/>
          <w:b/>
          <w:color w:val="auto"/>
          <w:sz w:val="31"/>
          <w:szCs w:val="31"/>
        </w:rPr>
        <w:t>附件四、</w:t>
      </w:r>
      <w:r>
        <w:rPr>
          <w:rFonts w:hint="eastAsia" w:ascii="宋体" w:hAnsi="宋体" w:eastAsia="宋体" w:cs="宋体"/>
          <w:b/>
          <w:color w:val="auto"/>
          <w:sz w:val="31"/>
          <w:szCs w:val="31"/>
          <w:lang w:val="zh-CN"/>
        </w:rPr>
        <w:t>技术规格偏离表格式 </w:t>
      </w:r>
    </w:p>
    <w:p w14:paraId="119BA609">
      <w:pPr>
        <w:shd w:val="clear" w:color="auto" w:fill="FFFFFF"/>
        <w:spacing w:line="360" w:lineRule="auto"/>
        <w:ind w:left="420"/>
        <w:jc w:val="center"/>
        <w:rPr>
          <w:rFonts w:hint="eastAsia" w:ascii="宋体" w:hAnsi="宋体" w:eastAsia="宋体" w:cs="宋体"/>
          <w:color w:val="auto"/>
        </w:rPr>
      </w:pPr>
      <w:r>
        <w:rPr>
          <w:rFonts w:hint="eastAsia" w:ascii="宋体" w:hAnsi="宋体" w:eastAsia="宋体" w:cs="宋体"/>
          <w:color w:val="auto"/>
          <w:sz w:val="36"/>
          <w:szCs w:val="36"/>
        </w:rPr>
        <w:t>技术规格偏离表</w:t>
      </w:r>
    </w:p>
    <w:tbl>
      <w:tblPr>
        <w:tblStyle w:val="39"/>
        <w:tblW w:w="9000" w:type="dxa"/>
        <w:jc w:val="center"/>
        <w:tblLayout w:type="fixed"/>
        <w:tblCellMar>
          <w:top w:w="0" w:type="dxa"/>
          <w:left w:w="0" w:type="dxa"/>
          <w:bottom w:w="0" w:type="dxa"/>
          <w:right w:w="0" w:type="dxa"/>
        </w:tblCellMar>
      </w:tblPr>
      <w:tblGrid>
        <w:gridCol w:w="985"/>
        <w:gridCol w:w="1755"/>
        <w:gridCol w:w="1500"/>
        <w:gridCol w:w="2376"/>
        <w:gridCol w:w="1349"/>
        <w:gridCol w:w="1035"/>
      </w:tblGrid>
      <w:tr w14:paraId="4311BD6A">
        <w:tblPrEx>
          <w:tblCellMar>
            <w:top w:w="0" w:type="dxa"/>
            <w:left w:w="0" w:type="dxa"/>
            <w:bottom w:w="0" w:type="dxa"/>
            <w:right w:w="0" w:type="dxa"/>
          </w:tblCellMar>
        </w:tblPrEx>
        <w:trPr>
          <w:trHeight w:val="450" w:hRule="atLeast"/>
          <w:jc w:val="center"/>
        </w:trPr>
        <w:tc>
          <w:tcPr>
            <w:tcW w:w="4240" w:type="dxa"/>
            <w:gridSpan w:val="3"/>
            <w:tcBorders>
              <w:top w:val="nil"/>
              <w:left w:val="nil"/>
              <w:bottom w:val="single" w:color="auto" w:sz="8" w:space="0"/>
              <w:right w:val="nil"/>
            </w:tcBorders>
            <w:tcMar>
              <w:top w:w="0" w:type="dxa"/>
              <w:left w:w="10" w:type="dxa"/>
              <w:bottom w:w="0" w:type="dxa"/>
              <w:right w:w="10" w:type="dxa"/>
            </w:tcMar>
            <w:vAlign w:val="center"/>
          </w:tcPr>
          <w:p w14:paraId="5002C921">
            <w:pPr>
              <w:spacing w:line="360" w:lineRule="auto"/>
              <w:rPr>
                <w:rFonts w:hint="eastAsia" w:ascii="宋体" w:hAnsi="宋体" w:eastAsia="宋体" w:cs="宋体"/>
                <w:color w:val="auto"/>
                <w:sz w:val="24"/>
              </w:rPr>
            </w:pPr>
            <w:r>
              <w:rPr>
                <w:rFonts w:hint="eastAsia" w:ascii="宋体" w:hAnsi="宋体" w:eastAsia="宋体" w:cs="宋体"/>
                <w:color w:val="auto"/>
                <w:sz w:val="24"/>
              </w:rPr>
              <w:t>项目名称：</w:t>
            </w:r>
          </w:p>
        </w:tc>
        <w:tc>
          <w:tcPr>
            <w:tcW w:w="4760" w:type="dxa"/>
            <w:gridSpan w:val="3"/>
            <w:tcBorders>
              <w:top w:val="nil"/>
              <w:left w:val="nil"/>
              <w:bottom w:val="single" w:color="auto" w:sz="8" w:space="0"/>
              <w:right w:val="nil"/>
            </w:tcBorders>
            <w:tcMar>
              <w:top w:w="0" w:type="dxa"/>
              <w:left w:w="10" w:type="dxa"/>
              <w:bottom w:w="0" w:type="dxa"/>
              <w:right w:w="10" w:type="dxa"/>
            </w:tcMar>
            <w:vAlign w:val="center"/>
          </w:tcPr>
          <w:p w14:paraId="6D33DFED">
            <w:pPr>
              <w:spacing w:line="360" w:lineRule="auto"/>
              <w:rPr>
                <w:rFonts w:hint="eastAsia" w:ascii="宋体" w:hAnsi="宋体" w:eastAsia="宋体" w:cs="宋体"/>
                <w:color w:val="auto"/>
                <w:sz w:val="24"/>
              </w:rPr>
            </w:pPr>
            <w:r>
              <w:rPr>
                <w:rFonts w:hint="eastAsia" w:ascii="宋体" w:hAnsi="宋体" w:eastAsia="宋体" w:cs="宋体"/>
                <w:color w:val="auto"/>
                <w:sz w:val="24"/>
              </w:rPr>
              <w:t>项目编号：</w:t>
            </w:r>
          </w:p>
        </w:tc>
      </w:tr>
      <w:tr w14:paraId="1319FC38">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09499D8">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8772111">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招标文件条目号</w:t>
            </w: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D896B61">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招标要求规格</w:t>
            </w: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3ACBD5E">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投标响应</w:t>
            </w: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CA05145">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偏离</w:t>
            </w: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3708384">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备注</w:t>
            </w:r>
          </w:p>
        </w:tc>
      </w:tr>
      <w:tr w14:paraId="7249EBF2">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5DD8070">
            <w:pPr>
              <w:spacing w:line="360" w:lineRule="auto"/>
              <w:jc w:val="center"/>
              <w:rPr>
                <w:rFonts w:hint="eastAsia" w:ascii="宋体" w:hAnsi="宋体" w:eastAsia="宋体" w:cs="宋体"/>
                <w:color w:val="auto"/>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66010F4">
            <w:pPr>
              <w:spacing w:line="360" w:lineRule="auto"/>
              <w:jc w:val="center"/>
              <w:rPr>
                <w:rFonts w:hint="eastAsia" w:ascii="宋体" w:hAnsi="宋体" w:eastAsia="宋体" w:cs="宋体"/>
                <w:color w:val="auto"/>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AA2F26D">
            <w:pPr>
              <w:spacing w:line="360" w:lineRule="auto"/>
              <w:jc w:val="center"/>
              <w:rPr>
                <w:rFonts w:hint="eastAsia" w:ascii="宋体" w:hAnsi="宋体" w:eastAsia="宋体" w:cs="宋体"/>
                <w:color w:val="auto"/>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981B574">
            <w:pPr>
              <w:spacing w:line="360" w:lineRule="auto"/>
              <w:jc w:val="center"/>
              <w:rPr>
                <w:rFonts w:hint="eastAsia" w:ascii="宋体" w:hAnsi="宋体" w:eastAsia="宋体" w:cs="宋体"/>
                <w:color w:val="auto"/>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2A7FAD4">
            <w:pPr>
              <w:spacing w:line="360" w:lineRule="auto"/>
              <w:jc w:val="center"/>
              <w:rPr>
                <w:rFonts w:hint="eastAsia" w:ascii="宋体" w:hAnsi="宋体" w:eastAsia="宋体" w:cs="宋体"/>
                <w:color w:val="auto"/>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6C7E8B3">
            <w:pPr>
              <w:spacing w:line="360" w:lineRule="auto"/>
              <w:jc w:val="center"/>
              <w:rPr>
                <w:rFonts w:hint="eastAsia" w:ascii="宋体" w:hAnsi="宋体" w:eastAsia="宋体" w:cs="宋体"/>
                <w:color w:val="auto"/>
                <w:sz w:val="24"/>
              </w:rPr>
            </w:pPr>
          </w:p>
        </w:tc>
      </w:tr>
      <w:tr w14:paraId="33C7A0F5">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3682CD9">
            <w:pPr>
              <w:spacing w:line="360" w:lineRule="auto"/>
              <w:jc w:val="center"/>
              <w:rPr>
                <w:rFonts w:hint="eastAsia" w:ascii="宋体" w:hAnsi="宋体" w:eastAsia="宋体" w:cs="宋体"/>
                <w:color w:val="auto"/>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7AC5B26">
            <w:pPr>
              <w:spacing w:line="360" w:lineRule="auto"/>
              <w:jc w:val="center"/>
              <w:rPr>
                <w:rFonts w:hint="eastAsia" w:ascii="宋体" w:hAnsi="宋体" w:eastAsia="宋体" w:cs="宋体"/>
                <w:color w:val="auto"/>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49162C9">
            <w:pPr>
              <w:spacing w:line="360" w:lineRule="auto"/>
              <w:jc w:val="center"/>
              <w:rPr>
                <w:rFonts w:hint="eastAsia" w:ascii="宋体" w:hAnsi="宋体" w:eastAsia="宋体" w:cs="宋体"/>
                <w:color w:val="auto"/>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D606750">
            <w:pPr>
              <w:spacing w:line="360" w:lineRule="auto"/>
              <w:jc w:val="center"/>
              <w:rPr>
                <w:rFonts w:hint="eastAsia" w:ascii="宋体" w:hAnsi="宋体" w:eastAsia="宋体" w:cs="宋体"/>
                <w:color w:val="auto"/>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3619809">
            <w:pPr>
              <w:spacing w:line="360" w:lineRule="auto"/>
              <w:jc w:val="center"/>
              <w:rPr>
                <w:rFonts w:hint="eastAsia" w:ascii="宋体" w:hAnsi="宋体" w:eastAsia="宋体" w:cs="宋体"/>
                <w:color w:val="auto"/>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7426164">
            <w:pPr>
              <w:spacing w:line="360" w:lineRule="auto"/>
              <w:jc w:val="center"/>
              <w:rPr>
                <w:rFonts w:hint="eastAsia" w:ascii="宋体" w:hAnsi="宋体" w:eastAsia="宋体" w:cs="宋体"/>
                <w:color w:val="auto"/>
                <w:sz w:val="24"/>
              </w:rPr>
            </w:pPr>
          </w:p>
        </w:tc>
      </w:tr>
      <w:tr w14:paraId="37B9C1B3">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723BB2B">
            <w:pPr>
              <w:spacing w:line="360" w:lineRule="auto"/>
              <w:jc w:val="center"/>
              <w:rPr>
                <w:rFonts w:hint="eastAsia" w:ascii="宋体" w:hAnsi="宋体" w:eastAsia="宋体" w:cs="宋体"/>
                <w:color w:val="auto"/>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736D5BE">
            <w:pPr>
              <w:spacing w:line="360" w:lineRule="auto"/>
              <w:jc w:val="center"/>
              <w:rPr>
                <w:rFonts w:hint="eastAsia" w:ascii="宋体" w:hAnsi="宋体" w:eastAsia="宋体" w:cs="宋体"/>
                <w:color w:val="auto"/>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FBCC280">
            <w:pPr>
              <w:spacing w:line="360" w:lineRule="auto"/>
              <w:jc w:val="center"/>
              <w:rPr>
                <w:rFonts w:hint="eastAsia" w:ascii="宋体" w:hAnsi="宋体" w:eastAsia="宋体" w:cs="宋体"/>
                <w:color w:val="auto"/>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B49E4CA">
            <w:pPr>
              <w:spacing w:line="360" w:lineRule="auto"/>
              <w:jc w:val="center"/>
              <w:rPr>
                <w:rFonts w:hint="eastAsia" w:ascii="宋体" w:hAnsi="宋体" w:eastAsia="宋体" w:cs="宋体"/>
                <w:color w:val="auto"/>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1A055E0">
            <w:pPr>
              <w:spacing w:line="360" w:lineRule="auto"/>
              <w:jc w:val="center"/>
              <w:rPr>
                <w:rFonts w:hint="eastAsia" w:ascii="宋体" w:hAnsi="宋体" w:eastAsia="宋体" w:cs="宋体"/>
                <w:color w:val="auto"/>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D0E54A6">
            <w:pPr>
              <w:spacing w:line="360" w:lineRule="auto"/>
              <w:jc w:val="center"/>
              <w:rPr>
                <w:rFonts w:hint="eastAsia" w:ascii="宋体" w:hAnsi="宋体" w:eastAsia="宋体" w:cs="宋体"/>
                <w:color w:val="auto"/>
                <w:sz w:val="24"/>
              </w:rPr>
            </w:pPr>
          </w:p>
        </w:tc>
      </w:tr>
      <w:tr w14:paraId="24E71DB8">
        <w:tblPrEx>
          <w:tblCellMar>
            <w:top w:w="0" w:type="dxa"/>
            <w:left w:w="0" w:type="dxa"/>
            <w:bottom w:w="0" w:type="dxa"/>
            <w:right w:w="0" w:type="dxa"/>
          </w:tblCellMar>
        </w:tblPrEx>
        <w:trPr>
          <w:trHeight w:val="488"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5D2DCB3">
            <w:pPr>
              <w:spacing w:line="360" w:lineRule="auto"/>
              <w:jc w:val="center"/>
              <w:rPr>
                <w:rFonts w:hint="eastAsia" w:ascii="宋体" w:hAnsi="宋体" w:eastAsia="宋体" w:cs="宋体"/>
                <w:color w:val="auto"/>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667AA8B">
            <w:pPr>
              <w:spacing w:line="360" w:lineRule="auto"/>
              <w:jc w:val="center"/>
              <w:rPr>
                <w:rFonts w:hint="eastAsia" w:ascii="宋体" w:hAnsi="宋体" w:eastAsia="宋体" w:cs="宋体"/>
                <w:color w:val="auto"/>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AF0B2D">
            <w:pPr>
              <w:spacing w:line="360" w:lineRule="auto"/>
              <w:jc w:val="center"/>
              <w:rPr>
                <w:rFonts w:hint="eastAsia" w:ascii="宋体" w:hAnsi="宋体" w:eastAsia="宋体" w:cs="宋体"/>
                <w:color w:val="auto"/>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CB81729">
            <w:pPr>
              <w:spacing w:line="360" w:lineRule="auto"/>
              <w:jc w:val="center"/>
              <w:rPr>
                <w:rFonts w:hint="eastAsia" w:ascii="宋体" w:hAnsi="宋体" w:eastAsia="宋体" w:cs="宋体"/>
                <w:color w:val="auto"/>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A59B52B">
            <w:pPr>
              <w:spacing w:line="360" w:lineRule="auto"/>
              <w:jc w:val="center"/>
              <w:rPr>
                <w:rFonts w:hint="eastAsia" w:ascii="宋体" w:hAnsi="宋体" w:eastAsia="宋体" w:cs="宋体"/>
                <w:color w:val="auto"/>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AA1E70E">
            <w:pPr>
              <w:spacing w:line="360" w:lineRule="auto"/>
              <w:jc w:val="center"/>
              <w:rPr>
                <w:rFonts w:hint="eastAsia" w:ascii="宋体" w:hAnsi="宋体" w:eastAsia="宋体" w:cs="宋体"/>
                <w:color w:val="auto"/>
                <w:sz w:val="24"/>
              </w:rPr>
            </w:pPr>
          </w:p>
        </w:tc>
      </w:tr>
    </w:tbl>
    <w:p w14:paraId="223112E0">
      <w:pPr>
        <w:shd w:val="clear" w:color="auto" w:fill="FFFFFF"/>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t>说明：1、如果行数不够，请自行增加。</w:t>
      </w:r>
    </w:p>
    <w:p w14:paraId="0912B48D">
      <w:pPr>
        <w:spacing w:line="360" w:lineRule="auto"/>
        <w:ind w:firstLine="480"/>
        <w:rPr>
          <w:rFonts w:hint="eastAsia" w:ascii="宋体" w:hAnsi="宋体" w:eastAsia="宋体" w:cs="宋体"/>
          <w:color w:val="auto"/>
          <w:sz w:val="24"/>
        </w:rPr>
      </w:pPr>
    </w:p>
    <w:p w14:paraId="442C7974">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供应商名称：（加盖公章）</w:t>
      </w:r>
    </w:p>
    <w:p w14:paraId="1C7EF2C2">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日期：   年   月   日</w:t>
      </w:r>
    </w:p>
    <w:p w14:paraId="73FC9CD1">
      <w:pPr>
        <w:rPr>
          <w:rFonts w:hint="eastAsia" w:ascii="宋体" w:hAnsi="宋体" w:eastAsia="宋体" w:cs="宋体"/>
          <w:color w:val="auto"/>
        </w:rPr>
      </w:pPr>
    </w:p>
    <w:p w14:paraId="111B458C">
      <w:pPr>
        <w:shd w:val="clear" w:color="auto" w:fill="FFFFFF"/>
        <w:spacing w:line="360" w:lineRule="auto"/>
        <w:rPr>
          <w:rFonts w:hint="eastAsia" w:ascii="宋体" w:hAnsi="宋体" w:eastAsia="宋体" w:cs="宋体"/>
          <w:color w:val="auto"/>
        </w:rPr>
      </w:pPr>
      <w:bookmarkStart w:id="13" w:name="_Toc2435"/>
      <w:bookmarkStart w:id="14" w:name="_Toc481604684"/>
      <w:r>
        <w:rPr>
          <w:rFonts w:hint="eastAsia" w:ascii="宋体" w:hAnsi="宋体" w:eastAsia="宋体" w:cs="宋体"/>
          <w:b/>
          <w:color w:val="auto"/>
          <w:sz w:val="31"/>
          <w:szCs w:val="31"/>
        </w:rPr>
        <w:t>附件五、商务条款偏离表格式</w:t>
      </w:r>
      <w:bookmarkEnd w:id="13"/>
      <w:bookmarkEnd w:id="14"/>
    </w:p>
    <w:p w14:paraId="5412DD02">
      <w:pPr>
        <w:shd w:val="clear" w:color="auto" w:fill="FFFFFF"/>
        <w:spacing w:line="360" w:lineRule="auto"/>
        <w:ind w:left="420"/>
        <w:jc w:val="center"/>
        <w:rPr>
          <w:rFonts w:hint="eastAsia" w:ascii="宋体" w:hAnsi="宋体" w:eastAsia="宋体" w:cs="宋体"/>
          <w:color w:val="auto"/>
        </w:rPr>
      </w:pPr>
      <w:r>
        <w:rPr>
          <w:rFonts w:hint="eastAsia" w:ascii="宋体" w:hAnsi="宋体" w:eastAsia="宋体" w:cs="宋体"/>
          <w:color w:val="auto"/>
          <w:sz w:val="36"/>
          <w:szCs w:val="36"/>
        </w:rPr>
        <w:t>商务条款偏离表</w:t>
      </w:r>
    </w:p>
    <w:tbl>
      <w:tblPr>
        <w:tblStyle w:val="39"/>
        <w:tblW w:w="10330" w:type="dxa"/>
        <w:jc w:val="center"/>
        <w:tblLayout w:type="fixed"/>
        <w:tblCellMar>
          <w:top w:w="0" w:type="dxa"/>
          <w:left w:w="0" w:type="dxa"/>
          <w:bottom w:w="0" w:type="dxa"/>
          <w:right w:w="0" w:type="dxa"/>
        </w:tblCellMar>
      </w:tblPr>
      <w:tblGrid>
        <w:gridCol w:w="903"/>
        <w:gridCol w:w="1784"/>
        <w:gridCol w:w="2370"/>
        <w:gridCol w:w="933"/>
        <w:gridCol w:w="1759"/>
        <w:gridCol w:w="1201"/>
        <w:gridCol w:w="1380"/>
      </w:tblGrid>
      <w:tr w14:paraId="5936D454">
        <w:tblPrEx>
          <w:tblCellMar>
            <w:top w:w="0" w:type="dxa"/>
            <w:left w:w="0" w:type="dxa"/>
            <w:bottom w:w="0" w:type="dxa"/>
            <w:right w:w="0" w:type="dxa"/>
          </w:tblCellMar>
        </w:tblPrEx>
        <w:trPr>
          <w:trHeight w:val="284" w:hRule="atLeast"/>
          <w:tblHeader/>
          <w:jc w:val="center"/>
        </w:trPr>
        <w:tc>
          <w:tcPr>
            <w:tcW w:w="5990" w:type="dxa"/>
            <w:gridSpan w:val="4"/>
            <w:tcBorders>
              <w:top w:val="nil"/>
              <w:left w:val="nil"/>
              <w:bottom w:val="single" w:color="auto" w:sz="8" w:space="0"/>
              <w:right w:val="nil"/>
            </w:tcBorders>
            <w:tcMar>
              <w:top w:w="0" w:type="dxa"/>
              <w:left w:w="10" w:type="dxa"/>
              <w:bottom w:w="0" w:type="dxa"/>
              <w:right w:w="10" w:type="dxa"/>
            </w:tcMar>
            <w:vAlign w:val="center"/>
          </w:tcPr>
          <w:p w14:paraId="71214710">
            <w:pPr>
              <w:spacing w:line="360" w:lineRule="auto"/>
              <w:rPr>
                <w:rFonts w:hint="eastAsia" w:ascii="宋体" w:hAnsi="宋体" w:eastAsia="宋体" w:cs="宋体"/>
                <w:color w:val="auto"/>
                <w:sz w:val="24"/>
              </w:rPr>
            </w:pPr>
            <w:r>
              <w:rPr>
                <w:rFonts w:hint="eastAsia" w:ascii="宋体" w:hAnsi="宋体" w:eastAsia="宋体" w:cs="宋体"/>
                <w:color w:val="auto"/>
                <w:sz w:val="24"/>
              </w:rPr>
              <w:t>项目名称：</w:t>
            </w:r>
          </w:p>
        </w:tc>
        <w:tc>
          <w:tcPr>
            <w:tcW w:w="4340" w:type="dxa"/>
            <w:gridSpan w:val="3"/>
            <w:tcBorders>
              <w:top w:val="nil"/>
              <w:left w:val="nil"/>
              <w:bottom w:val="single" w:color="auto" w:sz="8" w:space="0"/>
              <w:right w:val="nil"/>
            </w:tcBorders>
            <w:tcMar>
              <w:top w:w="0" w:type="dxa"/>
              <w:left w:w="10" w:type="dxa"/>
              <w:bottom w:w="0" w:type="dxa"/>
              <w:right w:w="10" w:type="dxa"/>
            </w:tcMar>
            <w:vAlign w:val="center"/>
          </w:tcPr>
          <w:p w14:paraId="6DDCA0E1">
            <w:pPr>
              <w:spacing w:line="360" w:lineRule="auto"/>
              <w:rPr>
                <w:rFonts w:hint="eastAsia" w:ascii="宋体" w:hAnsi="宋体" w:eastAsia="宋体" w:cs="宋体"/>
                <w:color w:val="auto"/>
                <w:sz w:val="24"/>
              </w:rPr>
            </w:pPr>
            <w:r>
              <w:rPr>
                <w:rFonts w:hint="eastAsia" w:ascii="宋体" w:hAnsi="宋体" w:eastAsia="宋体" w:cs="宋体"/>
                <w:color w:val="auto"/>
                <w:sz w:val="24"/>
              </w:rPr>
              <w:t>项目编号：</w:t>
            </w:r>
          </w:p>
        </w:tc>
      </w:tr>
      <w:tr w14:paraId="7B99FCA0">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FCDF228">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ABBC10">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招标文件条目号</w:t>
            </w: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DBADC75">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招标文件要求的</w:t>
            </w:r>
          </w:p>
          <w:p w14:paraId="77F32080">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商务条款</w:t>
            </w: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01FC693">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投标响应</w:t>
            </w: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0CBCDD6">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偏离</w:t>
            </w: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775C6D">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备注</w:t>
            </w:r>
          </w:p>
        </w:tc>
      </w:tr>
      <w:tr w14:paraId="763CD495">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BF9F799">
            <w:pPr>
              <w:spacing w:line="360" w:lineRule="auto"/>
              <w:jc w:val="center"/>
              <w:rPr>
                <w:rFonts w:hint="eastAsia" w:ascii="宋体" w:hAnsi="宋体" w:eastAsia="宋体" w:cs="宋体"/>
                <w:color w:val="auto"/>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5A6B07E">
            <w:pPr>
              <w:spacing w:line="360" w:lineRule="auto"/>
              <w:jc w:val="center"/>
              <w:rPr>
                <w:rFonts w:hint="eastAsia" w:ascii="宋体" w:hAnsi="宋体" w:eastAsia="宋体" w:cs="宋体"/>
                <w:color w:val="auto"/>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BB98F37">
            <w:pPr>
              <w:spacing w:line="360" w:lineRule="auto"/>
              <w:jc w:val="center"/>
              <w:rPr>
                <w:rFonts w:hint="eastAsia" w:ascii="宋体" w:hAnsi="宋体" w:eastAsia="宋体" w:cs="宋体"/>
                <w:color w:val="auto"/>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FF2F96A">
            <w:pPr>
              <w:spacing w:line="360" w:lineRule="auto"/>
              <w:jc w:val="center"/>
              <w:rPr>
                <w:rFonts w:hint="eastAsia" w:ascii="宋体" w:hAnsi="宋体" w:eastAsia="宋体" w:cs="宋体"/>
                <w:color w:val="auto"/>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A6FE7E3">
            <w:pPr>
              <w:spacing w:line="360" w:lineRule="auto"/>
              <w:jc w:val="center"/>
              <w:rPr>
                <w:rFonts w:hint="eastAsia" w:ascii="宋体" w:hAnsi="宋体" w:eastAsia="宋体" w:cs="宋体"/>
                <w:color w:val="auto"/>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0A366FC">
            <w:pPr>
              <w:spacing w:line="360" w:lineRule="auto"/>
              <w:jc w:val="center"/>
              <w:rPr>
                <w:rFonts w:hint="eastAsia" w:ascii="宋体" w:hAnsi="宋体" w:eastAsia="宋体" w:cs="宋体"/>
                <w:color w:val="auto"/>
                <w:sz w:val="24"/>
              </w:rPr>
            </w:pPr>
          </w:p>
        </w:tc>
      </w:tr>
      <w:tr w14:paraId="28885CC3">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24CDF38">
            <w:pPr>
              <w:spacing w:line="360" w:lineRule="auto"/>
              <w:jc w:val="center"/>
              <w:rPr>
                <w:rFonts w:hint="eastAsia" w:ascii="宋体" w:hAnsi="宋体" w:eastAsia="宋体" w:cs="宋体"/>
                <w:color w:val="auto"/>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2C94480">
            <w:pPr>
              <w:spacing w:line="360" w:lineRule="auto"/>
              <w:jc w:val="center"/>
              <w:rPr>
                <w:rFonts w:hint="eastAsia" w:ascii="宋体" w:hAnsi="宋体" w:eastAsia="宋体" w:cs="宋体"/>
                <w:color w:val="auto"/>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5CCB371">
            <w:pPr>
              <w:spacing w:line="360" w:lineRule="auto"/>
              <w:jc w:val="center"/>
              <w:rPr>
                <w:rFonts w:hint="eastAsia" w:ascii="宋体" w:hAnsi="宋体" w:eastAsia="宋体" w:cs="宋体"/>
                <w:color w:val="auto"/>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21A3EC9">
            <w:pPr>
              <w:spacing w:line="360" w:lineRule="auto"/>
              <w:jc w:val="center"/>
              <w:rPr>
                <w:rFonts w:hint="eastAsia" w:ascii="宋体" w:hAnsi="宋体" w:eastAsia="宋体" w:cs="宋体"/>
                <w:color w:val="auto"/>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DD60982">
            <w:pPr>
              <w:spacing w:line="360" w:lineRule="auto"/>
              <w:jc w:val="center"/>
              <w:rPr>
                <w:rFonts w:hint="eastAsia" w:ascii="宋体" w:hAnsi="宋体" w:eastAsia="宋体" w:cs="宋体"/>
                <w:color w:val="auto"/>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C257AA6">
            <w:pPr>
              <w:spacing w:line="360" w:lineRule="auto"/>
              <w:jc w:val="center"/>
              <w:rPr>
                <w:rFonts w:hint="eastAsia" w:ascii="宋体" w:hAnsi="宋体" w:eastAsia="宋体" w:cs="宋体"/>
                <w:color w:val="auto"/>
                <w:sz w:val="24"/>
              </w:rPr>
            </w:pPr>
          </w:p>
        </w:tc>
      </w:tr>
      <w:tr w14:paraId="07B87E03">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9011E90">
            <w:pPr>
              <w:spacing w:line="360" w:lineRule="auto"/>
              <w:jc w:val="center"/>
              <w:rPr>
                <w:rFonts w:hint="eastAsia" w:ascii="宋体" w:hAnsi="宋体" w:eastAsia="宋体" w:cs="宋体"/>
                <w:color w:val="auto"/>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99836A1">
            <w:pPr>
              <w:spacing w:line="360" w:lineRule="auto"/>
              <w:jc w:val="center"/>
              <w:rPr>
                <w:rFonts w:hint="eastAsia" w:ascii="宋体" w:hAnsi="宋体" w:eastAsia="宋体" w:cs="宋体"/>
                <w:color w:val="auto"/>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66FD57E">
            <w:pPr>
              <w:spacing w:line="360" w:lineRule="auto"/>
              <w:jc w:val="center"/>
              <w:rPr>
                <w:rFonts w:hint="eastAsia" w:ascii="宋体" w:hAnsi="宋体" w:eastAsia="宋体" w:cs="宋体"/>
                <w:color w:val="auto"/>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F04919B">
            <w:pPr>
              <w:spacing w:line="360" w:lineRule="auto"/>
              <w:jc w:val="center"/>
              <w:rPr>
                <w:rFonts w:hint="eastAsia" w:ascii="宋体" w:hAnsi="宋体" w:eastAsia="宋体" w:cs="宋体"/>
                <w:color w:val="auto"/>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A0638D5">
            <w:pPr>
              <w:spacing w:line="360" w:lineRule="auto"/>
              <w:jc w:val="center"/>
              <w:rPr>
                <w:rFonts w:hint="eastAsia" w:ascii="宋体" w:hAnsi="宋体" w:eastAsia="宋体" w:cs="宋体"/>
                <w:color w:val="auto"/>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9D967C">
            <w:pPr>
              <w:spacing w:line="360" w:lineRule="auto"/>
              <w:jc w:val="center"/>
              <w:rPr>
                <w:rFonts w:hint="eastAsia" w:ascii="宋体" w:hAnsi="宋体" w:eastAsia="宋体" w:cs="宋体"/>
                <w:color w:val="auto"/>
                <w:sz w:val="24"/>
              </w:rPr>
            </w:pPr>
          </w:p>
        </w:tc>
      </w:tr>
      <w:tr w14:paraId="7C7828F6">
        <w:tblPrEx>
          <w:tblCellMar>
            <w:top w:w="0" w:type="dxa"/>
            <w:left w:w="0" w:type="dxa"/>
            <w:bottom w:w="0" w:type="dxa"/>
            <w:right w:w="0" w:type="dxa"/>
          </w:tblCellMar>
        </w:tblPrEx>
        <w:trPr>
          <w:jc w:val="center"/>
        </w:trPr>
        <w:tc>
          <w:tcPr>
            <w:tcW w:w="903" w:type="dxa"/>
            <w:tcBorders>
              <w:top w:val="nil"/>
              <w:left w:val="nil"/>
              <w:bottom w:val="nil"/>
              <w:right w:val="nil"/>
            </w:tcBorders>
            <w:vAlign w:val="center"/>
          </w:tcPr>
          <w:p w14:paraId="544CCF86">
            <w:pPr>
              <w:spacing w:line="360" w:lineRule="auto"/>
              <w:rPr>
                <w:rFonts w:hint="eastAsia" w:ascii="宋体" w:hAnsi="宋体" w:eastAsia="宋体" w:cs="宋体"/>
                <w:color w:val="auto"/>
                <w:sz w:val="24"/>
              </w:rPr>
            </w:pPr>
          </w:p>
        </w:tc>
        <w:tc>
          <w:tcPr>
            <w:tcW w:w="1784" w:type="dxa"/>
            <w:tcBorders>
              <w:top w:val="nil"/>
              <w:left w:val="nil"/>
              <w:bottom w:val="nil"/>
              <w:right w:val="nil"/>
            </w:tcBorders>
            <w:vAlign w:val="center"/>
          </w:tcPr>
          <w:p w14:paraId="227C2564">
            <w:pPr>
              <w:spacing w:line="360" w:lineRule="auto"/>
              <w:rPr>
                <w:rFonts w:hint="eastAsia" w:ascii="宋体" w:hAnsi="宋体" w:eastAsia="宋体" w:cs="宋体"/>
                <w:color w:val="auto"/>
                <w:sz w:val="24"/>
              </w:rPr>
            </w:pPr>
          </w:p>
        </w:tc>
        <w:tc>
          <w:tcPr>
            <w:tcW w:w="2370" w:type="dxa"/>
            <w:tcBorders>
              <w:top w:val="nil"/>
              <w:left w:val="nil"/>
              <w:bottom w:val="nil"/>
              <w:right w:val="nil"/>
            </w:tcBorders>
            <w:vAlign w:val="center"/>
          </w:tcPr>
          <w:p w14:paraId="659B3AC6">
            <w:pPr>
              <w:spacing w:line="360" w:lineRule="auto"/>
              <w:rPr>
                <w:rFonts w:hint="eastAsia" w:ascii="宋体" w:hAnsi="宋体" w:eastAsia="宋体" w:cs="宋体"/>
                <w:color w:val="auto"/>
                <w:sz w:val="24"/>
              </w:rPr>
            </w:pPr>
          </w:p>
        </w:tc>
        <w:tc>
          <w:tcPr>
            <w:tcW w:w="933" w:type="dxa"/>
            <w:tcBorders>
              <w:top w:val="nil"/>
              <w:left w:val="nil"/>
              <w:bottom w:val="nil"/>
              <w:right w:val="nil"/>
            </w:tcBorders>
            <w:vAlign w:val="center"/>
          </w:tcPr>
          <w:p w14:paraId="60AC17C6">
            <w:pPr>
              <w:spacing w:line="360" w:lineRule="auto"/>
              <w:rPr>
                <w:rFonts w:hint="eastAsia" w:ascii="宋体" w:hAnsi="宋体" w:eastAsia="宋体" w:cs="宋体"/>
                <w:color w:val="auto"/>
                <w:sz w:val="24"/>
              </w:rPr>
            </w:pPr>
          </w:p>
        </w:tc>
        <w:tc>
          <w:tcPr>
            <w:tcW w:w="1759" w:type="dxa"/>
            <w:tcBorders>
              <w:top w:val="nil"/>
              <w:left w:val="nil"/>
              <w:bottom w:val="nil"/>
              <w:right w:val="nil"/>
            </w:tcBorders>
            <w:vAlign w:val="center"/>
          </w:tcPr>
          <w:p w14:paraId="07C495DE">
            <w:pPr>
              <w:spacing w:line="360" w:lineRule="auto"/>
              <w:rPr>
                <w:rFonts w:hint="eastAsia" w:ascii="宋体" w:hAnsi="宋体" w:eastAsia="宋体" w:cs="宋体"/>
                <w:color w:val="auto"/>
                <w:sz w:val="24"/>
              </w:rPr>
            </w:pPr>
          </w:p>
        </w:tc>
        <w:tc>
          <w:tcPr>
            <w:tcW w:w="1201" w:type="dxa"/>
            <w:tcBorders>
              <w:top w:val="nil"/>
              <w:left w:val="nil"/>
              <w:bottom w:val="nil"/>
              <w:right w:val="nil"/>
            </w:tcBorders>
            <w:vAlign w:val="center"/>
          </w:tcPr>
          <w:p w14:paraId="1D1576F7">
            <w:pPr>
              <w:spacing w:line="360" w:lineRule="auto"/>
              <w:rPr>
                <w:rFonts w:hint="eastAsia" w:ascii="宋体" w:hAnsi="宋体" w:eastAsia="宋体" w:cs="宋体"/>
                <w:color w:val="auto"/>
                <w:sz w:val="24"/>
              </w:rPr>
            </w:pPr>
          </w:p>
        </w:tc>
        <w:tc>
          <w:tcPr>
            <w:tcW w:w="1380" w:type="dxa"/>
            <w:tcBorders>
              <w:top w:val="nil"/>
              <w:left w:val="nil"/>
              <w:bottom w:val="nil"/>
              <w:right w:val="nil"/>
            </w:tcBorders>
            <w:vAlign w:val="center"/>
          </w:tcPr>
          <w:p w14:paraId="0418475E">
            <w:pPr>
              <w:spacing w:line="360" w:lineRule="auto"/>
              <w:rPr>
                <w:rFonts w:hint="eastAsia" w:ascii="宋体" w:hAnsi="宋体" w:eastAsia="宋体" w:cs="宋体"/>
                <w:color w:val="auto"/>
                <w:sz w:val="24"/>
              </w:rPr>
            </w:pPr>
          </w:p>
        </w:tc>
      </w:tr>
    </w:tbl>
    <w:p w14:paraId="2CE228F5">
      <w:pPr>
        <w:spacing w:line="360" w:lineRule="auto"/>
        <w:rPr>
          <w:rFonts w:hint="eastAsia" w:ascii="宋体" w:hAnsi="宋体" w:eastAsia="宋体" w:cs="宋体"/>
          <w:color w:val="auto"/>
          <w:szCs w:val="22"/>
        </w:rPr>
      </w:pPr>
      <w:r>
        <w:rPr>
          <w:rFonts w:hint="eastAsia" w:ascii="宋体" w:hAnsi="宋体" w:eastAsia="宋体" w:cs="宋体"/>
          <w:color w:val="auto"/>
          <w:szCs w:val="22"/>
        </w:rPr>
        <w:t>说明：如果行数不够，请自行增加。</w:t>
      </w:r>
    </w:p>
    <w:p w14:paraId="1B881B45">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供应商名称：（加盖公章）</w:t>
      </w:r>
    </w:p>
    <w:p w14:paraId="3F149FD8">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日期：   年   月   日</w:t>
      </w:r>
    </w:p>
    <w:p w14:paraId="6A902B70">
      <w:pPr>
        <w:spacing w:line="360" w:lineRule="auto"/>
        <w:ind w:firstLine="480"/>
        <w:rPr>
          <w:rFonts w:hint="eastAsia" w:ascii="宋体" w:hAnsi="宋体" w:eastAsia="宋体" w:cs="宋体"/>
          <w:color w:val="auto"/>
          <w:sz w:val="24"/>
        </w:rPr>
      </w:pPr>
    </w:p>
    <w:p w14:paraId="1746EDEC">
      <w:pPr>
        <w:spacing w:line="360" w:lineRule="auto"/>
        <w:ind w:firstLine="480"/>
        <w:rPr>
          <w:rFonts w:hint="eastAsia" w:ascii="宋体" w:hAnsi="宋体" w:eastAsia="宋体" w:cs="宋体"/>
          <w:color w:val="auto"/>
          <w:sz w:val="24"/>
        </w:rPr>
      </w:pPr>
    </w:p>
    <w:p w14:paraId="3BCBBE6B">
      <w:pPr>
        <w:rPr>
          <w:rFonts w:hint="eastAsia" w:ascii="宋体" w:hAnsi="宋体" w:eastAsia="宋体" w:cs="宋体"/>
          <w:color w:val="auto"/>
          <w:sz w:val="24"/>
        </w:rPr>
      </w:pPr>
      <w:r>
        <w:rPr>
          <w:rFonts w:hint="eastAsia" w:ascii="宋体" w:hAnsi="宋体" w:eastAsia="宋体" w:cs="宋体"/>
          <w:color w:val="auto"/>
          <w:sz w:val="24"/>
        </w:rPr>
        <w:br w:type="page" w:clear="all"/>
      </w:r>
    </w:p>
    <w:p w14:paraId="6A6E6C93">
      <w:pPr>
        <w:shd w:val="clear" w:color="auto" w:fill="FFFFFF"/>
        <w:spacing w:line="360" w:lineRule="auto"/>
        <w:rPr>
          <w:rFonts w:hint="eastAsia" w:ascii="宋体" w:hAnsi="宋体" w:eastAsia="宋体" w:cs="宋体"/>
          <w:b/>
          <w:bCs/>
          <w:color w:val="auto"/>
          <w:sz w:val="31"/>
          <w:szCs w:val="31"/>
        </w:rPr>
      </w:pPr>
      <w:r>
        <w:rPr>
          <w:rFonts w:hint="eastAsia" w:ascii="宋体" w:hAnsi="宋体" w:eastAsia="宋体" w:cs="宋体"/>
          <w:b/>
          <w:color w:val="auto"/>
          <w:sz w:val="31"/>
          <w:szCs w:val="31"/>
        </w:rPr>
        <w:t>附件六、方案及服务承诺</w:t>
      </w:r>
    </w:p>
    <w:p w14:paraId="5081F4C0">
      <w:pPr>
        <w:ind w:firstLine="420"/>
        <w:rPr>
          <w:rFonts w:hint="eastAsia" w:ascii="宋体" w:hAnsi="宋体" w:eastAsia="宋体" w:cs="宋体"/>
          <w:color w:val="auto"/>
        </w:rPr>
      </w:pPr>
      <w:r>
        <w:rPr>
          <w:rFonts w:hint="eastAsia" w:ascii="宋体" w:hAnsi="宋体" w:eastAsia="宋体" w:cs="宋体"/>
          <w:color w:val="auto"/>
        </w:rPr>
        <w:t>方案及服务承诺应根据采购人对项目的要求、评标标准的要求及项目本身的特点编写。</w:t>
      </w:r>
    </w:p>
    <w:p w14:paraId="64F234A4">
      <w:pPr>
        <w:spacing w:line="360" w:lineRule="auto"/>
        <w:ind w:firstLine="480"/>
        <w:rPr>
          <w:rFonts w:hint="eastAsia" w:ascii="宋体" w:hAnsi="宋体" w:eastAsia="宋体" w:cs="宋体"/>
          <w:color w:val="auto"/>
          <w:sz w:val="24"/>
        </w:rPr>
      </w:pPr>
    </w:p>
    <w:p w14:paraId="39D97C7F">
      <w:pPr>
        <w:spacing w:line="360" w:lineRule="auto"/>
        <w:rPr>
          <w:rFonts w:hint="eastAsia" w:ascii="宋体" w:hAnsi="宋体" w:eastAsia="宋体" w:cs="宋体"/>
          <w:color w:val="auto"/>
          <w:sz w:val="24"/>
        </w:rPr>
      </w:pPr>
    </w:p>
    <w:p w14:paraId="569DF819">
      <w:pPr>
        <w:spacing w:line="360" w:lineRule="auto"/>
        <w:ind w:firstLine="480"/>
        <w:rPr>
          <w:rFonts w:hint="eastAsia" w:ascii="宋体" w:hAnsi="宋体" w:eastAsia="宋体" w:cs="宋体"/>
          <w:color w:val="auto"/>
          <w:sz w:val="24"/>
        </w:rPr>
      </w:pPr>
    </w:p>
    <w:p w14:paraId="7FEC7410">
      <w:pPr>
        <w:shd w:val="clear" w:color="auto" w:fill="FFFFFF"/>
        <w:spacing w:line="360" w:lineRule="auto"/>
        <w:rPr>
          <w:rFonts w:hint="eastAsia" w:ascii="宋体" w:hAnsi="宋体" w:eastAsia="宋体" w:cs="宋体"/>
          <w:b/>
          <w:color w:val="auto"/>
          <w:sz w:val="31"/>
          <w:szCs w:val="31"/>
          <w:lang w:val="zh-CN"/>
        </w:rPr>
      </w:pPr>
      <w:r>
        <w:rPr>
          <w:rFonts w:hint="eastAsia" w:ascii="宋体" w:hAnsi="宋体" w:eastAsia="宋体" w:cs="宋体"/>
          <w:b/>
          <w:color w:val="auto"/>
          <w:sz w:val="31"/>
          <w:szCs w:val="31"/>
        </w:rPr>
        <w:t>附件七、</w:t>
      </w:r>
      <w:r>
        <w:rPr>
          <w:rFonts w:hint="eastAsia" w:ascii="宋体" w:hAnsi="宋体" w:eastAsia="宋体" w:cs="宋体"/>
          <w:b/>
          <w:color w:val="auto"/>
          <w:sz w:val="31"/>
          <w:szCs w:val="31"/>
          <w:lang w:val="zh-CN"/>
        </w:rPr>
        <w:t>供应商类似业绩情况表</w:t>
      </w:r>
    </w:p>
    <w:p w14:paraId="4BC4EB00">
      <w:pPr>
        <w:spacing w:line="360" w:lineRule="auto"/>
        <w:ind w:firstLine="480"/>
        <w:rPr>
          <w:rFonts w:hint="eastAsia" w:ascii="宋体" w:hAnsi="宋体" w:eastAsia="宋体" w:cs="宋体"/>
          <w:color w:val="auto"/>
          <w:sz w:val="24"/>
          <w:lang w:val="zh-CN"/>
        </w:rPr>
      </w:pPr>
    </w:p>
    <w:tbl>
      <w:tblPr>
        <w:tblStyle w:val="3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812"/>
        <w:gridCol w:w="1572"/>
        <w:gridCol w:w="1164"/>
        <w:gridCol w:w="1395"/>
      </w:tblGrid>
      <w:tr w14:paraId="39FE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1129" w:type="dxa"/>
            <w:vAlign w:val="center"/>
          </w:tcPr>
          <w:p w14:paraId="1E87A111">
            <w:pPr>
              <w:jc w:val="center"/>
              <w:rPr>
                <w:rFonts w:hint="eastAsia" w:ascii="宋体" w:hAnsi="宋体" w:eastAsia="宋体" w:cs="宋体"/>
                <w:b/>
                <w:bCs/>
                <w:color w:val="auto"/>
                <w:lang w:val="zh-CN"/>
              </w:rPr>
            </w:pPr>
            <w:r>
              <w:rPr>
                <w:rFonts w:hint="eastAsia" w:ascii="宋体" w:hAnsi="宋体" w:eastAsia="宋体" w:cs="宋体"/>
                <w:b/>
                <w:bCs/>
                <w:color w:val="auto"/>
                <w:lang w:val="zh-CN"/>
              </w:rPr>
              <w:t>序号</w:t>
            </w:r>
          </w:p>
        </w:tc>
        <w:tc>
          <w:tcPr>
            <w:tcW w:w="3812" w:type="dxa"/>
            <w:vAlign w:val="center"/>
          </w:tcPr>
          <w:p w14:paraId="5E32A0B0">
            <w:pPr>
              <w:jc w:val="center"/>
              <w:rPr>
                <w:rFonts w:hint="eastAsia" w:ascii="宋体" w:hAnsi="宋体" w:eastAsia="宋体" w:cs="宋体"/>
                <w:b/>
                <w:bCs/>
                <w:color w:val="auto"/>
                <w:lang w:val="zh-CN"/>
              </w:rPr>
            </w:pPr>
            <w:r>
              <w:rPr>
                <w:rFonts w:hint="eastAsia" w:ascii="宋体" w:hAnsi="宋体" w:eastAsia="宋体" w:cs="宋体"/>
                <w:b/>
                <w:bCs/>
                <w:color w:val="auto"/>
                <w:lang w:val="zh-CN"/>
              </w:rPr>
              <w:t>项目名称</w:t>
            </w:r>
          </w:p>
        </w:tc>
        <w:tc>
          <w:tcPr>
            <w:tcW w:w="1572" w:type="dxa"/>
            <w:vAlign w:val="center"/>
          </w:tcPr>
          <w:p w14:paraId="3547137B">
            <w:pPr>
              <w:jc w:val="center"/>
              <w:rPr>
                <w:rFonts w:hint="eastAsia" w:ascii="宋体" w:hAnsi="宋体" w:eastAsia="宋体" w:cs="宋体"/>
                <w:b/>
                <w:bCs/>
                <w:color w:val="auto"/>
                <w:lang w:val="zh-CN"/>
              </w:rPr>
            </w:pPr>
            <w:r>
              <w:rPr>
                <w:rFonts w:hint="eastAsia" w:ascii="宋体" w:hAnsi="宋体" w:eastAsia="宋体" w:cs="宋体"/>
                <w:b/>
                <w:bCs/>
                <w:color w:val="auto"/>
                <w:lang w:val="zh-CN"/>
              </w:rPr>
              <w:t>业主单位</w:t>
            </w:r>
          </w:p>
        </w:tc>
        <w:tc>
          <w:tcPr>
            <w:tcW w:w="1164" w:type="dxa"/>
            <w:vAlign w:val="center"/>
          </w:tcPr>
          <w:p w14:paraId="01FA0353">
            <w:pPr>
              <w:jc w:val="center"/>
              <w:rPr>
                <w:rFonts w:hint="eastAsia" w:ascii="宋体" w:hAnsi="宋体" w:eastAsia="宋体" w:cs="宋体"/>
                <w:b/>
                <w:bCs/>
                <w:color w:val="auto"/>
              </w:rPr>
            </w:pPr>
            <w:r>
              <w:rPr>
                <w:rFonts w:hint="eastAsia" w:ascii="宋体" w:hAnsi="宋体" w:eastAsia="宋体" w:cs="宋体"/>
                <w:b/>
                <w:bCs/>
                <w:color w:val="auto"/>
              </w:rPr>
              <w:t>合同签订时间</w:t>
            </w:r>
          </w:p>
        </w:tc>
        <w:tc>
          <w:tcPr>
            <w:tcW w:w="1395" w:type="dxa"/>
            <w:vAlign w:val="center"/>
          </w:tcPr>
          <w:p w14:paraId="78036D3F">
            <w:pPr>
              <w:jc w:val="center"/>
              <w:rPr>
                <w:rFonts w:hint="eastAsia" w:ascii="宋体" w:hAnsi="宋体" w:eastAsia="宋体" w:cs="宋体"/>
                <w:b/>
                <w:bCs/>
                <w:color w:val="auto"/>
                <w:lang w:val="zh-CN"/>
              </w:rPr>
            </w:pPr>
            <w:r>
              <w:rPr>
                <w:rFonts w:hint="eastAsia" w:ascii="宋体" w:hAnsi="宋体" w:eastAsia="宋体" w:cs="宋体"/>
                <w:b/>
                <w:bCs/>
                <w:color w:val="auto"/>
                <w:lang w:val="zh-CN"/>
              </w:rPr>
              <w:t>备注</w:t>
            </w:r>
          </w:p>
        </w:tc>
      </w:tr>
      <w:tr w14:paraId="3A6D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9" w:type="dxa"/>
          </w:tcPr>
          <w:p w14:paraId="2B092E1D">
            <w:pPr>
              <w:rPr>
                <w:rFonts w:hint="eastAsia" w:ascii="宋体" w:hAnsi="宋体" w:eastAsia="宋体" w:cs="宋体"/>
                <w:color w:val="auto"/>
                <w:lang w:val="zh-CN"/>
              </w:rPr>
            </w:pPr>
          </w:p>
        </w:tc>
        <w:tc>
          <w:tcPr>
            <w:tcW w:w="3812" w:type="dxa"/>
          </w:tcPr>
          <w:p w14:paraId="279DB846">
            <w:pPr>
              <w:rPr>
                <w:rFonts w:hint="eastAsia" w:ascii="宋体" w:hAnsi="宋体" w:eastAsia="宋体" w:cs="宋体"/>
                <w:color w:val="auto"/>
                <w:lang w:val="zh-CN"/>
              </w:rPr>
            </w:pPr>
          </w:p>
        </w:tc>
        <w:tc>
          <w:tcPr>
            <w:tcW w:w="1572" w:type="dxa"/>
          </w:tcPr>
          <w:p w14:paraId="29422D68">
            <w:pPr>
              <w:rPr>
                <w:rFonts w:hint="eastAsia" w:ascii="宋体" w:hAnsi="宋体" w:eastAsia="宋体" w:cs="宋体"/>
                <w:color w:val="auto"/>
                <w:lang w:val="zh-CN"/>
              </w:rPr>
            </w:pPr>
          </w:p>
        </w:tc>
        <w:tc>
          <w:tcPr>
            <w:tcW w:w="1164" w:type="dxa"/>
          </w:tcPr>
          <w:p w14:paraId="755B3E3C">
            <w:pPr>
              <w:rPr>
                <w:rFonts w:hint="eastAsia" w:ascii="宋体" w:hAnsi="宋体" w:eastAsia="宋体" w:cs="宋体"/>
                <w:color w:val="auto"/>
                <w:lang w:val="zh-CN"/>
              </w:rPr>
            </w:pPr>
          </w:p>
        </w:tc>
        <w:tc>
          <w:tcPr>
            <w:tcW w:w="1395" w:type="dxa"/>
          </w:tcPr>
          <w:p w14:paraId="1080C893">
            <w:pPr>
              <w:rPr>
                <w:rFonts w:hint="eastAsia" w:ascii="宋体" w:hAnsi="宋体" w:eastAsia="宋体" w:cs="宋体"/>
                <w:color w:val="auto"/>
                <w:lang w:val="zh-CN"/>
              </w:rPr>
            </w:pPr>
          </w:p>
        </w:tc>
      </w:tr>
      <w:tr w14:paraId="07C8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9" w:type="dxa"/>
          </w:tcPr>
          <w:p w14:paraId="2456C4E3">
            <w:pPr>
              <w:rPr>
                <w:rFonts w:hint="eastAsia" w:ascii="宋体" w:hAnsi="宋体" w:eastAsia="宋体" w:cs="宋体"/>
                <w:color w:val="auto"/>
                <w:lang w:val="zh-CN"/>
              </w:rPr>
            </w:pPr>
          </w:p>
        </w:tc>
        <w:tc>
          <w:tcPr>
            <w:tcW w:w="3812" w:type="dxa"/>
          </w:tcPr>
          <w:p w14:paraId="77B5ED53">
            <w:pPr>
              <w:rPr>
                <w:rFonts w:hint="eastAsia" w:ascii="宋体" w:hAnsi="宋体" w:eastAsia="宋体" w:cs="宋体"/>
                <w:color w:val="auto"/>
                <w:szCs w:val="22"/>
                <w:lang w:val="zh-CN"/>
              </w:rPr>
            </w:pPr>
          </w:p>
        </w:tc>
        <w:tc>
          <w:tcPr>
            <w:tcW w:w="1572" w:type="dxa"/>
          </w:tcPr>
          <w:p w14:paraId="240CAFB4">
            <w:pPr>
              <w:rPr>
                <w:rFonts w:hint="eastAsia" w:ascii="宋体" w:hAnsi="宋体" w:eastAsia="宋体" w:cs="宋体"/>
                <w:color w:val="auto"/>
                <w:lang w:val="zh-CN"/>
              </w:rPr>
            </w:pPr>
          </w:p>
        </w:tc>
        <w:tc>
          <w:tcPr>
            <w:tcW w:w="1164" w:type="dxa"/>
          </w:tcPr>
          <w:p w14:paraId="4BEEEDCB">
            <w:pPr>
              <w:rPr>
                <w:rFonts w:hint="eastAsia" w:ascii="宋体" w:hAnsi="宋体" w:eastAsia="宋体" w:cs="宋体"/>
                <w:color w:val="auto"/>
                <w:lang w:val="zh-CN"/>
              </w:rPr>
            </w:pPr>
          </w:p>
        </w:tc>
        <w:tc>
          <w:tcPr>
            <w:tcW w:w="1395" w:type="dxa"/>
          </w:tcPr>
          <w:p w14:paraId="41889455">
            <w:pPr>
              <w:rPr>
                <w:rFonts w:hint="eastAsia" w:ascii="宋体" w:hAnsi="宋体" w:eastAsia="宋体" w:cs="宋体"/>
                <w:color w:val="auto"/>
                <w:lang w:val="zh-CN"/>
              </w:rPr>
            </w:pPr>
          </w:p>
        </w:tc>
      </w:tr>
      <w:tr w14:paraId="23F6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439A5CA5">
            <w:pPr>
              <w:rPr>
                <w:rFonts w:hint="eastAsia" w:ascii="宋体" w:hAnsi="宋体" w:eastAsia="宋体" w:cs="宋体"/>
                <w:color w:val="auto"/>
                <w:lang w:val="zh-CN"/>
              </w:rPr>
            </w:pPr>
          </w:p>
        </w:tc>
        <w:tc>
          <w:tcPr>
            <w:tcW w:w="3812" w:type="dxa"/>
          </w:tcPr>
          <w:p w14:paraId="01551178">
            <w:pPr>
              <w:rPr>
                <w:rFonts w:hint="eastAsia" w:ascii="宋体" w:hAnsi="宋体" w:eastAsia="宋体" w:cs="宋体"/>
                <w:color w:val="auto"/>
                <w:lang w:val="zh-CN"/>
              </w:rPr>
            </w:pPr>
          </w:p>
        </w:tc>
        <w:tc>
          <w:tcPr>
            <w:tcW w:w="1572" w:type="dxa"/>
          </w:tcPr>
          <w:p w14:paraId="6AFB5B4C">
            <w:pPr>
              <w:rPr>
                <w:rFonts w:hint="eastAsia" w:ascii="宋体" w:hAnsi="宋体" w:eastAsia="宋体" w:cs="宋体"/>
                <w:color w:val="auto"/>
                <w:lang w:val="zh-CN"/>
              </w:rPr>
            </w:pPr>
          </w:p>
        </w:tc>
        <w:tc>
          <w:tcPr>
            <w:tcW w:w="1164" w:type="dxa"/>
          </w:tcPr>
          <w:p w14:paraId="78E56423">
            <w:pPr>
              <w:rPr>
                <w:rFonts w:hint="eastAsia" w:ascii="宋体" w:hAnsi="宋体" w:eastAsia="宋体" w:cs="宋体"/>
                <w:color w:val="auto"/>
                <w:lang w:val="zh-CN"/>
              </w:rPr>
            </w:pPr>
          </w:p>
        </w:tc>
        <w:tc>
          <w:tcPr>
            <w:tcW w:w="1395" w:type="dxa"/>
          </w:tcPr>
          <w:p w14:paraId="0738C605">
            <w:pPr>
              <w:rPr>
                <w:rFonts w:hint="eastAsia" w:ascii="宋体" w:hAnsi="宋体" w:eastAsia="宋体" w:cs="宋体"/>
                <w:color w:val="auto"/>
                <w:lang w:val="zh-CN"/>
              </w:rPr>
            </w:pPr>
          </w:p>
        </w:tc>
      </w:tr>
      <w:tr w14:paraId="07F7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5811A916">
            <w:pPr>
              <w:rPr>
                <w:rFonts w:hint="eastAsia" w:ascii="宋体" w:hAnsi="宋体" w:eastAsia="宋体" w:cs="宋体"/>
                <w:color w:val="auto"/>
                <w:lang w:val="zh-CN"/>
              </w:rPr>
            </w:pPr>
          </w:p>
        </w:tc>
        <w:tc>
          <w:tcPr>
            <w:tcW w:w="3812" w:type="dxa"/>
          </w:tcPr>
          <w:p w14:paraId="4431D8DE">
            <w:pPr>
              <w:rPr>
                <w:rFonts w:hint="eastAsia" w:ascii="宋体" w:hAnsi="宋体" w:eastAsia="宋体" w:cs="宋体"/>
                <w:color w:val="auto"/>
                <w:lang w:val="zh-CN"/>
              </w:rPr>
            </w:pPr>
          </w:p>
        </w:tc>
        <w:tc>
          <w:tcPr>
            <w:tcW w:w="1572" w:type="dxa"/>
          </w:tcPr>
          <w:p w14:paraId="774DEB9F">
            <w:pPr>
              <w:rPr>
                <w:rFonts w:hint="eastAsia" w:ascii="宋体" w:hAnsi="宋体" w:eastAsia="宋体" w:cs="宋体"/>
                <w:color w:val="auto"/>
                <w:lang w:val="zh-CN"/>
              </w:rPr>
            </w:pPr>
          </w:p>
        </w:tc>
        <w:tc>
          <w:tcPr>
            <w:tcW w:w="1164" w:type="dxa"/>
          </w:tcPr>
          <w:p w14:paraId="5BC8B82E">
            <w:pPr>
              <w:rPr>
                <w:rFonts w:hint="eastAsia" w:ascii="宋体" w:hAnsi="宋体" w:eastAsia="宋体" w:cs="宋体"/>
                <w:color w:val="auto"/>
                <w:lang w:val="zh-CN"/>
              </w:rPr>
            </w:pPr>
          </w:p>
        </w:tc>
        <w:tc>
          <w:tcPr>
            <w:tcW w:w="1395" w:type="dxa"/>
          </w:tcPr>
          <w:p w14:paraId="0CDE23AE">
            <w:pPr>
              <w:rPr>
                <w:rFonts w:hint="eastAsia" w:ascii="宋体" w:hAnsi="宋体" w:eastAsia="宋体" w:cs="宋体"/>
                <w:color w:val="auto"/>
                <w:lang w:val="zh-CN"/>
              </w:rPr>
            </w:pPr>
          </w:p>
        </w:tc>
      </w:tr>
      <w:tr w14:paraId="1511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4ABE77A8">
            <w:pPr>
              <w:rPr>
                <w:rFonts w:hint="eastAsia" w:ascii="宋体" w:hAnsi="宋体" w:eastAsia="宋体" w:cs="宋体"/>
                <w:color w:val="auto"/>
              </w:rPr>
            </w:pPr>
            <w:r>
              <w:rPr>
                <w:rFonts w:hint="eastAsia" w:ascii="宋体" w:hAnsi="宋体" w:eastAsia="宋体" w:cs="宋体"/>
                <w:color w:val="auto"/>
              </w:rPr>
              <w:t>...</w:t>
            </w:r>
          </w:p>
        </w:tc>
        <w:tc>
          <w:tcPr>
            <w:tcW w:w="3812" w:type="dxa"/>
          </w:tcPr>
          <w:p w14:paraId="226E3051">
            <w:pPr>
              <w:rPr>
                <w:rFonts w:hint="eastAsia" w:ascii="宋体" w:hAnsi="宋体" w:eastAsia="宋体" w:cs="宋体"/>
                <w:color w:val="auto"/>
                <w:lang w:val="zh-CN"/>
              </w:rPr>
            </w:pPr>
          </w:p>
        </w:tc>
        <w:tc>
          <w:tcPr>
            <w:tcW w:w="1572" w:type="dxa"/>
          </w:tcPr>
          <w:p w14:paraId="3434E112">
            <w:pPr>
              <w:rPr>
                <w:rFonts w:hint="eastAsia" w:ascii="宋体" w:hAnsi="宋体" w:eastAsia="宋体" w:cs="宋体"/>
                <w:color w:val="auto"/>
                <w:lang w:val="zh-CN"/>
              </w:rPr>
            </w:pPr>
          </w:p>
        </w:tc>
        <w:tc>
          <w:tcPr>
            <w:tcW w:w="1164" w:type="dxa"/>
          </w:tcPr>
          <w:p w14:paraId="15AE2755">
            <w:pPr>
              <w:rPr>
                <w:rFonts w:hint="eastAsia" w:ascii="宋体" w:hAnsi="宋体" w:eastAsia="宋体" w:cs="宋体"/>
                <w:color w:val="auto"/>
                <w:lang w:val="zh-CN"/>
              </w:rPr>
            </w:pPr>
          </w:p>
        </w:tc>
        <w:tc>
          <w:tcPr>
            <w:tcW w:w="1395" w:type="dxa"/>
          </w:tcPr>
          <w:p w14:paraId="7A12AC8E">
            <w:pPr>
              <w:rPr>
                <w:rFonts w:hint="eastAsia" w:ascii="宋体" w:hAnsi="宋体" w:eastAsia="宋体" w:cs="宋体"/>
                <w:color w:val="auto"/>
                <w:lang w:val="zh-CN"/>
              </w:rPr>
            </w:pPr>
          </w:p>
        </w:tc>
      </w:tr>
    </w:tbl>
    <w:p w14:paraId="5462D85E">
      <w:pPr>
        <w:ind w:firstLine="420"/>
        <w:rPr>
          <w:rFonts w:hint="eastAsia" w:ascii="宋体" w:hAnsi="宋体" w:eastAsia="宋体" w:cs="宋体"/>
          <w:color w:val="auto"/>
          <w:szCs w:val="21"/>
          <w:lang w:val="zh-CN"/>
        </w:rPr>
      </w:pPr>
      <w:r>
        <w:rPr>
          <w:rFonts w:hint="eastAsia" w:ascii="宋体" w:hAnsi="宋体" w:eastAsia="宋体" w:cs="宋体"/>
          <w:color w:val="auto"/>
          <w:szCs w:val="21"/>
          <w:lang w:val="zh-CN"/>
        </w:rPr>
        <w:t>说明：</w:t>
      </w:r>
    </w:p>
    <w:p w14:paraId="30FB9BAD">
      <w:pPr>
        <w:spacing w:line="360" w:lineRule="auto"/>
        <w:ind w:firstLine="420"/>
        <w:rPr>
          <w:rFonts w:hint="eastAsia" w:ascii="宋体" w:hAnsi="宋体" w:eastAsia="宋体" w:cs="宋体"/>
          <w:b/>
          <w:bCs/>
          <w:color w:val="auto"/>
          <w:szCs w:val="21"/>
        </w:rPr>
      </w:pPr>
      <w:r>
        <w:rPr>
          <w:rFonts w:hint="eastAsia" w:ascii="宋体" w:hAnsi="宋体" w:eastAsia="宋体" w:cs="宋体"/>
          <w:color w:val="auto"/>
          <w:szCs w:val="21"/>
          <w:lang w:val="zh-CN"/>
        </w:rPr>
        <w:t>1.如果行、列数不够，请自行增加。</w:t>
      </w:r>
    </w:p>
    <w:p w14:paraId="5996CD26">
      <w:pPr>
        <w:spacing w:line="360" w:lineRule="auto"/>
        <w:ind w:firstLine="422"/>
        <w:rPr>
          <w:rFonts w:hint="eastAsia" w:ascii="宋体" w:hAnsi="宋体" w:eastAsia="宋体" w:cs="宋体"/>
          <w:color w:val="auto"/>
          <w:szCs w:val="21"/>
        </w:rPr>
      </w:pPr>
      <w:r>
        <w:rPr>
          <w:rFonts w:hint="eastAsia" w:ascii="宋体" w:hAnsi="宋体" w:eastAsia="宋体" w:cs="宋体"/>
          <w:color w:val="auto"/>
          <w:szCs w:val="21"/>
        </w:rPr>
        <w:t>2.请供应商根据本格式要求如实填写业绩情况表，并附相关证明材料复印件。</w:t>
      </w:r>
    </w:p>
    <w:p w14:paraId="5FC34BD1">
      <w:pPr>
        <w:spacing w:line="240" w:lineRule="atLeast"/>
        <w:rPr>
          <w:rFonts w:hint="eastAsia" w:ascii="宋体" w:hAnsi="宋体" w:eastAsia="宋体" w:cs="宋体"/>
          <w:b/>
          <w:bCs/>
          <w:color w:val="auto"/>
        </w:rPr>
      </w:pPr>
    </w:p>
    <w:p w14:paraId="5E5B8893">
      <w:pPr>
        <w:spacing w:line="360" w:lineRule="auto"/>
        <w:ind w:firstLine="480"/>
        <w:rPr>
          <w:rFonts w:hint="eastAsia" w:ascii="宋体" w:hAnsi="宋体" w:eastAsia="宋体" w:cs="宋体"/>
          <w:color w:val="auto"/>
          <w:sz w:val="24"/>
        </w:rPr>
      </w:pPr>
    </w:p>
    <w:p w14:paraId="2E75817B">
      <w:pPr>
        <w:spacing w:line="360" w:lineRule="auto"/>
        <w:ind w:firstLine="400"/>
        <w:rPr>
          <w:rFonts w:hint="eastAsia" w:ascii="宋体" w:hAnsi="宋体" w:eastAsia="宋体" w:cs="宋体"/>
          <w:color w:val="auto"/>
          <w:sz w:val="20"/>
        </w:rPr>
      </w:pPr>
    </w:p>
    <w:p w14:paraId="7DD1F8F3">
      <w:pPr>
        <w:spacing w:line="360" w:lineRule="auto"/>
        <w:ind w:firstLine="400"/>
        <w:rPr>
          <w:rFonts w:hint="eastAsia" w:ascii="宋体" w:hAnsi="宋体" w:eastAsia="宋体" w:cs="宋体"/>
          <w:color w:val="auto"/>
          <w:sz w:val="20"/>
        </w:rPr>
      </w:pPr>
    </w:p>
    <w:p w14:paraId="073B8184">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供应商名称：（加盖公章）</w:t>
      </w:r>
    </w:p>
    <w:p w14:paraId="4E7AAE1D">
      <w:pPr>
        <w:spacing w:line="360" w:lineRule="auto"/>
        <w:ind w:right="9"/>
        <w:jc w:val="right"/>
        <w:rPr>
          <w:rFonts w:hint="eastAsia" w:ascii="宋体" w:hAnsi="宋体" w:eastAsia="宋体" w:cs="宋体"/>
          <w:color w:val="auto"/>
          <w:sz w:val="24"/>
        </w:rPr>
      </w:pPr>
      <w:r>
        <w:rPr>
          <w:rFonts w:hint="eastAsia" w:ascii="宋体" w:hAnsi="宋体" w:eastAsia="宋体" w:cs="宋体"/>
          <w:color w:val="auto"/>
          <w:sz w:val="24"/>
        </w:rPr>
        <w:t>日期：   年   月   日</w:t>
      </w:r>
    </w:p>
    <w:p w14:paraId="24F20244">
      <w:pPr>
        <w:spacing w:line="240" w:lineRule="atLeast"/>
        <w:rPr>
          <w:rFonts w:hint="eastAsia" w:ascii="宋体" w:hAnsi="宋体" w:eastAsia="宋体" w:cs="宋体"/>
          <w:b/>
          <w:bCs/>
          <w:color w:val="auto"/>
        </w:rPr>
      </w:pPr>
    </w:p>
    <w:p w14:paraId="32FAE78E">
      <w:pPr>
        <w:spacing w:after="120"/>
        <w:rPr>
          <w:rFonts w:hint="eastAsia" w:ascii="宋体" w:hAnsi="宋体" w:eastAsia="宋体" w:cs="宋体"/>
          <w:b/>
          <w:bCs/>
          <w:color w:val="auto"/>
          <w:sz w:val="24"/>
        </w:rPr>
      </w:pPr>
    </w:p>
    <w:p w14:paraId="32ED55ED">
      <w:pPr>
        <w:rPr>
          <w:rFonts w:hint="eastAsia" w:ascii="宋体" w:hAnsi="宋体" w:eastAsia="宋体" w:cs="宋体"/>
          <w:b/>
          <w:bCs/>
          <w:color w:val="auto"/>
        </w:rPr>
      </w:pPr>
      <w:r>
        <w:rPr>
          <w:rFonts w:ascii="宋体" w:hAnsi="宋体" w:eastAsia="宋体" w:cs="宋体"/>
          <w:b/>
          <w:bCs/>
          <w:color w:val="auto"/>
        </w:rPr>
        <w:br w:type="page" w:clear="all"/>
      </w:r>
    </w:p>
    <w:p w14:paraId="32B8D415">
      <w:pPr>
        <w:rPr>
          <w:rFonts w:hint="eastAsia" w:ascii="宋体" w:hAnsi="宋体" w:eastAsia="宋体" w:cs="宋体"/>
          <w:b/>
          <w:color w:val="auto"/>
          <w:sz w:val="31"/>
          <w:szCs w:val="31"/>
        </w:rPr>
      </w:pPr>
      <w:r>
        <w:rPr>
          <w:rFonts w:hint="eastAsia" w:ascii="宋体" w:hAnsi="宋体" w:eastAsia="宋体" w:cs="宋体"/>
          <w:b/>
          <w:color w:val="auto"/>
          <w:sz w:val="31"/>
          <w:szCs w:val="31"/>
        </w:rPr>
        <w:t>附件八、企业声明函格式</w:t>
      </w:r>
    </w:p>
    <w:p w14:paraId="20E33C10">
      <w:pPr>
        <w:spacing w:line="360" w:lineRule="auto"/>
        <w:jc w:val="center"/>
        <w:rPr>
          <w:rFonts w:hint="eastAsia" w:ascii="宋体" w:hAnsi="宋体"/>
          <w:color w:val="auto"/>
          <w:sz w:val="32"/>
          <w:szCs w:val="21"/>
        </w:rPr>
      </w:pPr>
      <w:r>
        <w:rPr>
          <w:rFonts w:hint="eastAsia" w:ascii="宋体" w:hAnsi="宋体"/>
          <w:color w:val="auto"/>
          <w:sz w:val="32"/>
          <w:szCs w:val="21"/>
        </w:rPr>
        <w:t>中小企业声明函（工程、服务）</w:t>
      </w:r>
    </w:p>
    <w:p w14:paraId="091954DA">
      <w:pPr>
        <w:spacing w:line="360" w:lineRule="auto"/>
        <w:ind w:firstLine="480"/>
        <w:rPr>
          <w:rFonts w:hint="eastAsia" w:ascii="宋体" w:hAnsi="宋体"/>
          <w:color w:val="auto"/>
          <w:sz w:val="24"/>
          <w:szCs w:val="18"/>
        </w:rPr>
      </w:pPr>
      <w:r>
        <w:rPr>
          <w:rFonts w:hint="eastAsia" w:ascii="宋体" w:hAnsi="宋体"/>
          <w:color w:val="auto"/>
          <w:sz w:val="24"/>
          <w:szCs w:val="18"/>
        </w:rPr>
        <w:t>本公司（联合体）郑重声明，根据《政府采购促进中小企业发展管理办法》（财库﹝2020﹞46 号）的规定，本公司 （联合体）参加</w:t>
      </w:r>
      <w:r>
        <w:rPr>
          <w:rFonts w:hint="eastAsia" w:ascii="宋体" w:hAnsi="宋体"/>
          <w:color w:val="auto"/>
          <w:sz w:val="24"/>
          <w:szCs w:val="18"/>
          <w:u w:val="single"/>
        </w:rPr>
        <w:t xml:space="preserve">      </w:t>
      </w:r>
      <w:r>
        <w:rPr>
          <w:rFonts w:hint="eastAsia" w:ascii="宋体" w:hAnsi="宋体"/>
          <w:color w:val="auto"/>
          <w:sz w:val="24"/>
          <w:szCs w:val="18"/>
        </w:rPr>
        <w:t xml:space="preserve">（单位名称）的 </w:t>
      </w:r>
      <w:r>
        <w:rPr>
          <w:rFonts w:hint="eastAsia" w:ascii="宋体" w:hAnsi="宋体"/>
          <w:color w:val="auto"/>
          <w:sz w:val="24"/>
          <w:szCs w:val="18"/>
          <w:u w:val="single"/>
        </w:rPr>
        <w:t xml:space="preserve">      </w:t>
      </w:r>
      <w:r>
        <w:rPr>
          <w:rFonts w:hint="eastAsia" w:ascii="宋体" w:hAnsi="宋体"/>
          <w:color w:val="auto"/>
          <w:sz w:val="24"/>
          <w:szCs w:val="18"/>
        </w:rPr>
        <w:t>（项目名称）采购活动，工程的施工单位全部为符合政策要求的中小企业（或者：服务全部由符合政策要求的中小企业承接）。相关企业 （含联合体中的中小企业、签订分包意向协议的中小企业） 的具体情况如下：</w:t>
      </w:r>
    </w:p>
    <w:p w14:paraId="3A73F2A7">
      <w:pPr>
        <w:spacing w:line="360" w:lineRule="auto"/>
        <w:ind w:firstLine="480"/>
        <w:rPr>
          <w:rFonts w:hint="eastAsia" w:ascii="宋体" w:hAnsi="宋体"/>
          <w:color w:val="auto"/>
          <w:sz w:val="24"/>
          <w:szCs w:val="18"/>
        </w:rPr>
      </w:pPr>
      <w:r>
        <w:rPr>
          <w:rFonts w:hint="eastAsia" w:ascii="宋体" w:hAnsi="宋体"/>
          <w:color w:val="auto"/>
          <w:sz w:val="24"/>
          <w:szCs w:val="18"/>
        </w:rPr>
        <w:t>1.</w:t>
      </w:r>
      <w:r>
        <w:rPr>
          <w:rFonts w:hint="eastAsia" w:ascii="宋体" w:hAnsi="宋体"/>
          <w:color w:val="auto"/>
          <w:sz w:val="24"/>
          <w:szCs w:val="18"/>
          <w:u w:val="single"/>
        </w:rPr>
        <w:t xml:space="preserve">（标的名称） </w:t>
      </w:r>
      <w:r>
        <w:rPr>
          <w:rFonts w:hint="eastAsia" w:ascii="宋体" w:hAnsi="宋体"/>
          <w:color w:val="auto"/>
          <w:sz w:val="24"/>
          <w:szCs w:val="18"/>
        </w:rPr>
        <w:t>，属于</w:t>
      </w:r>
      <w:r>
        <w:rPr>
          <w:rFonts w:hint="eastAsia" w:ascii="宋体" w:hAnsi="宋体"/>
          <w:color w:val="auto"/>
          <w:sz w:val="24"/>
          <w:szCs w:val="18"/>
          <w:u w:val="single"/>
        </w:rPr>
        <w:t>（采购文件中明确的所属行业） 行业</w:t>
      </w:r>
      <w:r>
        <w:rPr>
          <w:rFonts w:hint="eastAsia" w:ascii="宋体" w:hAnsi="宋体"/>
          <w:color w:val="auto"/>
          <w:sz w:val="24"/>
          <w:szCs w:val="18"/>
        </w:rPr>
        <w:t>；承建（承接）企业为</w:t>
      </w:r>
      <w:r>
        <w:rPr>
          <w:rFonts w:hint="eastAsia" w:ascii="宋体" w:hAnsi="宋体"/>
          <w:color w:val="auto"/>
          <w:sz w:val="24"/>
          <w:szCs w:val="18"/>
          <w:u w:val="single"/>
        </w:rPr>
        <w:t>（企业名称）</w:t>
      </w:r>
      <w:r>
        <w:rPr>
          <w:rFonts w:hint="eastAsia" w:ascii="宋体" w:hAnsi="宋体"/>
          <w:color w:val="auto"/>
          <w:sz w:val="24"/>
          <w:szCs w:val="18"/>
        </w:rPr>
        <w:t>，从业人员</w:t>
      </w:r>
      <w:r>
        <w:rPr>
          <w:rFonts w:hint="eastAsia" w:ascii="宋体" w:hAnsi="宋体"/>
          <w:color w:val="auto"/>
          <w:sz w:val="24"/>
          <w:szCs w:val="18"/>
          <w:u w:val="single"/>
        </w:rPr>
        <w:t xml:space="preserve">   </w:t>
      </w:r>
      <w:r>
        <w:rPr>
          <w:rFonts w:hint="eastAsia" w:ascii="宋体" w:hAnsi="宋体"/>
          <w:color w:val="auto"/>
          <w:sz w:val="24"/>
          <w:szCs w:val="18"/>
        </w:rPr>
        <w:t>人，营业收入为</w:t>
      </w:r>
      <w:r>
        <w:rPr>
          <w:rFonts w:hint="eastAsia" w:ascii="宋体" w:hAnsi="宋体"/>
          <w:color w:val="auto"/>
          <w:sz w:val="24"/>
          <w:szCs w:val="18"/>
          <w:u w:val="single"/>
        </w:rPr>
        <w:t xml:space="preserve">    </w:t>
      </w:r>
      <w:r>
        <w:rPr>
          <w:rFonts w:hint="eastAsia" w:ascii="宋体" w:hAnsi="宋体"/>
          <w:color w:val="auto"/>
          <w:sz w:val="24"/>
          <w:szCs w:val="18"/>
        </w:rPr>
        <w:t>万元，资产总额为</w:t>
      </w:r>
      <w:r>
        <w:rPr>
          <w:rFonts w:hint="eastAsia" w:ascii="宋体" w:hAnsi="宋体"/>
          <w:color w:val="auto"/>
          <w:sz w:val="24"/>
          <w:szCs w:val="18"/>
          <w:u w:val="single"/>
        </w:rPr>
        <w:t xml:space="preserve">    </w:t>
      </w:r>
      <w:r>
        <w:rPr>
          <w:rFonts w:hint="eastAsia" w:ascii="宋体" w:hAnsi="宋体"/>
          <w:color w:val="auto"/>
          <w:sz w:val="24"/>
          <w:szCs w:val="18"/>
        </w:rPr>
        <w:t>万元，属于</w:t>
      </w:r>
      <w:r>
        <w:rPr>
          <w:rFonts w:hint="eastAsia" w:ascii="宋体" w:hAnsi="宋体"/>
          <w:color w:val="auto"/>
          <w:sz w:val="24"/>
          <w:szCs w:val="18"/>
          <w:u w:val="single"/>
        </w:rPr>
        <w:t>（中型企业、小 型企业、微型企业）</w:t>
      </w:r>
      <w:r>
        <w:rPr>
          <w:rFonts w:hint="eastAsia" w:ascii="宋体" w:hAnsi="宋体"/>
          <w:color w:val="auto"/>
          <w:sz w:val="24"/>
          <w:szCs w:val="18"/>
        </w:rPr>
        <w:t>；</w:t>
      </w:r>
    </w:p>
    <w:p w14:paraId="0037DD45">
      <w:pPr>
        <w:spacing w:line="360" w:lineRule="auto"/>
        <w:ind w:firstLine="480"/>
        <w:rPr>
          <w:rFonts w:hint="eastAsia" w:ascii="宋体" w:hAnsi="宋体"/>
          <w:color w:val="auto"/>
          <w:sz w:val="24"/>
          <w:szCs w:val="18"/>
        </w:rPr>
      </w:pPr>
      <w:r>
        <w:rPr>
          <w:rFonts w:hint="eastAsia" w:ascii="宋体" w:hAnsi="宋体"/>
          <w:color w:val="auto"/>
          <w:sz w:val="24"/>
          <w:szCs w:val="18"/>
        </w:rPr>
        <w:t>2.</w:t>
      </w:r>
      <w:r>
        <w:rPr>
          <w:rFonts w:hint="eastAsia" w:ascii="宋体" w:hAnsi="宋体"/>
          <w:color w:val="auto"/>
          <w:sz w:val="24"/>
          <w:szCs w:val="18"/>
          <w:u w:val="single"/>
        </w:rPr>
        <w:t xml:space="preserve">（标的名称） </w:t>
      </w:r>
      <w:r>
        <w:rPr>
          <w:rFonts w:hint="eastAsia" w:ascii="宋体" w:hAnsi="宋体"/>
          <w:color w:val="auto"/>
          <w:sz w:val="24"/>
          <w:szCs w:val="18"/>
        </w:rPr>
        <w:t>，属于</w:t>
      </w:r>
      <w:r>
        <w:rPr>
          <w:rFonts w:hint="eastAsia" w:ascii="宋体" w:hAnsi="宋体"/>
          <w:color w:val="auto"/>
          <w:sz w:val="24"/>
          <w:szCs w:val="18"/>
          <w:u w:val="single"/>
        </w:rPr>
        <w:t>（采购文件中明确的所属行业） 行业</w:t>
      </w:r>
      <w:r>
        <w:rPr>
          <w:rFonts w:hint="eastAsia" w:ascii="宋体" w:hAnsi="宋体"/>
          <w:color w:val="auto"/>
          <w:sz w:val="24"/>
          <w:szCs w:val="18"/>
        </w:rPr>
        <w:t>；承建（承接）企业为</w:t>
      </w:r>
      <w:r>
        <w:rPr>
          <w:rFonts w:hint="eastAsia" w:ascii="宋体" w:hAnsi="宋体"/>
          <w:color w:val="auto"/>
          <w:sz w:val="24"/>
          <w:szCs w:val="18"/>
          <w:u w:val="single"/>
        </w:rPr>
        <w:t>（企业名称）</w:t>
      </w:r>
      <w:r>
        <w:rPr>
          <w:rFonts w:hint="eastAsia" w:ascii="宋体" w:hAnsi="宋体"/>
          <w:color w:val="auto"/>
          <w:sz w:val="24"/>
          <w:szCs w:val="18"/>
        </w:rPr>
        <w:t>，从业人员</w:t>
      </w:r>
      <w:r>
        <w:rPr>
          <w:rFonts w:hint="eastAsia" w:ascii="宋体" w:hAnsi="宋体"/>
          <w:color w:val="auto"/>
          <w:sz w:val="24"/>
          <w:szCs w:val="18"/>
          <w:u w:val="single"/>
        </w:rPr>
        <w:t xml:space="preserve">   </w:t>
      </w:r>
      <w:r>
        <w:rPr>
          <w:rFonts w:hint="eastAsia" w:ascii="宋体" w:hAnsi="宋体"/>
          <w:color w:val="auto"/>
          <w:sz w:val="24"/>
          <w:szCs w:val="18"/>
        </w:rPr>
        <w:t>人，营业收入为</w:t>
      </w:r>
      <w:r>
        <w:rPr>
          <w:rFonts w:hint="eastAsia" w:ascii="宋体" w:hAnsi="宋体"/>
          <w:color w:val="auto"/>
          <w:sz w:val="24"/>
          <w:szCs w:val="18"/>
          <w:u w:val="single"/>
        </w:rPr>
        <w:t xml:space="preserve">    </w:t>
      </w:r>
      <w:r>
        <w:rPr>
          <w:rFonts w:hint="eastAsia" w:ascii="宋体" w:hAnsi="宋体"/>
          <w:color w:val="auto"/>
          <w:sz w:val="24"/>
          <w:szCs w:val="18"/>
        </w:rPr>
        <w:t>万元，资产总额为</w:t>
      </w:r>
      <w:r>
        <w:rPr>
          <w:rFonts w:hint="eastAsia" w:ascii="宋体" w:hAnsi="宋体"/>
          <w:color w:val="auto"/>
          <w:sz w:val="24"/>
          <w:szCs w:val="18"/>
          <w:u w:val="single"/>
        </w:rPr>
        <w:t xml:space="preserve">    </w:t>
      </w:r>
      <w:r>
        <w:rPr>
          <w:rFonts w:hint="eastAsia" w:ascii="宋体" w:hAnsi="宋体"/>
          <w:color w:val="auto"/>
          <w:sz w:val="24"/>
          <w:szCs w:val="18"/>
        </w:rPr>
        <w:t>万元，属于</w:t>
      </w:r>
      <w:r>
        <w:rPr>
          <w:rFonts w:hint="eastAsia" w:ascii="宋体" w:hAnsi="宋体"/>
          <w:color w:val="auto"/>
          <w:sz w:val="24"/>
          <w:szCs w:val="18"/>
          <w:u w:val="single"/>
        </w:rPr>
        <w:t>（中型企业、小 型企业、微型企业）</w:t>
      </w:r>
      <w:r>
        <w:rPr>
          <w:rFonts w:hint="eastAsia" w:ascii="宋体" w:hAnsi="宋体"/>
          <w:color w:val="auto"/>
          <w:sz w:val="24"/>
          <w:szCs w:val="18"/>
        </w:rPr>
        <w:t>；</w:t>
      </w:r>
    </w:p>
    <w:p w14:paraId="78FB5D5F">
      <w:pPr>
        <w:spacing w:line="360" w:lineRule="auto"/>
        <w:ind w:firstLine="480"/>
        <w:rPr>
          <w:rFonts w:hint="eastAsia" w:ascii="宋体" w:hAnsi="宋体"/>
          <w:color w:val="auto"/>
          <w:sz w:val="24"/>
          <w:szCs w:val="18"/>
        </w:rPr>
      </w:pPr>
      <w:r>
        <w:rPr>
          <w:rFonts w:hint="eastAsia" w:ascii="宋体" w:hAnsi="宋体"/>
          <w:color w:val="auto"/>
          <w:sz w:val="24"/>
          <w:szCs w:val="18"/>
        </w:rPr>
        <w:t>....</w:t>
      </w:r>
    </w:p>
    <w:p w14:paraId="63EA75E8">
      <w:pPr>
        <w:spacing w:line="360" w:lineRule="auto"/>
        <w:ind w:firstLine="480"/>
        <w:rPr>
          <w:rFonts w:hint="eastAsia" w:ascii="宋体" w:hAnsi="宋体"/>
          <w:color w:val="auto"/>
          <w:sz w:val="24"/>
          <w:szCs w:val="18"/>
        </w:rPr>
      </w:pPr>
      <w:r>
        <w:rPr>
          <w:rFonts w:hint="eastAsia" w:ascii="宋体" w:hAnsi="宋体"/>
          <w:color w:val="auto"/>
          <w:sz w:val="24"/>
          <w:szCs w:val="18"/>
        </w:rPr>
        <w:t>以上企业，不属于大企业的分支机构，不存在控股股东为大企业的情形，也不存在与大企业的负责人为同一人的情形。</w:t>
      </w:r>
    </w:p>
    <w:p w14:paraId="09579B15">
      <w:pPr>
        <w:spacing w:line="360" w:lineRule="auto"/>
        <w:ind w:firstLine="480"/>
        <w:rPr>
          <w:rFonts w:hint="eastAsia" w:ascii="宋体" w:hAnsi="宋体"/>
          <w:color w:val="auto"/>
          <w:sz w:val="24"/>
          <w:szCs w:val="18"/>
        </w:rPr>
      </w:pPr>
      <w:r>
        <w:rPr>
          <w:rFonts w:hint="eastAsia" w:ascii="宋体" w:hAnsi="宋体"/>
          <w:color w:val="auto"/>
          <w:sz w:val="24"/>
          <w:szCs w:val="18"/>
        </w:rPr>
        <w:t>本企业对上述声明内容的真实性负责。如有虚假，将依法承担相应责任。</w:t>
      </w:r>
    </w:p>
    <w:p w14:paraId="07A355C1">
      <w:pPr>
        <w:keepNext/>
        <w:keepLines/>
        <w:spacing w:before="280" w:after="290" w:line="372" w:lineRule="auto"/>
        <w:outlineLvl w:val="3"/>
        <w:rPr>
          <w:rFonts w:hint="eastAsia" w:ascii="宋体" w:hAnsi="宋体" w:eastAsia="微软雅黑"/>
          <w:b/>
          <w:color w:val="auto"/>
          <w:sz w:val="28"/>
          <w:szCs w:val="22"/>
        </w:rPr>
      </w:pPr>
    </w:p>
    <w:p w14:paraId="44F70D1E">
      <w:pPr>
        <w:spacing w:line="360" w:lineRule="auto"/>
        <w:ind w:left="210" w:right="210" w:firstLine="480"/>
        <w:rPr>
          <w:rFonts w:ascii="宋体" w:hAnsi="宋体" w:eastAsia="仿宋_GB2312"/>
          <w:color w:val="auto"/>
          <w:sz w:val="24"/>
        </w:rPr>
      </w:pPr>
    </w:p>
    <w:p w14:paraId="2BECBB7E">
      <w:pPr>
        <w:spacing w:line="360" w:lineRule="auto"/>
        <w:ind w:firstLine="480"/>
        <w:jc w:val="right"/>
        <w:rPr>
          <w:rFonts w:hint="eastAsia" w:ascii="宋体" w:hAnsi="宋体"/>
          <w:color w:val="auto"/>
          <w:sz w:val="24"/>
          <w:szCs w:val="18"/>
        </w:rPr>
      </w:pPr>
      <w:r>
        <w:rPr>
          <w:rFonts w:hint="eastAsia" w:ascii="宋体" w:hAnsi="宋体"/>
          <w:color w:val="auto"/>
          <w:sz w:val="24"/>
          <w:szCs w:val="18"/>
        </w:rPr>
        <w:t>企业名称（</w:t>
      </w:r>
      <w:r>
        <w:rPr>
          <w:rFonts w:hint="eastAsia" w:ascii="宋体" w:hAnsi="宋体" w:cs="宋体"/>
          <w:color w:val="auto"/>
          <w:szCs w:val="21"/>
        </w:rPr>
        <w:t>加盖公章</w:t>
      </w:r>
      <w:r>
        <w:rPr>
          <w:rFonts w:hint="eastAsia" w:ascii="宋体" w:hAnsi="宋体"/>
          <w:color w:val="auto"/>
          <w:sz w:val="24"/>
          <w:szCs w:val="18"/>
        </w:rPr>
        <w:t>）：</w:t>
      </w:r>
    </w:p>
    <w:p w14:paraId="5BB8F8BF">
      <w:pPr>
        <w:spacing w:line="360" w:lineRule="auto"/>
        <w:ind w:firstLine="480"/>
        <w:jc w:val="center"/>
        <w:rPr>
          <w:rFonts w:hint="eastAsia" w:ascii="宋体" w:hAnsi="宋体"/>
          <w:color w:val="auto"/>
          <w:sz w:val="24"/>
          <w:szCs w:val="18"/>
        </w:rPr>
      </w:pPr>
      <w:r>
        <w:rPr>
          <w:rFonts w:hint="eastAsia" w:ascii="宋体" w:hAnsi="宋体"/>
          <w:color w:val="auto"/>
          <w:sz w:val="24"/>
          <w:szCs w:val="18"/>
        </w:rPr>
        <w:t xml:space="preserve">                                        日 期：</w:t>
      </w:r>
    </w:p>
    <w:p w14:paraId="3648C214">
      <w:pPr>
        <w:spacing w:line="700" w:lineRule="exact"/>
        <w:ind w:firstLine="629"/>
        <w:rPr>
          <w:rFonts w:hint="eastAsia" w:ascii="宋体" w:hAnsi="宋体" w:eastAsia="宋体" w:cs="宋体"/>
          <w:color w:val="auto"/>
          <w:sz w:val="24"/>
          <w:u w:val="single"/>
        </w:rPr>
      </w:pPr>
    </w:p>
    <w:p w14:paraId="54BB4F57">
      <w:pPr>
        <w:spacing w:line="420" w:lineRule="auto"/>
        <w:rPr>
          <w:rFonts w:hint="eastAsia" w:ascii="宋体" w:hAnsi="宋体" w:eastAsia="宋体" w:cs="宋体"/>
          <w:color w:val="auto"/>
          <w:sz w:val="24"/>
        </w:rPr>
      </w:pPr>
    </w:p>
    <w:p w14:paraId="21346CD0">
      <w:pPr>
        <w:spacing w:line="420" w:lineRule="auto"/>
        <w:ind w:firstLine="480"/>
        <w:rPr>
          <w:rFonts w:hint="eastAsia" w:ascii="宋体" w:hAnsi="宋体" w:eastAsia="宋体" w:cs="宋体"/>
          <w:color w:val="auto"/>
          <w:sz w:val="24"/>
        </w:rPr>
      </w:pPr>
      <w:r>
        <w:rPr>
          <w:rFonts w:hint="eastAsia" w:ascii="宋体" w:hAnsi="宋体" w:eastAsia="宋体" w:cs="宋体"/>
          <w:color w:val="auto"/>
          <w:sz w:val="24"/>
        </w:rPr>
        <w:t>（1）从业人员、营业收入、资产总额填报上一年度数据，无上一年度数据的新成立企业可不填报。</w:t>
      </w:r>
    </w:p>
    <w:p w14:paraId="752632DD">
      <w:pPr>
        <w:spacing w:line="420" w:lineRule="auto"/>
        <w:ind w:firstLine="480"/>
        <w:rPr>
          <w:rFonts w:hint="eastAsia" w:ascii="宋体" w:hAnsi="宋体" w:eastAsia="宋体" w:cs="宋体"/>
          <w:color w:val="auto"/>
          <w:sz w:val="24"/>
        </w:rPr>
      </w:pPr>
      <w:r>
        <w:rPr>
          <w:rFonts w:hint="eastAsia" w:ascii="宋体" w:hAnsi="宋体" w:eastAsia="宋体" w:cs="宋体"/>
          <w:color w:val="auto"/>
          <w:sz w:val="24"/>
        </w:rPr>
        <w:t>（2）本项目采购标的对应的中小企业划分标准所属行业为</w:t>
      </w:r>
      <w:r>
        <w:rPr>
          <w:rFonts w:hint="eastAsia" w:ascii="宋体" w:hAnsi="宋体" w:eastAsia="宋体" w:cs="宋体"/>
          <w:b/>
          <w:bCs/>
          <w:color w:val="auto"/>
          <w:sz w:val="24"/>
          <w:u w:val="single"/>
        </w:rPr>
        <w:tab/>
      </w:r>
      <w:r>
        <w:rPr>
          <w:rFonts w:hint="eastAsia" w:ascii="宋体" w:hAnsi="宋体" w:eastAsia="宋体" w:cs="宋体"/>
          <w:b/>
          <w:bCs/>
          <w:color w:val="auto"/>
          <w:sz w:val="24"/>
          <w:u w:val="single"/>
        </w:rPr>
        <w:t xml:space="preserve">其他未列明行业 </w:t>
      </w:r>
      <w:r>
        <w:rPr>
          <w:rFonts w:hint="eastAsia" w:ascii="宋体" w:hAnsi="宋体" w:eastAsia="宋体" w:cs="宋体"/>
          <w:b/>
          <w:bCs/>
          <w:color w:val="auto"/>
          <w:sz w:val="24"/>
        </w:rPr>
        <w:t>。</w:t>
      </w:r>
    </w:p>
    <w:p w14:paraId="0680CCA3">
      <w:pPr>
        <w:rPr>
          <w:rFonts w:hint="eastAsia" w:ascii="宋体" w:hAnsi="宋体" w:eastAsia="宋体" w:cs="宋体"/>
          <w:color w:val="auto"/>
          <w:sz w:val="28"/>
        </w:rPr>
      </w:pPr>
      <w:r>
        <w:rPr>
          <w:rFonts w:hint="eastAsia" w:ascii="宋体" w:hAnsi="宋体" w:eastAsia="宋体" w:cs="宋体"/>
          <w:color w:val="auto"/>
          <w:sz w:val="28"/>
        </w:rPr>
        <w:br w:type="page" w:clear="all"/>
      </w:r>
    </w:p>
    <w:p w14:paraId="10AC64EC">
      <w:pPr>
        <w:spacing w:line="0" w:lineRule="atLeast"/>
        <w:ind w:left="2700"/>
        <w:rPr>
          <w:rFonts w:hint="eastAsia" w:ascii="宋体" w:hAnsi="宋体" w:eastAsia="宋体" w:cs="宋体"/>
          <w:color w:val="auto"/>
          <w:sz w:val="28"/>
        </w:rPr>
      </w:pPr>
      <w:r>
        <w:rPr>
          <w:rFonts w:hint="eastAsia" w:ascii="宋体" w:hAnsi="宋体" w:eastAsia="宋体" w:cs="宋体"/>
          <w:color w:val="auto"/>
          <w:sz w:val="28"/>
        </w:rPr>
        <w:t>残疾人福利性单位声明函</w:t>
      </w:r>
    </w:p>
    <w:p w14:paraId="0B5B315D">
      <w:pPr>
        <w:spacing w:line="312" w:lineRule="exact"/>
        <w:rPr>
          <w:rFonts w:hint="eastAsia" w:ascii="宋体" w:hAnsi="宋体" w:eastAsia="宋体" w:cs="宋体"/>
          <w:color w:val="auto"/>
        </w:rPr>
      </w:pPr>
    </w:p>
    <w:p w14:paraId="5B9352BD">
      <w:pPr>
        <w:spacing w:line="240" w:lineRule="exact"/>
        <w:ind w:left="420"/>
        <w:rPr>
          <w:rFonts w:hint="eastAsia" w:ascii="宋体" w:hAnsi="宋体" w:eastAsia="宋体" w:cs="宋体"/>
          <w:color w:val="auto"/>
        </w:rPr>
      </w:pPr>
      <w:r>
        <w:rPr>
          <w:rFonts w:hint="eastAsia" w:ascii="宋体" w:hAnsi="宋体" w:eastAsia="宋体" w:cs="宋体"/>
          <w:color w:val="auto"/>
        </w:rPr>
        <w:t>本单位郑重声明，根据《财政部民政部中国残疾人联合会关于促进残疾人就业政府采购</w:t>
      </w:r>
    </w:p>
    <w:p w14:paraId="5EB41FB0">
      <w:pPr>
        <w:spacing w:line="183" w:lineRule="exact"/>
        <w:rPr>
          <w:rFonts w:hint="eastAsia" w:ascii="宋体" w:hAnsi="宋体" w:eastAsia="宋体" w:cs="宋体"/>
          <w:color w:val="auto"/>
        </w:rPr>
      </w:pPr>
    </w:p>
    <w:p w14:paraId="1A299051">
      <w:pPr>
        <w:spacing w:line="253" w:lineRule="exact"/>
        <w:rPr>
          <w:rFonts w:hint="eastAsia" w:ascii="宋体" w:hAnsi="宋体" w:eastAsia="宋体" w:cs="宋体"/>
          <w:color w:val="auto"/>
        </w:rPr>
      </w:pPr>
      <w:r>
        <w:rPr>
          <w:rFonts w:hint="eastAsia" w:ascii="宋体" w:hAnsi="宋体" w:eastAsia="宋体" w:cs="宋体"/>
          <w:color w:val="auto"/>
        </w:rPr>
        <w:t>政策的通知》（财库〔2017〕141号）的规定，本单位为符合条件的残疾人福利性单位，且</w:t>
      </w:r>
    </w:p>
    <w:p w14:paraId="1577DB92">
      <w:pPr>
        <w:spacing w:line="188" w:lineRule="exact"/>
        <w:rPr>
          <w:rFonts w:hint="eastAsia" w:ascii="宋体" w:hAnsi="宋体" w:eastAsia="宋体" w:cs="宋体"/>
          <w:color w:val="auto"/>
        </w:rPr>
      </w:pPr>
    </w:p>
    <w:p w14:paraId="4FF28C8A">
      <w:pPr>
        <w:spacing w:line="253" w:lineRule="exact"/>
        <w:rPr>
          <w:rFonts w:hint="eastAsia" w:ascii="宋体" w:hAnsi="宋体" w:eastAsia="宋体" w:cs="宋体"/>
          <w:color w:val="auto"/>
        </w:rPr>
      </w:pPr>
      <w:r>
        <w:rPr>
          <w:rFonts w:hint="eastAsia" w:ascii="宋体" w:hAnsi="宋体" w:eastAsia="宋体" w:cs="宋体"/>
          <w:color w:val="auto"/>
        </w:rPr>
        <w:t>本单位参加______单位的______项目采购活动提供本单位制造的货物（由本单位承担工程/提</w:t>
      </w:r>
    </w:p>
    <w:p w14:paraId="1477BEF8">
      <w:pPr>
        <w:spacing w:line="203" w:lineRule="exact"/>
        <w:rPr>
          <w:rFonts w:hint="eastAsia" w:ascii="宋体" w:hAnsi="宋体" w:eastAsia="宋体" w:cs="宋体"/>
          <w:color w:val="auto"/>
        </w:rPr>
      </w:pPr>
    </w:p>
    <w:p w14:paraId="60475AB5">
      <w:pPr>
        <w:spacing w:line="240" w:lineRule="exact"/>
        <w:rPr>
          <w:rFonts w:hint="eastAsia" w:ascii="宋体" w:hAnsi="宋体" w:eastAsia="宋体" w:cs="宋体"/>
          <w:color w:val="auto"/>
        </w:rPr>
      </w:pPr>
      <w:r>
        <w:rPr>
          <w:rFonts w:hint="eastAsia" w:ascii="宋体" w:hAnsi="宋体" w:eastAsia="宋体" w:cs="宋体"/>
          <w:color w:val="auto"/>
        </w:rPr>
        <w:t>供服务），或者提供其他残疾人福利性单位制造的货物（不包括使用非残疾人福利性单位注册</w:t>
      </w:r>
    </w:p>
    <w:p w14:paraId="3621DED1">
      <w:pPr>
        <w:spacing w:line="197" w:lineRule="exact"/>
        <w:rPr>
          <w:rFonts w:hint="eastAsia" w:ascii="宋体" w:hAnsi="宋体" w:eastAsia="宋体" w:cs="宋体"/>
          <w:color w:val="auto"/>
        </w:rPr>
      </w:pPr>
    </w:p>
    <w:p w14:paraId="5485D1FE">
      <w:pPr>
        <w:spacing w:line="240" w:lineRule="exact"/>
        <w:rPr>
          <w:rFonts w:hint="eastAsia" w:ascii="宋体" w:hAnsi="宋体" w:eastAsia="宋体" w:cs="宋体"/>
          <w:color w:val="auto"/>
        </w:rPr>
      </w:pPr>
      <w:r>
        <w:rPr>
          <w:rFonts w:hint="eastAsia" w:ascii="宋体" w:hAnsi="宋体" w:eastAsia="宋体" w:cs="宋体"/>
          <w:color w:val="auto"/>
        </w:rPr>
        <w:t>商标的货物）。</w:t>
      </w:r>
    </w:p>
    <w:p w14:paraId="6E42A0E5">
      <w:pPr>
        <w:spacing w:line="203" w:lineRule="exact"/>
        <w:rPr>
          <w:rFonts w:hint="eastAsia" w:ascii="宋体" w:hAnsi="宋体" w:eastAsia="宋体" w:cs="宋体"/>
          <w:color w:val="auto"/>
        </w:rPr>
      </w:pPr>
    </w:p>
    <w:p w14:paraId="18353AFC">
      <w:pPr>
        <w:spacing w:line="240" w:lineRule="exact"/>
        <w:ind w:left="420"/>
        <w:rPr>
          <w:rFonts w:hint="eastAsia" w:ascii="宋体" w:hAnsi="宋体" w:eastAsia="宋体" w:cs="宋体"/>
          <w:color w:val="auto"/>
        </w:rPr>
      </w:pPr>
      <w:r>
        <w:rPr>
          <w:rFonts w:hint="eastAsia" w:ascii="宋体" w:hAnsi="宋体" w:eastAsia="宋体" w:cs="宋体"/>
          <w:color w:val="auto"/>
        </w:rPr>
        <w:t>本单位对上述声明的真实性负责。如有虚假，将依法承担相应责任。</w:t>
      </w:r>
    </w:p>
    <w:p w14:paraId="0F0C9C7D">
      <w:pPr>
        <w:spacing w:line="202" w:lineRule="exact"/>
        <w:rPr>
          <w:rFonts w:hint="eastAsia" w:ascii="宋体" w:hAnsi="宋体" w:eastAsia="宋体" w:cs="宋体"/>
          <w:color w:val="auto"/>
        </w:rPr>
      </w:pPr>
    </w:p>
    <w:p w14:paraId="72396F23">
      <w:pPr>
        <w:spacing w:line="240" w:lineRule="exact"/>
        <w:ind w:left="5040"/>
        <w:rPr>
          <w:rFonts w:hint="eastAsia" w:ascii="宋体" w:hAnsi="宋体" w:eastAsia="宋体" w:cs="宋体"/>
          <w:color w:val="auto"/>
        </w:rPr>
      </w:pPr>
      <w:r>
        <w:rPr>
          <w:rFonts w:hint="eastAsia" w:ascii="宋体" w:hAnsi="宋体" w:eastAsia="宋体" w:cs="宋体"/>
          <w:color w:val="auto"/>
        </w:rPr>
        <w:t>单位名称（加盖公章）：</w:t>
      </w:r>
    </w:p>
    <w:p w14:paraId="208FDF6E">
      <w:pPr>
        <w:spacing w:line="139" w:lineRule="exact"/>
        <w:rPr>
          <w:rFonts w:hint="eastAsia" w:ascii="宋体" w:hAnsi="宋体" w:eastAsia="宋体" w:cs="宋体"/>
          <w:color w:val="auto"/>
        </w:rPr>
      </w:pPr>
      <w:bookmarkStart w:id="15" w:name="page43"/>
      <w:bookmarkEnd w:id="15"/>
    </w:p>
    <w:p w14:paraId="52FF8C8C">
      <w:pPr>
        <w:tabs>
          <w:tab w:val="left" w:pos="5440"/>
        </w:tabs>
        <w:spacing w:line="239" w:lineRule="exact"/>
        <w:ind w:left="5040"/>
        <w:rPr>
          <w:rFonts w:hint="eastAsia" w:ascii="宋体" w:hAnsi="宋体" w:eastAsia="宋体" w:cs="宋体"/>
          <w:color w:val="auto"/>
        </w:rPr>
      </w:pPr>
      <w:r>
        <w:rPr>
          <w:rFonts w:hint="eastAsia" w:ascii="宋体" w:hAnsi="宋体" w:eastAsia="宋体" w:cs="宋体"/>
          <w:color w:val="auto"/>
        </w:rPr>
        <w:t>日</w:t>
      </w:r>
      <w:r>
        <w:rPr>
          <w:rFonts w:hint="eastAsia" w:ascii="宋体" w:hAnsi="宋体" w:eastAsia="宋体" w:cs="宋体"/>
          <w:color w:val="auto"/>
        </w:rPr>
        <w:tab/>
      </w:r>
      <w:r>
        <w:rPr>
          <w:rFonts w:hint="eastAsia" w:ascii="宋体" w:hAnsi="宋体" w:eastAsia="宋体" w:cs="宋体"/>
          <w:color w:val="auto"/>
        </w:rPr>
        <w:t>期：</w:t>
      </w:r>
    </w:p>
    <w:p w14:paraId="3CB9CC80">
      <w:pPr>
        <w:spacing w:line="200" w:lineRule="exact"/>
        <w:rPr>
          <w:rFonts w:hint="eastAsia" w:ascii="宋体" w:hAnsi="宋体" w:eastAsia="宋体" w:cs="宋体"/>
          <w:color w:val="auto"/>
        </w:rPr>
      </w:pPr>
    </w:p>
    <w:p w14:paraId="765487B9">
      <w:pPr>
        <w:spacing w:line="200" w:lineRule="exact"/>
        <w:rPr>
          <w:rFonts w:hint="eastAsia" w:ascii="宋体" w:hAnsi="宋体" w:eastAsia="宋体" w:cs="宋体"/>
          <w:color w:val="auto"/>
        </w:rPr>
      </w:pPr>
    </w:p>
    <w:p w14:paraId="706EAE9D">
      <w:pPr>
        <w:spacing w:line="200" w:lineRule="exact"/>
        <w:rPr>
          <w:rFonts w:hint="eastAsia" w:ascii="宋体" w:hAnsi="宋体" w:eastAsia="宋体" w:cs="宋体"/>
          <w:color w:val="auto"/>
        </w:rPr>
      </w:pPr>
    </w:p>
    <w:p w14:paraId="6739628B">
      <w:pPr>
        <w:spacing w:line="200" w:lineRule="exact"/>
        <w:rPr>
          <w:rFonts w:hint="eastAsia" w:ascii="宋体" w:hAnsi="宋体" w:eastAsia="宋体" w:cs="宋体"/>
          <w:color w:val="auto"/>
        </w:rPr>
      </w:pPr>
    </w:p>
    <w:p w14:paraId="376BCA76">
      <w:pPr>
        <w:spacing w:line="398" w:lineRule="exact"/>
        <w:rPr>
          <w:rFonts w:hint="eastAsia" w:ascii="宋体" w:hAnsi="宋体" w:eastAsia="宋体" w:cs="宋体"/>
          <w:color w:val="auto"/>
        </w:rPr>
      </w:pPr>
    </w:p>
    <w:p w14:paraId="189CEB82">
      <w:pPr>
        <w:spacing w:after="120"/>
        <w:rPr>
          <w:rFonts w:hint="eastAsia" w:ascii="宋体" w:hAnsi="宋体" w:eastAsia="宋体" w:cs="宋体"/>
          <w:color w:val="auto"/>
          <w:sz w:val="24"/>
        </w:rPr>
      </w:pPr>
    </w:p>
    <w:p w14:paraId="6043CA6D">
      <w:pPr>
        <w:rPr>
          <w:rFonts w:hint="eastAsia" w:ascii="宋体" w:hAnsi="宋体" w:eastAsia="宋体" w:cs="宋体"/>
          <w:color w:val="auto"/>
        </w:rPr>
      </w:pPr>
    </w:p>
    <w:p w14:paraId="79989D0B">
      <w:pPr>
        <w:spacing w:after="120"/>
        <w:rPr>
          <w:rFonts w:hint="eastAsia" w:ascii="宋体" w:hAnsi="宋体" w:eastAsia="宋体" w:cs="宋体"/>
          <w:color w:val="auto"/>
          <w:sz w:val="24"/>
        </w:rPr>
      </w:pPr>
    </w:p>
    <w:p w14:paraId="107FA85F">
      <w:pPr>
        <w:rPr>
          <w:rFonts w:hint="eastAsia" w:ascii="宋体" w:hAnsi="宋体" w:eastAsia="宋体" w:cs="宋体"/>
          <w:color w:val="auto"/>
        </w:rPr>
      </w:pPr>
    </w:p>
    <w:p w14:paraId="003AA623">
      <w:pPr>
        <w:spacing w:after="120"/>
        <w:rPr>
          <w:rFonts w:hint="eastAsia" w:ascii="宋体" w:hAnsi="宋体" w:eastAsia="宋体" w:cs="宋体"/>
          <w:color w:val="auto"/>
          <w:sz w:val="24"/>
        </w:rPr>
      </w:pPr>
    </w:p>
    <w:p w14:paraId="02BD78AE">
      <w:pPr>
        <w:spacing w:after="120"/>
        <w:rPr>
          <w:rFonts w:hint="eastAsia" w:ascii="宋体" w:hAnsi="宋体" w:eastAsia="宋体" w:cs="宋体"/>
          <w:color w:val="auto"/>
          <w:sz w:val="24"/>
        </w:rPr>
      </w:pPr>
    </w:p>
    <w:p w14:paraId="3F0C866E">
      <w:pPr>
        <w:spacing w:line="0" w:lineRule="atLeast"/>
        <w:ind w:left="2700"/>
        <w:rPr>
          <w:rFonts w:hint="eastAsia" w:ascii="宋体" w:hAnsi="宋体" w:eastAsia="宋体" w:cs="宋体"/>
          <w:color w:val="auto"/>
          <w:sz w:val="28"/>
        </w:rPr>
      </w:pPr>
      <w:r>
        <w:rPr>
          <w:rFonts w:hint="eastAsia" w:ascii="宋体" w:hAnsi="宋体" w:eastAsia="宋体" w:cs="宋体"/>
          <w:color w:val="auto"/>
          <w:sz w:val="28"/>
        </w:rPr>
        <w:t>属于监狱企业的证明文件</w:t>
      </w:r>
    </w:p>
    <w:p w14:paraId="6EDE49AF">
      <w:pPr>
        <w:spacing w:line="259" w:lineRule="exact"/>
        <w:rPr>
          <w:rFonts w:hint="eastAsia" w:ascii="宋体" w:hAnsi="宋体" w:eastAsia="宋体" w:cs="宋体"/>
          <w:color w:val="auto"/>
        </w:rPr>
      </w:pPr>
    </w:p>
    <w:p w14:paraId="08E524CE">
      <w:pPr>
        <w:spacing w:line="255" w:lineRule="exact"/>
        <w:rPr>
          <w:rFonts w:hint="eastAsia" w:ascii="宋体" w:hAnsi="宋体" w:eastAsia="宋体" w:cs="宋体"/>
          <w:color w:val="auto"/>
        </w:rPr>
      </w:pPr>
      <w:r>
        <w:rPr>
          <w:rFonts w:hint="eastAsia" w:ascii="宋体" w:hAnsi="宋体" w:eastAsia="宋体" w:cs="宋体"/>
          <w:color w:val="auto"/>
        </w:rPr>
        <w:t>（提供由省级以上监狱管理局、戒毒管理局（含新疆生产建设兵团）出具的属于监狱企业的证明</w:t>
      </w:r>
    </w:p>
    <w:p w14:paraId="61F79258">
      <w:pPr>
        <w:spacing w:line="231" w:lineRule="exact"/>
        <w:rPr>
          <w:rFonts w:hint="eastAsia" w:ascii="宋体" w:hAnsi="宋体" w:eastAsia="宋体" w:cs="宋体"/>
          <w:color w:val="auto"/>
        </w:rPr>
      </w:pPr>
    </w:p>
    <w:p w14:paraId="2588F982">
      <w:pPr>
        <w:spacing w:line="239" w:lineRule="exact"/>
        <w:rPr>
          <w:rFonts w:hint="eastAsia" w:ascii="宋体" w:hAnsi="宋体" w:eastAsia="宋体" w:cs="宋体"/>
          <w:color w:val="auto"/>
        </w:rPr>
      </w:pPr>
      <w:r>
        <w:rPr>
          <w:rFonts w:hint="eastAsia" w:ascii="宋体" w:hAnsi="宋体" w:eastAsia="宋体" w:cs="宋体"/>
          <w:color w:val="auto"/>
        </w:rPr>
        <w:t>文件）</w:t>
      </w:r>
    </w:p>
    <w:p w14:paraId="4BC7C9E1">
      <w:pPr>
        <w:spacing w:line="0" w:lineRule="atLeast"/>
        <w:ind w:left="3140"/>
        <w:rPr>
          <w:rFonts w:hint="eastAsia" w:ascii="宋体" w:hAnsi="宋体" w:eastAsia="宋体" w:cs="宋体"/>
          <w:color w:val="auto"/>
          <w:sz w:val="28"/>
        </w:rPr>
      </w:pPr>
    </w:p>
    <w:p w14:paraId="2068080E">
      <w:pPr>
        <w:spacing w:line="0" w:lineRule="atLeast"/>
        <w:ind w:left="3140"/>
        <w:rPr>
          <w:rFonts w:hint="eastAsia" w:ascii="宋体" w:hAnsi="宋体" w:eastAsia="宋体" w:cs="宋体"/>
          <w:color w:val="auto"/>
          <w:sz w:val="28"/>
        </w:rPr>
      </w:pPr>
    </w:p>
    <w:p w14:paraId="65DCE129">
      <w:pPr>
        <w:spacing w:line="0" w:lineRule="atLeast"/>
        <w:ind w:left="3140"/>
        <w:rPr>
          <w:rFonts w:hint="eastAsia" w:ascii="宋体" w:hAnsi="宋体" w:eastAsia="宋体" w:cs="宋体"/>
          <w:color w:val="auto"/>
          <w:sz w:val="28"/>
        </w:rPr>
      </w:pPr>
    </w:p>
    <w:p w14:paraId="753012D3">
      <w:pPr>
        <w:spacing w:line="0" w:lineRule="atLeast"/>
        <w:ind w:left="3140"/>
        <w:rPr>
          <w:rFonts w:hint="eastAsia" w:ascii="宋体" w:hAnsi="宋体" w:eastAsia="宋体" w:cs="宋体"/>
          <w:color w:val="auto"/>
          <w:sz w:val="28"/>
        </w:rPr>
      </w:pPr>
    </w:p>
    <w:p w14:paraId="7C19E12F">
      <w:pPr>
        <w:spacing w:line="0" w:lineRule="atLeast"/>
        <w:ind w:left="3140"/>
        <w:rPr>
          <w:rFonts w:hint="eastAsia" w:ascii="宋体" w:hAnsi="宋体" w:eastAsia="宋体" w:cs="宋体"/>
          <w:color w:val="auto"/>
          <w:sz w:val="28"/>
        </w:rPr>
      </w:pPr>
      <w:r>
        <w:rPr>
          <w:rFonts w:hint="eastAsia" w:ascii="宋体" w:hAnsi="宋体" w:eastAsia="宋体" w:cs="宋体"/>
          <w:color w:val="auto"/>
          <w:sz w:val="28"/>
        </w:rPr>
        <w:t>节能产品认证证书</w:t>
      </w:r>
    </w:p>
    <w:p w14:paraId="7D6940F3">
      <w:pPr>
        <w:spacing w:line="274" w:lineRule="exact"/>
        <w:rPr>
          <w:rFonts w:hint="eastAsia" w:ascii="宋体" w:hAnsi="宋体" w:eastAsia="宋体" w:cs="宋体"/>
          <w:color w:val="auto"/>
        </w:rPr>
      </w:pPr>
    </w:p>
    <w:p w14:paraId="0918FF41">
      <w:pPr>
        <w:spacing w:line="239" w:lineRule="exact"/>
        <w:rPr>
          <w:rFonts w:hint="eastAsia" w:ascii="宋体" w:hAnsi="宋体" w:eastAsia="宋体" w:cs="宋体"/>
          <w:color w:val="auto"/>
        </w:rPr>
      </w:pPr>
      <w:r>
        <w:rPr>
          <w:rFonts w:hint="eastAsia" w:ascii="宋体" w:hAnsi="宋体" w:eastAsia="宋体" w:cs="宋体"/>
          <w:color w:val="auto"/>
        </w:rPr>
        <w:t>（提供国家确定的认证机构出具的、处于有效期之内的产品认证证书）</w:t>
      </w:r>
    </w:p>
    <w:p w14:paraId="76F8015A">
      <w:pPr>
        <w:spacing w:line="200" w:lineRule="exact"/>
        <w:rPr>
          <w:rFonts w:hint="eastAsia" w:ascii="宋体" w:hAnsi="宋体" w:eastAsia="宋体" w:cs="宋体"/>
          <w:color w:val="auto"/>
        </w:rPr>
      </w:pPr>
    </w:p>
    <w:p w14:paraId="474B4CBB">
      <w:pPr>
        <w:spacing w:line="200" w:lineRule="exact"/>
        <w:rPr>
          <w:rFonts w:hint="eastAsia" w:ascii="宋体" w:hAnsi="宋体" w:eastAsia="宋体" w:cs="宋体"/>
          <w:color w:val="auto"/>
        </w:rPr>
      </w:pPr>
    </w:p>
    <w:p w14:paraId="6A11D725">
      <w:pPr>
        <w:spacing w:line="200" w:lineRule="exact"/>
        <w:rPr>
          <w:rFonts w:hint="eastAsia" w:ascii="宋体" w:hAnsi="宋体" w:eastAsia="宋体" w:cs="宋体"/>
          <w:color w:val="auto"/>
        </w:rPr>
      </w:pPr>
    </w:p>
    <w:p w14:paraId="26876F7E">
      <w:pPr>
        <w:spacing w:line="200" w:lineRule="exact"/>
        <w:rPr>
          <w:rFonts w:hint="eastAsia" w:ascii="宋体" w:hAnsi="宋体" w:eastAsia="宋体" w:cs="宋体"/>
          <w:color w:val="auto"/>
        </w:rPr>
      </w:pPr>
    </w:p>
    <w:p w14:paraId="1A3D8055">
      <w:pPr>
        <w:spacing w:line="200" w:lineRule="exact"/>
        <w:rPr>
          <w:rFonts w:hint="eastAsia" w:ascii="宋体" w:hAnsi="宋体" w:eastAsia="宋体" w:cs="宋体"/>
          <w:color w:val="auto"/>
        </w:rPr>
      </w:pPr>
    </w:p>
    <w:p w14:paraId="08B5DE65">
      <w:pPr>
        <w:spacing w:line="200" w:lineRule="exact"/>
        <w:rPr>
          <w:rFonts w:hint="eastAsia" w:ascii="宋体" w:hAnsi="宋体" w:eastAsia="宋体" w:cs="宋体"/>
          <w:color w:val="auto"/>
        </w:rPr>
      </w:pPr>
    </w:p>
    <w:p w14:paraId="0F354536">
      <w:pPr>
        <w:spacing w:line="200" w:lineRule="exact"/>
        <w:rPr>
          <w:rFonts w:hint="eastAsia" w:ascii="宋体" w:hAnsi="宋体" w:eastAsia="宋体" w:cs="宋体"/>
          <w:color w:val="auto"/>
        </w:rPr>
      </w:pPr>
    </w:p>
    <w:p w14:paraId="1617D884">
      <w:pPr>
        <w:spacing w:line="335" w:lineRule="exact"/>
        <w:rPr>
          <w:rFonts w:hint="eastAsia" w:ascii="宋体" w:hAnsi="宋体" w:eastAsia="宋体" w:cs="宋体"/>
          <w:color w:val="auto"/>
        </w:rPr>
      </w:pPr>
    </w:p>
    <w:p w14:paraId="3824A085">
      <w:pPr>
        <w:spacing w:line="0" w:lineRule="atLeast"/>
        <w:ind w:left="2840"/>
        <w:rPr>
          <w:rFonts w:hint="eastAsia" w:ascii="宋体" w:hAnsi="宋体" w:eastAsia="宋体" w:cs="宋体"/>
          <w:color w:val="auto"/>
          <w:sz w:val="28"/>
        </w:rPr>
      </w:pPr>
    </w:p>
    <w:p w14:paraId="3947CD2D">
      <w:pPr>
        <w:spacing w:line="0" w:lineRule="atLeast"/>
        <w:ind w:left="2840"/>
        <w:rPr>
          <w:rFonts w:hint="eastAsia" w:ascii="宋体" w:hAnsi="宋体" w:eastAsia="宋体" w:cs="宋体"/>
          <w:color w:val="auto"/>
          <w:sz w:val="28"/>
        </w:rPr>
      </w:pPr>
      <w:r>
        <w:rPr>
          <w:rFonts w:hint="eastAsia" w:ascii="宋体" w:hAnsi="宋体" w:eastAsia="宋体" w:cs="宋体"/>
          <w:color w:val="auto"/>
          <w:sz w:val="28"/>
        </w:rPr>
        <w:t>环境标志产品认证证书</w:t>
      </w:r>
    </w:p>
    <w:p w14:paraId="4890CBBE">
      <w:pPr>
        <w:spacing w:line="274" w:lineRule="exact"/>
        <w:rPr>
          <w:rFonts w:hint="eastAsia" w:ascii="宋体" w:hAnsi="宋体" w:eastAsia="宋体" w:cs="宋体"/>
          <w:color w:val="auto"/>
        </w:rPr>
      </w:pPr>
    </w:p>
    <w:p w14:paraId="68B80C6B">
      <w:pPr>
        <w:spacing w:line="239" w:lineRule="exact"/>
        <w:rPr>
          <w:rFonts w:hint="eastAsia" w:ascii="宋体" w:hAnsi="宋体" w:eastAsia="宋体" w:cs="宋体"/>
          <w:color w:val="auto"/>
        </w:rPr>
      </w:pPr>
      <w:r>
        <w:rPr>
          <w:rFonts w:hint="eastAsia" w:ascii="宋体" w:hAnsi="宋体" w:eastAsia="宋体" w:cs="宋体"/>
          <w:color w:val="auto"/>
        </w:rPr>
        <w:t>（提供国家确定的认证机构出具的、处于有效期之内的产品认证证书）</w:t>
      </w:r>
    </w:p>
    <w:p w14:paraId="7EDCFC43">
      <w:pPr>
        <w:spacing w:line="360" w:lineRule="auto"/>
        <w:ind w:firstLine="480"/>
        <w:rPr>
          <w:rFonts w:hint="eastAsia" w:ascii="宋体" w:hAnsi="宋体" w:eastAsia="宋体" w:cs="宋体"/>
          <w:color w:val="auto"/>
          <w:sz w:val="24"/>
        </w:rPr>
      </w:pPr>
    </w:p>
    <w:p w14:paraId="46CC2F6E">
      <w:pPr>
        <w:rPr>
          <w:rFonts w:hint="eastAsia" w:ascii="宋体" w:hAnsi="宋体" w:eastAsia="宋体" w:cs="宋体"/>
          <w:color w:val="auto"/>
        </w:rPr>
      </w:pPr>
    </w:p>
    <w:p w14:paraId="29A1522F">
      <w:pPr>
        <w:rPr>
          <w:rFonts w:hint="eastAsia" w:ascii="宋体" w:hAnsi="宋体" w:eastAsia="宋体" w:cs="宋体"/>
          <w:b/>
          <w:color w:val="auto"/>
          <w:sz w:val="31"/>
          <w:szCs w:val="31"/>
        </w:rPr>
      </w:pPr>
      <w:r>
        <w:rPr>
          <w:rFonts w:hint="eastAsia" w:ascii="宋体" w:hAnsi="宋体" w:eastAsia="宋体" w:cs="宋体"/>
          <w:b/>
          <w:color w:val="auto"/>
          <w:sz w:val="31"/>
          <w:szCs w:val="31"/>
        </w:rPr>
        <w:t>附件九、声明函</w:t>
      </w:r>
    </w:p>
    <w:p w14:paraId="60006600">
      <w:pPr>
        <w:spacing w:line="239" w:lineRule="auto"/>
        <w:jc w:val="center"/>
        <w:rPr>
          <w:rFonts w:hint="eastAsia" w:ascii="宋体" w:hAnsi="宋体" w:eastAsia="宋体" w:cs="宋体"/>
          <w:b/>
          <w:color w:val="auto"/>
          <w:sz w:val="24"/>
        </w:rPr>
      </w:pPr>
      <w:r>
        <w:rPr>
          <w:rFonts w:hint="eastAsia" w:ascii="宋体" w:hAnsi="宋体" w:eastAsia="宋体" w:cs="宋体"/>
          <w:b/>
          <w:color w:val="auto"/>
          <w:sz w:val="36"/>
          <w:szCs w:val="36"/>
        </w:rPr>
        <w:t>（一）无重大违法记录声明</w:t>
      </w:r>
    </w:p>
    <w:p w14:paraId="36B7291B">
      <w:pPr>
        <w:spacing w:line="360" w:lineRule="auto"/>
        <w:rPr>
          <w:rFonts w:hint="eastAsia" w:ascii="宋体" w:hAnsi="宋体" w:eastAsia="宋体" w:cs="宋体"/>
          <w:color w:val="auto"/>
          <w:sz w:val="24"/>
        </w:rPr>
      </w:pPr>
    </w:p>
    <w:p w14:paraId="511A11F5">
      <w:pPr>
        <w:spacing w:line="360" w:lineRule="auto"/>
        <w:jc w:val="left"/>
        <w:rPr>
          <w:rFonts w:hint="eastAsia" w:ascii="宋体" w:hAnsi="宋体" w:eastAsia="宋体" w:cs="宋体"/>
          <w:color w:val="auto"/>
          <w:spacing w:val="-8"/>
          <w:sz w:val="24"/>
          <w:szCs w:val="20"/>
        </w:rPr>
      </w:pPr>
      <w:r>
        <w:rPr>
          <w:rFonts w:hint="eastAsia" w:ascii="宋体" w:hAnsi="宋体" w:eastAsia="宋体" w:cs="宋体"/>
          <w:color w:val="auto"/>
          <w:sz w:val="24"/>
          <w:szCs w:val="20"/>
        </w:rPr>
        <w:t>南京市栖霞区农业农村局：</w:t>
      </w:r>
    </w:p>
    <w:p w14:paraId="32A706CE">
      <w:pPr>
        <w:widowControl/>
        <w:spacing w:line="360" w:lineRule="auto"/>
        <w:ind w:firstLine="672"/>
        <w:jc w:val="left"/>
        <w:rPr>
          <w:rFonts w:hint="eastAsia" w:ascii="宋体" w:hAnsi="宋体" w:eastAsia="宋体" w:cs="宋体"/>
          <w:color w:val="auto"/>
          <w:spacing w:val="-8"/>
          <w:sz w:val="24"/>
          <w:szCs w:val="20"/>
        </w:rPr>
      </w:pPr>
      <w:r>
        <w:rPr>
          <w:rFonts w:hint="eastAsia" w:ascii="宋体" w:hAnsi="宋体" w:eastAsia="宋体" w:cs="宋体"/>
          <w:color w:val="auto"/>
          <w:spacing w:val="-8"/>
          <w:sz w:val="24"/>
          <w:szCs w:val="20"/>
        </w:rPr>
        <w:t xml:space="preserve">我单位 </w:t>
      </w:r>
      <w:r>
        <w:rPr>
          <w:rFonts w:hint="eastAsia" w:ascii="宋体" w:hAnsi="宋体" w:eastAsia="宋体" w:cs="宋体"/>
          <w:color w:val="auto"/>
          <w:spacing w:val="-8"/>
          <w:sz w:val="24"/>
          <w:szCs w:val="20"/>
          <w:u w:val="single"/>
        </w:rPr>
        <w:t xml:space="preserve">            </w:t>
      </w:r>
      <w:r>
        <w:rPr>
          <w:rFonts w:hint="eastAsia" w:ascii="宋体" w:hAnsi="宋体" w:eastAsia="宋体" w:cs="宋体"/>
          <w:color w:val="auto"/>
          <w:spacing w:val="-8"/>
          <w:sz w:val="24"/>
          <w:szCs w:val="20"/>
        </w:rPr>
        <w:t>（供应商名称）郑重声明：</w:t>
      </w:r>
    </w:p>
    <w:p w14:paraId="66C56701">
      <w:pPr>
        <w:widowControl/>
        <w:spacing w:line="360" w:lineRule="auto"/>
        <w:ind w:firstLine="690"/>
        <w:jc w:val="left"/>
        <w:rPr>
          <w:rFonts w:hint="eastAsia" w:ascii="宋体" w:hAnsi="宋体" w:eastAsia="宋体" w:cs="宋体"/>
          <w:b/>
          <w:color w:val="auto"/>
          <w:sz w:val="24"/>
          <w:szCs w:val="20"/>
        </w:rPr>
      </w:pPr>
      <w:r>
        <w:rPr>
          <w:rFonts w:hint="eastAsia" w:ascii="宋体" w:hAnsi="宋体" w:eastAsia="宋体" w:cs="宋体"/>
          <w:color w:val="auto"/>
          <w:spacing w:val="-5"/>
          <w:sz w:val="24"/>
          <w:szCs w:val="20"/>
        </w:rPr>
        <w:t>我单位参加政府采购活动前3</w:t>
      </w:r>
      <w:r>
        <w:rPr>
          <w:rFonts w:hint="eastAsia" w:ascii="宋体" w:hAnsi="宋体" w:eastAsia="宋体" w:cs="宋体"/>
          <w:color w:val="auto"/>
          <w:spacing w:val="-8"/>
          <w:sz w:val="24"/>
          <w:szCs w:val="20"/>
        </w:rPr>
        <w:t xml:space="preserve"> 年内在经营活动中</w:t>
      </w:r>
      <w:r>
        <w:rPr>
          <w:rFonts w:hint="eastAsia" w:ascii="宋体" w:hAnsi="宋体" w:eastAsia="宋体" w:cs="宋体"/>
          <w:color w:val="auto"/>
          <w:spacing w:val="-8"/>
          <w:sz w:val="24"/>
          <w:szCs w:val="20"/>
          <w:u w:val="single"/>
        </w:rPr>
        <w:t xml:space="preserve">      </w:t>
      </w:r>
      <w:r>
        <w:rPr>
          <w:rFonts w:hint="eastAsia" w:ascii="宋体" w:hAnsi="宋体" w:eastAsia="宋体" w:cs="宋体"/>
          <w:color w:val="auto"/>
          <w:sz w:val="24"/>
          <w:szCs w:val="20"/>
          <w:u w:val="single"/>
        </w:rPr>
        <w:t>（</w:t>
      </w:r>
      <w:r>
        <w:rPr>
          <w:rFonts w:hint="eastAsia" w:ascii="宋体" w:hAnsi="宋体" w:eastAsia="宋体" w:cs="宋体"/>
          <w:b/>
          <w:color w:val="auto"/>
          <w:sz w:val="24"/>
          <w:szCs w:val="20"/>
          <w:u w:val="single"/>
        </w:rPr>
        <w:t>在下划线上如实填写：有或没有</w:t>
      </w:r>
      <w:r>
        <w:rPr>
          <w:rFonts w:hint="eastAsia" w:ascii="宋体" w:hAnsi="宋体" w:eastAsia="宋体" w:cs="宋体"/>
          <w:color w:val="auto"/>
          <w:spacing w:val="-3"/>
          <w:sz w:val="24"/>
          <w:szCs w:val="20"/>
        </w:rPr>
        <w:t>）</w:t>
      </w:r>
      <w:r>
        <w:rPr>
          <w:rFonts w:hint="eastAsia" w:ascii="宋体" w:hAnsi="宋体" w:eastAsia="宋体" w:cs="宋体"/>
          <w:b/>
          <w:bCs/>
          <w:color w:val="auto"/>
          <w:sz w:val="24"/>
          <w:szCs w:val="20"/>
        </w:rPr>
        <w:t>重大违法记录，且不是失信被执行人、重大税收违法案件当事人名单、严重违法失信行为记录名单的供应商</w:t>
      </w:r>
      <w:r>
        <w:rPr>
          <w:rFonts w:hint="eastAsia" w:ascii="宋体" w:hAnsi="宋体" w:eastAsia="宋体" w:cs="宋体"/>
          <w:b/>
          <w:color w:val="auto"/>
          <w:spacing w:val="1"/>
          <w:sz w:val="24"/>
          <w:szCs w:val="20"/>
        </w:rPr>
        <w:t>。</w:t>
      </w:r>
    </w:p>
    <w:p w14:paraId="119F33B6">
      <w:pPr>
        <w:spacing w:line="360" w:lineRule="auto"/>
        <w:rPr>
          <w:rFonts w:hint="eastAsia" w:ascii="宋体" w:hAnsi="宋体" w:eastAsia="宋体" w:cs="宋体"/>
          <w:color w:val="auto"/>
          <w:szCs w:val="21"/>
        </w:rPr>
      </w:pPr>
      <w:r>
        <w:rPr>
          <w:rFonts w:hint="eastAsia" w:ascii="宋体" w:hAnsi="宋体" w:eastAsia="宋体" w:cs="宋体"/>
          <w:color w:val="auto"/>
          <w:sz w:val="24"/>
          <w:szCs w:val="21"/>
        </w:rPr>
        <w:t>（说明：政府采购法第二十二条第一款第五项所称重大违法记录，是指供应商因违法经营受到刑事处罚或者责令停产停业、吊销许可证或者执照、较大数额罚款等行政处罚。）</w:t>
      </w:r>
    </w:p>
    <w:p w14:paraId="00760738">
      <w:pPr>
        <w:tabs>
          <w:tab w:val="left" w:pos="5860"/>
        </w:tabs>
        <w:spacing w:line="360" w:lineRule="auto"/>
        <w:ind w:firstLine="3990"/>
        <w:jc w:val="right"/>
        <w:rPr>
          <w:rFonts w:hint="eastAsia" w:ascii="宋体" w:hAnsi="宋体" w:eastAsia="宋体" w:cs="宋体"/>
          <w:color w:val="auto"/>
          <w:szCs w:val="21"/>
        </w:rPr>
      </w:pPr>
    </w:p>
    <w:p w14:paraId="7803C0D3">
      <w:pPr>
        <w:tabs>
          <w:tab w:val="left" w:pos="5860"/>
        </w:tabs>
        <w:spacing w:line="360" w:lineRule="auto"/>
        <w:ind w:right="480" w:firstLine="3990"/>
        <w:jc w:val="right"/>
        <w:rPr>
          <w:rFonts w:hint="eastAsia" w:ascii="宋体" w:hAnsi="宋体" w:eastAsia="宋体" w:cs="宋体"/>
          <w:color w:val="auto"/>
          <w:sz w:val="24"/>
        </w:rPr>
      </w:pPr>
      <w:r>
        <w:rPr>
          <w:rFonts w:hint="eastAsia" w:ascii="宋体" w:hAnsi="宋体" w:eastAsia="宋体" w:cs="宋体"/>
          <w:color w:val="auto"/>
          <w:sz w:val="24"/>
        </w:rPr>
        <w:t>声明人：（公章）</w:t>
      </w:r>
    </w:p>
    <w:p w14:paraId="71CACFA8">
      <w:pPr>
        <w:tabs>
          <w:tab w:val="left" w:pos="4620"/>
          <w:tab w:val="left" w:pos="5340"/>
          <w:tab w:val="left" w:pos="5760"/>
          <w:tab w:val="left" w:pos="6180"/>
        </w:tabs>
        <w:spacing w:line="360" w:lineRule="auto"/>
        <w:ind w:left="4000"/>
        <w:jc w:val="right"/>
        <w:rPr>
          <w:rFonts w:hint="eastAsia" w:ascii="宋体" w:hAnsi="宋体" w:eastAsia="宋体" w:cs="宋体"/>
          <w:color w:val="auto"/>
          <w:sz w:val="24"/>
        </w:rPr>
      </w:pPr>
      <w:r>
        <w:rPr>
          <w:rFonts w:hint="eastAsia" w:ascii="宋体" w:hAnsi="宋体" w:eastAsia="宋体" w:cs="宋体"/>
          <w:color w:val="auto"/>
          <w:sz w:val="24"/>
        </w:rPr>
        <w:t>日</w:t>
      </w:r>
      <w:r>
        <w:rPr>
          <w:rFonts w:hint="eastAsia" w:ascii="宋体" w:hAnsi="宋体" w:eastAsia="宋体" w:cs="宋体"/>
          <w:color w:val="auto"/>
          <w:sz w:val="24"/>
        </w:rPr>
        <w:tab/>
      </w:r>
      <w:r>
        <w:rPr>
          <w:rFonts w:hint="eastAsia" w:ascii="宋体" w:hAnsi="宋体" w:eastAsia="宋体" w:cs="宋体"/>
          <w:color w:val="auto"/>
          <w:sz w:val="24"/>
        </w:rPr>
        <w:t>期：</w:t>
      </w:r>
      <w:r>
        <w:rPr>
          <w:rFonts w:hint="eastAsia" w:ascii="宋体" w:hAnsi="宋体" w:eastAsia="宋体" w:cs="宋体"/>
          <w:color w:val="auto"/>
          <w:sz w:val="24"/>
        </w:rPr>
        <w:tab/>
      </w:r>
      <w:r>
        <w:rPr>
          <w:rFonts w:hint="eastAsia" w:ascii="宋体" w:hAnsi="宋体" w:eastAsia="宋体" w:cs="宋体"/>
          <w:color w:val="auto"/>
          <w:sz w:val="24"/>
        </w:rPr>
        <w:t>年</w:t>
      </w:r>
      <w:r>
        <w:rPr>
          <w:rFonts w:hint="eastAsia" w:ascii="宋体" w:hAnsi="宋体" w:eastAsia="宋体" w:cs="宋体"/>
          <w:color w:val="auto"/>
          <w:sz w:val="24"/>
        </w:rPr>
        <w:tab/>
      </w:r>
      <w:r>
        <w:rPr>
          <w:rFonts w:hint="eastAsia" w:ascii="宋体" w:hAnsi="宋体" w:eastAsia="宋体" w:cs="宋体"/>
          <w:color w:val="auto"/>
          <w:sz w:val="24"/>
        </w:rPr>
        <w:t>月</w:t>
      </w:r>
      <w:r>
        <w:rPr>
          <w:rFonts w:hint="eastAsia" w:ascii="宋体" w:hAnsi="宋体" w:eastAsia="宋体" w:cs="宋体"/>
          <w:color w:val="auto"/>
          <w:sz w:val="24"/>
        </w:rPr>
        <w:tab/>
      </w:r>
      <w:r>
        <w:rPr>
          <w:rFonts w:hint="eastAsia" w:ascii="宋体" w:hAnsi="宋体" w:eastAsia="宋体" w:cs="宋体"/>
          <w:color w:val="auto"/>
          <w:sz w:val="24"/>
        </w:rPr>
        <w:t>日</w:t>
      </w:r>
    </w:p>
    <w:p w14:paraId="6CAA9386">
      <w:pPr>
        <w:jc w:val="center"/>
        <w:rPr>
          <w:rFonts w:hint="eastAsia" w:ascii="宋体" w:hAnsi="宋体" w:eastAsia="宋体" w:cs="宋体"/>
          <w:b/>
          <w:color w:val="auto"/>
          <w:sz w:val="31"/>
          <w:szCs w:val="31"/>
        </w:rPr>
      </w:pPr>
      <w:r>
        <w:rPr>
          <w:rFonts w:hint="eastAsia" w:ascii="宋体" w:hAnsi="宋体" w:eastAsia="宋体" w:cs="宋体"/>
          <w:b/>
          <w:color w:val="auto"/>
          <w:sz w:val="31"/>
          <w:szCs w:val="31"/>
        </w:rPr>
        <w:t>（二）承诺函</w:t>
      </w:r>
    </w:p>
    <w:p w14:paraId="772D36FE">
      <w:pPr>
        <w:rPr>
          <w:rFonts w:hint="eastAsia" w:ascii="宋体" w:hAnsi="宋体" w:eastAsia="宋体" w:cs="宋体"/>
          <w:b/>
          <w:color w:val="auto"/>
          <w:sz w:val="31"/>
          <w:szCs w:val="31"/>
        </w:rPr>
      </w:pPr>
    </w:p>
    <w:p w14:paraId="2F756A2B">
      <w:pPr>
        <w:spacing w:line="360" w:lineRule="auto"/>
        <w:jc w:val="left"/>
        <w:rPr>
          <w:rFonts w:ascii="Calibri" w:hAnsi="Calibri" w:eastAsia="宋体" w:cs="Times New Roman"/>
          <w:color w:val="auto"/>
          <w:spacing w:val="-8"/>
          <w:sz w:val="24"/>
          <w:szCs w:val="20"/>
        </w:rPr>
      </w:pPr>
      <w:r>
        <w:rPr>
          <w:rFonts w:hint="eastAsia" w:ascii="Calibri" w:hAnsi="Calibri" w:eastAsia="宋体" w:cs="Times New Roman"/>
          <w:color w:val="auto"/>
          <w:sz w:val="24"/>
          <w:szCs w:val="20"/>
        </w:rPr>
        <w:t>南京市栖霞区农业农村局：</w:t>
      </w:r>
    </w:p>
    <w:p w14:paraId="7FE3B9EB">
      <w:pPr>
        <w:spacing w:line="360" w:lineRule="auto"/>
        <w:ind w:firstLine="480"/>
        <w:rPr>
          <w:rFonts w:hint="eastAsia" w:ascii="宋体" w:hAnsi="宋体" w:eastAsia="宋体" w:cs="宋体"/>
          <w:bCs/>
          <w:color w:val="auto"/>
          <w:sz w:val="24"/>
        </w:rPr>
      </w:pPr>
      <w:r>
        <w:rPr>
          <w:rFonts w:hint="eastAsia" w:ascii="宋体" w:hAnsi="宋体" w:cs="宋体"/>
          <w:bCs/>
          <w:color w:val="auto"/>
          <w:sz w:val="24"/>
        </w:rPr>
        <w:t>我单位</w:t>
      </w:r>
      <w:r>
        <w:rPr>
          <w:rFonts w:hint="eastAsia" w:ascii="宋体" w:hAnsi="宋体" w:cs="宋体"/>
          <w:color w:val="auto"/>
          <w:sz w:val="24"/>
          <w:szCs w:val="21"/>
          <w:u w:val="single"/>
        </w:rPr>
        <w:t xml:space="preserve">        （供应商名称）</w:t>
      </w:r>
      <w:r>
        <w:rPr>
          <w:rFonts w:hint="eastAsia" w:ascii="宋体" w:hAnsi="宋体" w:cs="宋体"/>
          <w:bCs/>
          <w:color w:val="auto"/>
          <w:sz w:val="24"/>
        </w:rPr>
        <w:t>郑重承诺以下事项，若有虚假承诺愿承担一切相关责任：</w:t>
      </w:r>
    </w:p>
    <w:p w14:paraId="3A20AA0E">
      <w:pPr>
        <w:spacing w:line="360" w:lineRule="auto"/>
        <w:ind w:firstLine="240"/>
        <w:rPr>
          <w:rFonts w:hint="eastAsia" w:ascii="宋体" w:hAnsi="宋体" w:cs="宋体"/>
          <w:color w:val="auto"/>
          <w:sz w:val="24"/>
        </w:rPr>
      </w:pPr>
      <w:r>
        <w:rPr>
          <w:rFonts w:hint="eastAsia" w:ascii="宋体" w:hAnsi="宋体" w:cs="宋体"/>
          <w:color w:val="auto"/>
          <w:sz w:val="24"/>
        </w:rPr>
        <w:t>（1）单位负责人为同一人或者存在直接控股、管理关系的不同供应商，不得参加同一合同项下的政府采购活动。</w:t>
      </w:r>
    </w:p>
    <w:p w14:paraId="7C9F291D">
      <w:pPr>
        <w:spacing w:line="360" w:lineRule="auto"/>
        <w:ind w:firstLine="240"/>
        <w:rPr>
          <w:rFonts w:hint="eastAsia" w:ascii="宋体" w:hAnsi="宋体" w:cs="宋体"/>
          <w:color w:val="auto"/>
          <w:sz w:val="24"/>
        </w:rPr>
      </w:pPr>
      <w:r>
        <w:rPr>
          <w:rFonts w:hint="eastAsia" w:ascii="宋体" w:hAnsi="宋体" w:cs="宋体"/>
          <w:color w:val="auto"/>
          <w:sz w:val="24"/>
        </w:rPr>
        <w:t>（2）凡为采购项目提供整体设计、规范编制或者项目管理、监理、检测等服务的供应商，不得再参加本项目的采购活动。</w:t>
      </w:r>
    </w:p>
    <w:p w14:paraId="210A57F2">
      <w:pPr>
        <w:spacing w:line="360" w:lineRule="auto"/>
        <w:ind w:firstLine="240"/>
        <w:rPr>
          <w:rFonts w:hint="eastAsia" w:ascii="宋体" w:hAnsi="宋体" w:cs="宋体"/>
          <w:color w:val="auto"/>
          <w:sz w:val="24"/>
        </w:rPr>
      </w:pPr>
      <w:r>
        <w:rPr>
          <w:rFonts w:hint="eastAsia" w:ascii="宋体" w:hAnsi="宋体" w:cs="宋体"/>
          <w:color w:val="auto"/>
          <w:sz w:val="24"/>
        </w:rPr>
        <w:t>（3）未被“信用中国”网站、“中国政府采购网”网站、“信用江苏”列入失信被执行人、重大税收违法案件当事人名单、政府采购严重违法失信行为记录名单。</w:t>
      </w:r>
    </w:p>
    <w:p w14:paraId="5C78C4EA">
      <w:pPr>
        <w:ind w:firstLine="240"/>
        <w:rPr>
          <w:rFonts w:hint="eastAsia" w:ascii="宋体" w:hAnsi="宋体" w:cs="宋体"/>
          <w:b/>
          <w:color w:val="auto"/>
          <w:sz w:val="31"/>
          <w:szCs w:val="31"/>
        </w:rPr>
      </w:pPr>
      <w:r>
        <w:rPr>
          <w:rFonts w:hint="eastAsia" w:ascii="宋体" w:hAnsi="宋体" w:eastAsia="宋体" w:cs="宋体"/>
          <w:color w:val="auto"/>
          <w:sz w:val="24"/>
        </w:rPr>
        <w:t>（4）</w:t>
      </w:r>
      <w:r>
        <w:rPr>
          <w:rFonts w:hint="eastAsia" w:ascii="宋体" w:hAnsi="宋体" w:cs="宋体"/>
          <w:color w:val="auto"/>
          <w:sz w:val="24"/>
        </w:rPr>
        <w:t>我单位为非联合体投标。</w:t>
      </w:r>
    </w:p>
    <w:p w14:paraId="4343F0DE">
      <w:pPr>
        <w:spacing w:line="360" w:lineRule="auto"/>
        <w:ind w:right="9"/>
        <w:rPr>
          <w:rFonts w:hint="eastAsia" w:ascii="宋体" w:hAnsi="宋体" w:cs="宋体"/>
          <w:color w:val="auto"/>
          <w:szCs w:val="21"/>
        </w:rPr>
      </w:pPr>
    </w:p>
    <w:p w14:paraId="5FEBDE7F">
      <w:pPr>
        <w:spacing w:line="360" w:lineRule="auto"/>
        <w:ind w:right="9" w:firstLine="6090"/>
        <w:rPr>
          <w:rFonts w:hint="eastAsia" w:ascii="宋体" w:hAnsi="宋体" w:cs="宋体"/>
          <w:color w:val="auto"/>
          <w:szCs w:val="21"/>
          <w:u w:val="single"/>
        </w:rPr>
      </w:pPr>
      <w:r>
        <w:rPr>
          <w:rFonts w:hint="eastAsia" w:ascii="宋体" w:hAnsi="宋体" w:cs="宋体"/>
          <w:color w:val="auto"/>
          <w:szCs w:val="21"/>
        </w:rPr>
        <w:t>供应商名称：</w:t>
      </w:r>
      <w:r>
        <w:rPr>
          <w:rFonts w:hint="eastAsia" w:ascii="宋体" w:hAnsi="宋体" w:cs="宋体"/>
          <w:color w:val="auto"/>
          <w:szCs w:val="21"/>
          <w:u w:val="single"/>
        </w:rPr>
        <w:t>（公章）</w:t>
      </w:r>
    </w:p>
    <w:p w14:paraId="7FC7A2F8">
      <w:pPr>
        <w:spacing w:line="360" w:lineRule="auto"/>
        <w:ind w:right="9" w:firstLine="4620"/>
        <w:rPr>
          <w:rFonts w:hint="eastAsia" w:ascii="宋体" w:hAnsi="宋体" w:cs="宋体"/>
          <w:color w:val="auto"/>
          <w:szCs w:val="21"/>
          <w:u w:val="single"/>
        </w:rPr>
      </w:pPr>
      <w:r>
        <w:rPr>
          <w:rFonts w:hint="eastAsia" w:ascii="宋体" w:hAnsi="宋体" w:cs="宋体"/>
          <w:color w:val="auto"/>
          <w:szCs w:val="21"/>
        </w:rPr>
        <w:t>法定代表人或其授权代理人：</w:t>
      </w:r>
      <w:r>
        <w:rPr>
          <w:rFonts w:hint="eastAsia" w:ascii="宋体" w:hAnsi="宋体" w:cs="宋体"/>
          <w:color w:val="auto"/>
          <w:szCs w:val="21"/>
          <w:u w:val="single"/>
        </w:rPr>
        <w:t>（签字或盖章）</w:t>
      </w:r>
    </w:p>
    <w:p w14:paraId="39096F70">
      <w:pPr>
        <w:jc w:val="center"/>
        <w:rPr>
          <w:rFonts w:hint="eastAsia" w:ascii="宋体" w:hAnsi="宋体" w:eastAsia="宋体" w:cs="宋体"/>
          <w:b/>
          <w:color w:val="auto"/>
          <w:sz w:val="31"/>
          <w:szCs w:val="31"/>
        </w:rPr>
      </w:pPr>
      <w:r>
        <w:rPr>
          <w:rFonts w:hint="eastAsia" w:cs="宋体"/>
          <w:color w:val="auto"/>
          <w:szCs w:val="21"/>
        </w:rPr>
        <w:t xml:space="preserve">                                           日期：   年   月   日</w:t>
      </w:r>
    </w:p>
    <w:p w14:paraId="1F25483D">
      <w:pPr>
        <w:tabs>
          <w:tab w:val="left" w:pos="4620"/>
          <w:tab w:val="left" w:pos="5340"/>
          <w:tab w:val="left" w:pos="5760"/>
          <w:tab w:val="left" w:pos="6180"/>
        </w:tabs>
        <w:spacing w:line="360" w:lineRule="auto"/>
        <w:ind w:left="4000"/>
        <w:jc w:val="right"/>
        <w:rPr>
          <w:rFonts w:hint="eastAsia" w:ascii="宋体" w:hAnsi="宋体" w:eastAsia="宋体" w:cs="宋体"/>
          <w:color w:val="auto"/>
          <w:sz w:val="24"/>
        </w:rPr>
      </w:pPr>
    </w:p>
    <w:p w14:paraId="1DF49F50">
      <w:pPr>
        <w:rPr>
          <w:rFonts w:hint="eastAsia" w:ascii="宋体" w:hAnsi="宋体" w:eastAsia="宋体" w:cs="宋体"/>
          <w:b/>
          <w:color w:val="auto"/>
          <w:sz w:val="31"/>
          <w:szCs w:val="31"/>
        </w:rPr>
      </w:pPr>
      <w:r>
        <w:rPr>
          <w:rFonts w:hint="eastAsia" w:ascii="宋体" w:hAnsi="宋体" w:eastAsia="宋体" w:cs="宋体"/>
          <w:b/>
          <w:color w:val="auto"/>
          <w:sz w:val="31"/>
          <w:szCs w:val="31"/>
        </w:rPr>
        <w:br w:type="page" w:clear="all"/>
      </w:r>
    </w:p>
    <w:p w14:paraId="796BC0B2">
      <w:pPr>
        <w:pStyle w:val="72"/>
        <w:rPr>
          <w:rFonts w:hint="eastAsia"/>
          <w:color w:val="auto"/>
        </w:rPr>
      </w:pPr>
    </w:p>
    <w:p w14:paraId="0DEB8D32">
      <w:pPr>
        <w:rPr>
          <w:rFonts w:hint="eastAsia" w:ascii="宋体" w:hAnsi="宋体" w:eastAsia="宋体" w:cs="宋体"/>
          <w:b/>
          <w:color w:val="auto"/>
          <w:sz w:val="31"/>
          <w:szCs w:val="31"/>
        </w:rPr>
      </w:pPr>
      <w:r>
        <w:rPr>
          <w:rFonts w:hint="eastAsia" w:ascii="宋体" w:hAnsi="宋体" w:eastAsia="宋体" w:cs="宋体"/>
          <w:b/>
          <w:color w:val="auto"/>
          <w:sz w:val="31"/>
          <w:szCs w:val="31"/>
        </w:rPr>
        <w:t xml:space="preserve">附件十、《南京市政府采购供应商信用记录表暨信用承诺书》 </w:t>
      </w:r>
    </w:p>
    <w:p w14:paraId="13126B15">
      <w:pPr>
        <w:pStyle w:val="17"/>
        <w:rPr>
          <w:rFonts w:hint="eastAsia"/>
          <w:color w:val="auto"/>
        </w:rPr>
      </w:pPr>
    </w:p>
    <w:p w14:paraId="2AA57774">
      <w:pPr>
        <w:snapToGrid w:val="0"/>
        <w:jc w:val="center"/>
        <w:rPr>
          <w:rFonts w:hint="eastAsia" w:ascii="方正小标宋简体" w:hAnsi="方正小标宋简体" w:eastAsia="方正小标宋简体" w:cs="方正小标宋简体"/>
          <w:color w:val="auto"/>
          <w:sz w:val="44"/>
          <w:szCs w:val="52"/>
        </w:rPr>
      </w:pPr>
      <w:r>
        <w:rPr>
          <w:rFonts w:hint="eastAsia" w:ascii="方正小标宋简体" w:hAnsi="方正小标宋简体" w:eastAsia="方正小标宋简体" w:cs="方正小标宋简体"/>
          <w:color w:val="auto"/>
          <w:sz w:val="44"/>
          <w:szCs w:val="52"/>
        </w:rPr>
        <w:t>南京市政府采购供应商信用承诺书</w:t>
      </w:r>
    </w:p>
    <w:p w14:paraId="68D6DB5E">
      <w:pPr>
        <w:jc w:val="right"/>
        <w:rPr>
          <w:rFonts w:hint="eastAsia" w:ascii="方正小标宋简体" w:hAnsi="方正小标宋简体" w:eastAsia="方正小标宋简体" w:cs="方正小标宋简体"/>
          <w:color w:val="auto"/>
          <w:sz w:val="22"/>
          <w:szCs w:val="28"/>
        </w:rPr>
      </w:pPr>
      <w:r>
        <w:rPr>
          <w:rFonts w:hint="eastAsia" w:ascii="方正小标宋简体" w:hAnsi="方正小标宋简体" w:eastAsia="方正小标宋简体" w:cs="方正小标宋简体"/>
          <w:color w:val="auto"/>
          <w:sz w:val="22"/>
          <w:szCs w:val="28"/>
        </w:rPr>
        <w:t>XXXX年XX月XX日</w:t>
      </w:r>
    </w:p>
    <w:p w14:paraId="3C66FA0D">
      <w:pPr>
        <w:jc w:val="center"/>
        <w:rPr>
          <w:color w:val="auto"/>
        </w:rPr>
      </w:pPr>
    </w:p>
    <w:tbl>
      <w:tblPr>
        <w:tblStyle w:val="40"/>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8"/>
        <w:gridCol w:w="2284"/>
        <w:gridCol w:w="1833"/>
        <w:gridCol w:w="3331"/>
      </w:tblGrid>
      <w:tr w14:paraId="1673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52808381">
            <w:pPr>
              <w:tabs>
                <w:tab w:val="left" w:pos="2520"/>
              </w:tabs>
              <w:ind w:left="-420" w:leftChars="-200"/>
              <w:jc w:val="center"/>
              <w:rPr>
                <w:color w:val="auto"/>
                <w:sz w:val="24"/>
                <w:szCs w:val="32"/>
              </w:rPr>
            </w:pPr>
            <w:r>
              <w:rPr>
                <w:rFonts w:hint="eastAsia"/>
                <w:color w:val="auto"/>
                <w:sz w:val="24"/>
                <w:szCs w:val="32"/>
              </w:rPr>
              <w:t xml:space="preserve">   单位名称</w:t>
            </w:r>
          </w:p>
        </w:tc>
        <w:tc>
          <w:tcPr>
            <w:tcW w:w="2284" w:type="dxa"/>
            <w:vAlign w:val="center"/>
          </w:tcPr>
          <w:p w14:paraId="32DAD686">
            <w:pPr>
              <w:jc w:val="center"/>
              <w:rPr>
                <w:color w:val="auto"/>
                <w:sz w:val="24"/>
                <w:szCs w:val="32"/>
              </w:rPr>
            </w:pPr>
          </w:p>
        </w:tc>
        <w:tc>
          <w:tcPr>
            <w:tcW w:w="1833" w:type="dxa"/>
            <w:vAlign w:val="center"/>
          </w:tcPr>
          <w:p w14:paraId="4B95CFE8">
            <w:pPr>
              <w:jc w:val="center"/>
              <w:rPr>
                <w:color w:val="auto"/>
                <w:sz w:val="24"/>
                <w:szCs w:val="32"/>
              </w:rPr>
            </w:pPr>
            <w:r>
              <w:rPr>
                <w:rFonts w:hint="eastAsia"/>
                <w:color w:val="auto"/>
                <w:sz w:val="24"/>
                <w:szCs w:val="32"/>
              </w:rPr>
              <w:t>统一社会信用代码</w:t>
            </w:r>
          </w:p>
        </w:tc>
        <w:tc>
          <w:tcPr>
            <w:tcW w:w="3331" w:type="dxa"/>
            <w:vAlign w:val="center"/>
          </w:tcPr>
          <w:p w14:paraId="1BDEA079">
            <w:pPr>
              <w:tabs>
                <w:tab w:val="left" w:pos="2320"/>
              </w:tabs>
              <w:ind w:right="-678" w:rightChars="-323"/>
              <w:jc w:val="center"/>
              <w:rPr>
                <w:color w:val="auto"/>
              </w:rPr>
            </w:pPr>
          </w:p>
        </w:tc>
      </w:tr>
      <w:tr w14:paraId="79EC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5D7DE3F">
            <w:pPr>
              <w:jc w:val="center"/>
              <w:rPr>
                <w:color w:val="auto"/>
                <w:sz w:val="24"/>
                <w:szCs w:val="32"/>
              </w:rPr>
            </w:pPr>
            <w:r>
              <w:rPr>
                <w:rFonts w:hint="eastAsia"/>
                <w:color w:val="auto"/>
                <w:sz w:val="24"/>
                <w:szCs w:val="32"/>
              </w:rPr>
              <w:t>法定代表人</w:t>
            </w:r>
          </w:p>
        </w:tc>
        <w:tc>
          <w:tcPr>
            <w:tcW w:w="2284" w:type="dxa"/>
            <w:vAlign w:val="center"/>
          </w:tcPr>
          <w:p w14:paraId="1EC62E38">
            <w:pPr>
              <w:jc w:val="center"/>
              <w:rPr>
                <w:color w:val="auto"/>
                <w:sz w:val="24"/>
                <w:szCs w:val="32"/>
              </w:rPr>
            </w:pPr>
          </w:p>
        </w:tc>
        <w:tc>
          <w:tcPr>
            <w:tcW w:w="1833" w:type="dxa"/>
            <w:vAlign w:val="center"/>
          </w:tcPr>
          <w:p w14:paraId="619844CA">
            <w:pPr>
              <w:jc w:val="center"/>
              <w:rPr>
                <w:color w:val="auto"/>
                <w:sz w:val="24"/>
                <w:szCs w:val="32"/>
              </w:rPr>
            </w:pPr>
            <w:r>
              <w:rPr>
                <w:rFonts w:hint="eastAsia"/>
                <w:color w:val="auto"/>
                <w:sz w:val="24"/>
                <w:szCs w:val="32"/>
              </w:rPr>
              <w:t>联系人</w:t>
            </w:r>
          </w:p>
        </w:tc>
        <w:tc>
          <w:tcPr>
            <w:tcW w:w="3331" w:type="dxa"/>
            <w:vAlign w:val="center"/>
          </w:tcPr>
          <w:p w14:paraId="3F29FF03">
            <w:pPr>
              <w:jc w:val="center"/>
              <w:rPr>
                <w:color w:val="auto"/>
              </w:rPr>
            </w:pPr>
          </w:p>
        </w:tc>
      </w:tr>
      <w:tr w14:paraId="5AF0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0E399252">
            <w:pPr>
              <w:jc w:val="center"/>
              <w:rPr>
                <w:color w:val="auto"/>
                <w:sz w:val="24"/>
                <w:szCs w:val="32"/>
              </w:rPr>
            </w:pPr>
            <w:r>
              <w:rPr>
                <w:rFonts w:hint="eastAsia"/>
                <w:color w:val="auto"/>
                <w:sz w:val="24"/>
                <w:szCs w:val="32"/>
              </w:rPr>
              <w:t>联系地址</w:t>
            </w:r>
          </w:p>
        </w:tc>
        <w:tc>
          <w:tcPr>
            <w:tcW w:w="2284" w:type="dxa"/>
            <w:vAlign w:val="center"/>
          </w:tcPr>
          <w:p w14:paraId="045741CE">
            <w:pPr>
              <w:jc w:val="center"/>
              <w:rPr>
                <w:color w:val="auto"/>
                <w:sz w:val="24"/>
                <w:szCs w:val="32"/>
              </w:rPr>
            </w:pPr>
          </w:p>
        </w:tc>
        <w:tc>
          <w:tcPr>
            <w:tcW w:w="1833" w:type="dxa"/>
            <w:vAlign w:val="center"/>
          </w:tcPr>
          <w:p w14:paraId="3BF3C36E">
            <w:pPr>
              <w:jc w:val="center"/>
              <w:rPr>
                <w:color w:val="auto"/>
                <w:sz w:val="24"/>
                <w:szCs w:val="32"/>
              </w:rPr>
            </w:pPr>
            <w:r>
              <w:rPr>
                <w:rFonts w:hint="eastAsia"/>
                <w:color w:val="auto"/>
                <w:sz w:val="24"/>
                <w:szCs w:val="32"/>
              </w:rPr>
              <w:t>联系电话</w:t>
            </w:r>
          </w:p>
        </w:tc>
        <w:tc>
          <w:tcPr>
            <w:tcW w:w="3331" w:type="dxa"/>
            <w:vAlign w:val="center"/>
          </w:tcPr>
          <w:p w14:paraId="478AF65C">
            <w:pPr>
              <w:jc w:val="center"/>
              <w:rPr>
                <w:color w:val="auto"/>
              </w:rPr>
            </w:pPr>
          </w:p>
        </w:tc>
      </w:tr>
      <w:tr w14:paraId="50A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28F28011">
            <w:pPr>
              <w:jc w:val="center"/>
              <w:rPr>
                <w:color w:val="auto"/>
                <w:sz w:val="24"/>
                <w:szCs w:val="32"/>
              </w:rPr>
            </w:pPr>
            <w:r>
              <w:rPr>
                <w:rFonts w:hint="eastAsia"/>
                <w:color w:val="auto"/>
                <w:sz w:val="24"/>
                <w:szCs w:val="32"/>
              </w:rPr>
              <w:t>信用承诺</w:t>
            </w:r>
          </w:p>
        </w:tc>
        <w:tc>
          <w:tcPr>
            <w:tcW w:w="7448" w:type="dxa"/>
            <w:gridSpan w:val="3"/>
            <w:vAlign w:val="center"/>
          </w:tcPr>
          <w:p w14:paraId="7B90DEEC">
            <w:pPr>
              <w:ind w:firstLine="420" w:firstLineChars="200"/>
              <w:rPr>
                <w:color w:val="auto"/>
              </w:rPr>
            </w:pPr>
            <w:r>
              <w:rPr>
                <w:rFonts w:hint="eastAsia"/>
                <w:color w:val="auto"/>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自愿承担一切法律责任，并接受各级政府采购监管部门和有权机关的审查和处罚。</w:t>
            </w:r>
          </w:p>
          <w:p w14:paraId="6748131B">
            <w:pPr>
              <w:ind w:firstLine="420" w:firstLineChars="200"/>
              <w:rPr>
                <w:color w:val="auto"/>
              </w:rPr>
            </w:pPr>
          </w:p>
          <w:p w14:paraId="0465EAA2">
            <w:pPr>
              <w:ind w:firstLine="420" w:firstLineChars="200"/>
              <w:jc w:val="center"/>
              <w:rPr>
                <w:color w:val="auto"/>
              </w:rPr>
            </w:pPr>
            <w:r>
              <w:rPr>
                <w:rFonts w:hint="eastAsia"/>
                <w:color w:val="auto"/>
              </w:rPr>
              <w:t>供应商名称（盖章）：</w:t>
            </w:r>
          </w:p>
          <w:p w14:paraId="5BA89220">
            <w:pPr>
              <w:ind w:firstLine="420" w:firstLineChars="200"/>
              <w:jc w:val="center"/>
              <w:rPr>
                <w:color w:val="auto"/>
              </w:rPr>
            </w:pPr>
          </w:p>
          <w:p w14:paraId="38151470">
            <w:pPr>
              <w:ind w:firstLine="420" w:firstLineChars="200"/>
              <w:jc w:val="center"/>
              <w:rPr>
                <w:color w:val="auto"/>
              </w:rPr>
            </w:pPr>
            <w:r>
              <w:rPr>
                <w:rFonts w:hint="eastAsia"/>
                <w:color w:val="auto"/>
              </w:rPr>
              <w:t>法定代表人（签字）：</w:t>
            </w:r>
          </w:p>
          <w:p w14:paraId="061DC1DD">
            <w:pPr>
              <w:ind w:firstLine="420" w:firstLineChars="200"/>
              <w:jc w:val="center"/>
              <w:rPr>
                <w:color w:val="auto"/>
              </w:rPr>
            </w:pPr>
          </w:p>
          <w:p w14:paraId="64CB2FFE">
            <w:pPr>
              <w:ind w:firstLine="420" w:firstLineChars="200"/>
              <w:jc w:val="center"/>
              <w:rPr>
                <w:color w:val="auto"/>
              </w:rPr>
            </w:pPr>
            <w:r>
              <w:rPr>
                <w:rFonts w:hint="eastAsia"/>
                <w:color w:val="auto"/>
              </w:rPr>
              <w:t>XXXX年XX月XX日</w:t>
            </w:r>
          </w:p>
        </w:tc>
      </w:tr>
    </w:tbl>
    <w:p w14:paraId="1C40C986">
      <w:pPr>
        <w:spacing w:line="360" w:lineRule="auto"/>
        <w:ind w:firstLine="480"/>
        <w:rPr>
          <w:rFonts w:hint="eastAsia" w:ascii="宋体" w:hAnsi="宋体" w:eastAsia="宋体" w:cs="宋体"/>
          <w:color w:val="auto"/>
          <w:sz w:val="24"/>
        </w:rPr>
      </w:pPr>
    </w:p>
    <w:p w14:paraId="5607CE89">
      <w:pPr>
        <w:spacing w:line="360" w:lineRule="auto"/>
        <w:ind w:firstLine="480"/>
        <w:rPr>
          <w:rFonts w:hint="eastAsia" w:ascii="宋体" w:hAnsi="宋体" w:eastAsia="宋体" w:cs="宋体"/>
          <w:color w:val="auto"/>
          <w:sz w:val="24"/>
        </w:rPr>
      </w:pPr>
    </w:p>
    <w:p w14:paraId="09F35607">
      <w:pPr>
        <w:spacing w:line="360" w:lineRule="auto"/>
        <w:ind w:firstLine="480"/>
        <w:rPr>
          <w:rFonts w:hint="eastAsia" w:ascii="宋体" w:hAnsi="宋体" w:eastAsia="宋体" w:cs="宋体"/>
          <w:color w:val="auto"/>
          <w:sz w:val="24"/>
        </w:rPr>
      </w:pPr>
    </w:p>
    <w:p w14:paraId="1B378D88">
      <w:pPr>
        <w:spacing w:line="360" w:lineRule="auto"/>
        <w:rPr>
          <w:rFonts w:hint="eastAsia" w:ascii="宋体" w:hAnsi="宋体" w:eastAsia="宋体" w:cs="宋体"/>
          <w:color w:val="auto"/>
          <w:sz w:val="24"/>
        </w:rPr>
      </w:pPr>
      <w:r>
        <w:rPr>
          <w:rFonts w:hint="eastAsia" w:ascii="宋体" w:hAnsi="宋体" w:eastAsia="宋体" w:cs="宋体"/>
          <w:b/>
          <w:color w:val="auto"/>
          <w:sz w:val="31"/>
          <w:szCs w:val="31"/>
        </w:rPr>
        <w:t>附件十一、投标需要的其他证明文件及材料（若有）</w:t>
      </w:r>
    </w:p>
    <w:p w14:paraId="054A2F60">
      <w:pPr>
        <w:spacing w:line="239" w:lineRule="auto"/>
        <w:ind w:left="3800"/>
        <w:rPr>
          <w:rFonts w:hint="eastAsia" w:ascii="宋体" w:hAnsi="宋体" w:eastAsia="宋体" w:cs="宋体"/>
          <w:color w:val="auto"/>
          <w:sz w:val="18"/>
        </w:rPr>
      </w:pPr>
    </w:p>
    <w:p w14:paraId="0BBD8225">
      <w:pPr>
        <w:rPr>
          <w:rFonts w:hint="eastAsia" w:ascii="宋体" w:hAnsi="宋体" w:eastAsia="宋体" w:cs="宋体"/>
          <w:color w:val="auto"/>
        </w:rPr>
      </w:pPr>
    </w:p>
    <w:p w14:paraId="46781903">
      <w:pPr>
        <w:rPr>
          <w:rFonts w:hint="eastAsia" w:ascii="宋体" w:hAnsi="宋体" w:eastAsia="宋体" w:cs="宋体"/>
          <w:color w:val="auto"/>
        </w:rPr>
      </w:pPr>
    </w:p>
    <w:p w14:paraId="6655D37A">
      <w:pPr>
        <w:jc w:val="center"/>
        <w:rPr>
          <w:color w:val="auto"/>
        </w:rPr>
      </w:pPr>
    </w:p>
    <w:p w14:paraId="113F2924">
      <w:pPr>
        <w:rPr>
          <w:rFonts w:hint="eastAsia" w:ascii="宋体" w:hAnsi="宋体" w:eastAsia="宋体" w:cs="宋体"/>
          <w:color w:val="auto"/>
        </w:rPr>
      </w:pPr>
    </w:p>
    <w:sectPr>
      <w:headerReference r:id="rId3" w:type="default"/>
      <w:footerReference r:id="rId4" w:type="default"/>
      <w:pgSz w:w="11900" w:h="16838"/>
      <w:pgMar w:top="1270" w:right="1242" w:bottom="1157" w:left="1179" w:header="794" w:footer="680" w:gutter="0"/>
      <w:pgNumType w:start="1"/>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DDE39">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14CBF">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614CBF">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0858E">
    <w:pPr>
      <w:pStyle w:val="25"/>
      <w:pBdr>
        <w:bottom w:val="none" w:color="auto" w:sz="0" w:space="1"/>
      </w:pBdr>
      <w:tabs>
        <w:tab w:val="center" w:pos="4153"/>
        <w:tab w:val="right" w:pos="8306"/>
        <w:tab w:val="clear" w:pos="7143"/>
        <w:tab w:val="clear" w:pos="1428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decimal"/>
      <w:suff w:val="nothing"/>
      <w:lvlText w:val="（%1）"/>
      <w:lvlJc w:val="left"/>
      <w:pPr>
        <w:ind w:left="150"/>
      </w:pPr>
    </w:lvl>
    <w:lvl w:ilvl="1" w:tentative="0">
      <w:start w:val="1"/>
      <w:numFmt w:val="bullet"/>
      <w:lvlText w:val="o"/>
      <w:lvlJc w:val="left"/>
      <w:pPr>
        <w:ind w:left="2865" w:hanging="360"/>
      </w:pPr>
      <w:rPr>
        <w:rFonts w:hint="default" w:ascii="Courier New" w:hAnsi="Courier New" w:eastAsia="Courier New" w:cs="Courier New"/>
      </w:rPr>
    </w:lvl>
    <w:lvl w:ilvl="2" w:tentative="0">
      <w:start w:val="1"/>
      <w:numFmt w:val="bullet"/>
      <w:lvlText w:val="§"/>
      <w:lvlJc w:val="left"/>
      <w:pPr>
        <w:ind w:left="3585" w:hanging="360"/>
      </w:pPr>
      <w:rPr>
        <w:rFonts w:hint="default" w:ascii="Wingdings" w:hAnsi="Wingdings" w:eastAsia="Wingdings" w:cs="Wingdings"/>
      </w:rPr>
    </w:lvl>
    <w:lvl w:ilvl="3" w:tentative="0">
      <w:start w:val="1"/>
      <w:numFmt w:val="bullet"/>
      <w:lvlText w:val="·"/>
      <w:lvlJc w:val="left"/>
      <w:pPr>
        <w:ind w:left="4305" w:hanging="360"/>
      </w:pPr>
      <w:rPr>
        <w:rFonts w:hint="default" w:ascii="Symbol" w:hAnsi="Symbol" w:eastAsia="Symbol" w:cs="Symbol"/>
      </w:rPr>
    </w:lvl>
    <w:lvl w:ilvl="4" w:tentative="0">
      <w:start w:val="1"/>
      <w:numFmt w:val="bullet"/>
      <w:lvlText w:val="o"/>
      <w:lvlJc w:val="left"/>
      <w:pPr>
        <w:ind w:left="5025" w:hanging="360"/>
      </w:pPr>
      <w:rPr>
        <w:rFonts w:hint="default" w:ascii="Courier New" w:hAnsi="Courier New" w:eastAsia="Courier New" w:cs="Courier New"/>
      </w:rPr>
    </w:lvl>
    <w:lvl w:ilvl="5" w:tentative="0">
      <w:start w:val="1"/>
      <w:numFmt w:val="bullet"/>
      <w:lvlText w:val="§"/>
      <w:lvlJc w:val="left"/>
      <w:pPr>
        <w:ind w:left="5745" w:hanging="360"/>
      </w:pPr>
      <w:rPr>
        <w:rFonts w:hint="default" w:ascii="Wingdings" w:hAnsi="Wingdings" w:eastAsia="Wingdings" w:cs="Wingdings"/>
      </w:rPr>
    </w:lvl>
    <w:lvl w:ilvl="6" w:tentative="0">
      <w:start w:val="1"/>
      <w:numFmt w:val="bullet"/>
      <w:lvlText w:val="·"/>
      <w:lvlJc w:val="left"/>
      <w:pPr>
        <w:ind w:left="6465" w:hanging="360"/>
      </w:pPr>
      <w:rPr>
        <w:rFonts w:hint="default" w:ascii="Symbol" w:hAnsi="Symbol" w:eastAsia="Symbol" w:cs="Symbol"/>
      </w:rPr>
    </w:lvl>
    <w:lvl w:ilvl="7" w:tentative="0">
      <w:start w:val="1"/>
      <w:numFmt w:val="bullet"/>
      <w:lvlText w:val="o"/>
      <w:lvlJc w:val="left"/>
      <w:pPr>
        <w:ind w:left="7185" w:hanging="360"/>
      </w:pPr>
      <w:rPr>
        <w:rFonts w:hint="default" w:ascii="Courier New" w:hAnsi="Courier New" w:eastAsia="Courier New" w:cs="Courier New"/>
      </w:rPr>
    </w:lvl>
    <w:lvl w:ilvl="8" w:tentative="0">
      <w:start w:val="1"/>
      <w:numFmt w:val="bullet"/>
      <w:lvlText w:val="§"/>
      <w:lvlJc w:val="left"/>
      <w:pPr>
        <w:ind w:left="7905" w:hanging="360"/>
      </w:pPr>
      <w:rPr>
        <w:rFonts w:hint="default" w:ascii="Wingdings" w:hAnsi="Wingdings" w:eastAsia="Wingdings" w:cs="Wingdings"/>
      </w:rPr>
    </w:lvl>
  </w:abstractNum>
  <w:abstractNum w:abstractNumId="2">
    <w:nsid w:val="CF092B84"/>
    <w:multiLevelType w:val="multilevel"/>
    <w:tmpl w:val="CF092B84"/>
    <w:lvl w:ilvl="0" w:tentative="0">
      <w:start w:val="2"/>
      <w:numFmt w:val="chineseCounting"/>
      <w:suff w:val="nothing"/>
      <w:lvlText w:val="%1、"/>
      <w:lvlJc w:val="left"/>
      <w:pPr>
        <w:ind w:left="-22"/>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japaneseCounting"/>
      <w:lvlText w:val="第%1章"/>
      <w:lvlJc w:val="left"/>
      <w:pPr>
        <w:ind w:left="2160" w:hanging="144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5BCCC20"/>
    <w:multiLevelType w:val="singleLevel"/>
    <w:tmpl w:val="05BCCC20"/>
    <w:lvl w:ilvl="0" w:tentative="0">
      <w:start w:val="1"/>
      <w:numFmt w:val="decimal"/>
      <w:suff w:val="nothing"/>
      <w:lvlText w:val="（%1）"/>
      <w:lvlJc w:val="left"/>
    </w:lvl>
  </w:abstractNum>
  <w:abstractNum w:abstractNumId="6">
    <w:nsid w:val="25B654F3"/>
    <w:multiLevelType w:val="multilevel"/>
    <w:tmpl w:val="25B654F3"/>
    <w:lvl w:ilvl="0" w:tentative="0">
      <w:start w:val="5"/>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EE4"/>
    <w:rsid w:val="00021431"/>
    <w:rsid w:val="00057054"/>
    <w:rsid w:val="000A1C84"/>
    <w:rsid w:val="000A5E8C"/>
    <w:rsid w:val="001C55E8"/>
    <w:rsid w:val="00284B8F"/>
    <w:rsid w:val="00350851"/>
    <w:rsid w:val="003517D4"/>
    <w:rsid w:val="003F6AE6"/>
    <w:rsid w:val="00457753"/>
    <w:rsid w:val="004A727D"/>
    <w:rsid w:val="004F7795"/>
    <w:rsid w:val="005231D9"/>
    <w:rsid w:val="005E58FF"/>
    <w:rsid w:val="005E6AE4"/>
    <w:rsid w:val="00661BFA"/>
    <w:rsid w:val="0068432C"/>
    <w:rsid w:val="006F6B68"/>
    <w:rsid w:val="00720A11"/>
    <w:rsid w:val="007C6F1C"/>
    <w:rsid w:val="008231A4"/>
    <w:rsid w:val="00840C7E"/>
    <w:rsid w:val="008A26EE"/>
    <w:rsid w:val="008A7DFA"/>
    <w:rsid w:val="00946C25"/>
    <w:rsid w:val="00A56865"/>
    <w:rsid w:val="00AB5CEB"/>
    <w:rsid w:val="00AC3757"/>
    <w:rsid w:val="00AD10E6"/>
    <w:rsid w:val="00AE606F"/>
    <w:rsid w:val="00B235F8"/>
    <w:rsid w:val="00B34A98"/>
    <w:rsid w:val="00C41EE4"/>
    <w:rsid w:val="00DB3D3D"/>
    <w:rsid w:val="00DE12ED"/>
    <w:rsid w:val="00DE595E"/>
    <w:rsid w:val="00E51E34"/>
    <w:rsid w:val="00E721A5"/>
    <w:rsid w:val="03CA1FAF"/>
    <w:rsid w:val="04ED1CEB"/>
    <w:rsid w:val="07886409"/>
    <w:rsid w:val="08397703"/>
    <w:rsid w:val="084070DF"/>
    <w:rsid w:val="08892CC6"/>
    <w:rsid w:val="097F2865"/>
    <w:rsid w:val="09882176"/>
    <w:rsid w:val="09FC5A76"/>
    <w:rsid w:val="0AE169B4"/>
    <w:rsid w:val="0AEB04D7"/>
    <w:rsid w:val="0C711E58"/>
    <w:rsid w:val="0D2F6C3B"/>
    <w:rsid w:val="0E132B14"/>
    <w:rsid w:val="0E407175"/>
    <w:rsid w:val="10CF1421"/>
    <w:rsid w:val="11421D1E"/>
    <w:rsid w:val="11FE6610"/>
    <w:rsid w:val="13165211"/>
    <w:rsid w:val="136C3083"/>
    <w:rsid w:val="1573694A"/>
    <w:rsid w:val="16A14DF1"/>
    <w:rsid w:val="18681E96"/>
    <w:rsid w:val="18DA7DA8"/>
    <w:rsid w:val="19C12B42"/>
    <w:rsid w:val="1B900DE5"/>
    <w:rsid w:val="1BC52D4A"/>
    <w:rsid w:val="1C5B012F"/>
    <w:rsid w:val="1D436C02"/>
    <w:rsid w:val="1E1A7141"/>
    <w:rsid w:val="22486A69"/>
    <w:rsid w:val="231C0830"/>
    <w:rsid w:val="233C65F2"/>
    <w:rsid w:val="2BE94E19"/>
    <w:rsid w:val="2C0E487F"/>
    <w:rsid w:val="2C3D6F12"/>
    <w:rsid w:val="2D646E98"/>
    <w:rsid w:val="2DBD7C90"/>
    <w:rsid w:val="2F244BE1"/>
    <w:rsid w:val="2F77273B"/>
    <w:rsid w:val="2FEE1E32"/>
    <w:rsid w:val="30B654E5"/>
    <w:rsid w:val="30DC270F"/>
    <w:rsid w:val="3172765E"/>
    <w:rsid w:val="318D4B19"/>
    <w:rsid w:val="3192622A"/>
    <w:rsid w:val="31D130CB"/>
    <w:rsid w:val="32F545EF"/>
    <w:rsid w:val="346E0B89"/>
    <w:rsid w:val="359009FB"/>
    <w:rsid w:val="361D2108"/>
    <w:rsid w:val="37774A9D"/>
    <w:rsid w:val="38FE1B2E"/>
    <w:rsid w:val="3B8B3A6D"/>
    <w:rsid w:val="3BBF42A8"/>
    <w:rsid w:val="3C881811"/>
    <w:rsid w:val="3C925059"/>
    <w:rsid w:val="3D6059A1"/>
    <w:rsid w:val="4202058A"/>
    <w:rsid w:val="42DC34CF"/>
    <w:rsid w:val="43D72FEF"/>
    <w:rsid w:val="46DC3AA0"/>
    <w:rsid w:val="49115557"/>
    <w:rsid w:val="49ED34B2"/>
    <w:rsid w:val="4A51331A"/>
    <w:rsid w:val="4C1A4723"/>
    <w:rsid w:val="4C4E62BF"/>
    <w:rsid w:val="4D65676E"/>
    <w:rsid w:val="4E490343"/>
    <w:rsid w:val="4EA538EA"/>
    <w:rsid w:val="5114749D"/>
    <w:rsid w:val="518E1E3B"/>
    <w:rsid w:val="55173EF5"/>
    <w:rsid w:val="580E367A"/>
    <w:rsid w:val="58E61E29"/>
    <w:rsid w:val="599B55C5"/>
    <w:rsid w:val="5A5534F6"/>
    <w:rsid w:val="5AEB49CF"/>
    <w:rsid w:val="6220263B"/>
    <w:rsid w:val="62762FC1"/>
    <w:rsid w:val="645A7E85"/>
    <w:rsid w:val="647E1ECC"/>
    <w:rsid w:val="695232F6"/>
    <w:rsid w:val="6AB57FE0"/>
    <w:rsid w:val="6D8C5028"/>
    <w:rsid w:val="6DFB0400"/>
    <w:rsid w:val="6F58629E"/>
    <w:rsid w:val="6FB31B29"/>
    <w:rsid w:val="70C60851"/>
    <w:rsid w:val="71DA57CD"/>
    <w:rsid w:val="747801EE"/>
    <w:rsid w:val="74850A24"/>
    <w:rsid w:val="763403B2"/>
    <w:rsid w:val="77882F15"/>
    <w:rsid w:val="799139C7"/>
    <w:rsid w:val="79DD09BA"/>
    <w:rsid w:val="7A6D7F90"/>
    <w:rsid w:val="7B416312"/>
    <w:rsid w:val="7C5A0C61"/>
    <w:rsid w:val="7D197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sz w:val="44"/>
      <w:szCs w:val="44"/>
    </w:rPr>
  </w:style>
  <w:style w:type="paragraph" w:styleId="3">
    <w:name w:val="heading 2"/>
    <w:basedOn w:val="1"/>
    <w:next w:val="1"/>
    <w:link w:val="9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92"/>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93"/>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94"/>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95"/>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96"/>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97"/>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98"/>
    <w:unhideWhenUsed/>
    <w:qFormat/>
    <w:uiPriority w:val="9"/>
    <w:pPr>
      <w:keepNext/>
      <w:keepLines/>
      <w:spacing w:before="320" w:after="200"/>
      <w:outlineLvl w:val="8"/>
    </w:pPr>
    <w:rPr>
      <w:rFonts w:ascii="Arial" w:hAnsi="Arial" w:eastAsia="Arial" w:cs="Arial"/>
      <w:i/>
      <w:iCs/>
      <w:szCs w:val="21"/>
    </w:rPr>
  </w:style>
  <w:style w:type="character" w:default="1" w:styleId="41">
    <w:name w:val="Default Paragraph Font"/>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4">
    <w:name w:val="annotation text"/>
    <w:basedOn w:val="1"/>
    <w:link w:val="222"/>
    <w:unhideWhenUsed/>
    <w:qFormat/>
    <w:uiPriority w:val="99"/>
    <w:pPr>
      <w:jc w:val="left"/>
    </w:pPr>
  </w:style>
  <w:style w:type="paragraph" w:styleId="15">
    <w:name w:val="Body Text"/>
    <w:basedOn w:val="1"/>
    <w:next w:val="1"/>
    <w:qFormat/>
    <w:uiPriority w:val="99"/>
    <w:pPr>
      <w:spacing w:after="120"/>
    </w:pPr>
    <w:rPr>
      <w:sz w:val="24"/>
    </w:rPr>
  </w:style>
  <w:style w:type="paragraph" w:styleId="16">
    <w:name w:val="Body Text Indent"/>
    <w:basedOn w:val="1"/>
    <w:next w:val="17"/>
    <w:link w:val="280"/>
    <w:qFormat/>
    <w:uiPriority w:val="0"/>
    <w:pPr>
      <w:spacing w:after="120"/>
      <w:ind w:left="420"/>
    </w:pPr>
    <w:rPr>
      <w:sz w:val="24"/>
    </w:rPr>
  </w:style>
  <w:style w:type="paragraph" w:styleId="17">
    <w:name w:val="Body Text First Indent 2"/>
    <w:basedOn w:val="16"/>
    <w:qFormat/>
    <w:uiPriority w:val="0"/>
    <w:pPr>
      <w:spacing w:after="0" w:line="360" w:lineRule="auto"/>
      <w:ind w:left="0" w:firstLine="420"/>
    </w:pPr>
    <w:rPr>
      <w:rFonts w:ascii="宋体" w:hAnsi="宋体"/>
      <w:sz w:val="20"/>
    </w:rPr>
  </w:style>
  <w:style w:type="paragraph" w:styleId="18">
    <w:name w:val="index 4"/>
    <w:basedOn w:val="1"/>
    <w:next w:val="1"/>
    <w:qFormat/>
    <w:uiPriority w:val="0"/>
    <w:pPr>
      <w:ind w:left="1260"/>
    </w:pPr>
    <w:rPr>
      <w:rFonts w:ascii="Times New Roman" w:hAnsi="Times New Roman" w:eastAsia="宋体" w:cs="Times New Roman"/>
    </w:rPr>
  </w:style>
  <w:style w:type="paragraph" w:styleId="19">
    <w:name w:val="toc 5"/>
    <w:basedOn w:val="1"/>
    <w:next w:val="1"/>
    <w:unhideWhenUsed/>
    <w:qFormat/>
    <w:uiPriority w:val="39"/>
    <w:pPr>
      <w:spacing w:after="57"/>
      <w:ind w:left="1134"/>
    </w:pPr>
  </w:style>
  <w:style w:type="paragraph" w:styleId="20">
    <w:name w:val="toc 3"/>
    <w:basedOn w:val="1"/>
    <w:next w:val="1"/>
    <w:unhideWhenUsed/>
    <w:qFormat/>
    <w:uiPriority w:val="39"/>
    <w:pPr>
      <w:spacing w:after="57"/>
      <w:ind w:left="567"/>
    </w:pPr>
  </w:style>
  <w:style w:type="paragraph" w:styleId="21">
    <w:name w:val="toc 8"/>
    <w:basedOn w:val="1"/>
    <w:next w:val="1"/>
    <w:unhideWhenUsed/>
    <w:qFormat/>
    <w:uiPriority w:val="39"/>
    <w:pPr>
      <w:spacing w:after="57"/>
      <w:ind w:left="1984"/>
    </w:pPr>
  </w:style>
  <w:style w:type="paragraph" w:styleId="22">
    <w:name w:val="endnote text"/>
    <w:basedOn w:val="1"/>
    <w:link w:val="216"/>
    <w:semiHidden/>
    <w:unhideWhenUsed/>
    <w:qFormat/>
    <w:uiPriority w:val="99"/>
    <w:rPr>
      <w:sz w:val="20"/>
    </w:rPr>
  </w:style>
  <w:style w:type="paragraph" w:styleId="23">
    <w:name w:val="footer"/>
    <w:basedOn w:val="1"/>
    <w:link w:val="230"/>
    <w:unhideWhenUsed/>
    <w:qFormat/>
    <w:uiPriority w:val="99"/>
    <w:pPr>
      <w:tabs>
        <w:tab w:val="center" w:pos="4153"/>
        <w:tab w:val="right" w:pos="8306"/>
      </w:tabs>
    </w:pPr>
    <w:rPr>
      <w:sz w:val="18"/>
    </w:rPr>
  </w:style>
  <w:style w:type="paragraph" w:styleId="24">
    <w:name w:val="envelope return"/>
    <w:basedOn w:val="1"/>
    <w:qFormat/>
    <w:uiPriority w:val="0"/>
    <w:rPr>
      <w:rFonts w:ascii="Arial" w:hAnsi="Arial" w:eastAsia="宋体" w:cs="宋体"/>
    </w:rPr>
  </w:style>
  <w:style w:type="paragraph" w:styleId="25">
    <w:name w:val="header"/>
    <w:basedOn w:val="1"/>
    <w:link w:val="106"/>
    <w:unhideWhenUsed/>
    <w:qFormat/>
    <w:uiPriority w:val="99"/>
    <w:pPr>
      <w:tabs>
        <w:tab w:val="center" w:pos="7143"/>
        <w:tab w:val="right" w:pos="14287"/>
      </w:tabs>
    </w:pPr>
  </w:style>
  <w:style w:type="paragraph" w:styleId="26">
    <w:name w:val="toc 1"/>
    <w:basedOn w:val="1"/>
    <w:next w:val="1"/>
    <w:unhideWhenUsed/>
    <w:qFormat/>
    <w:uiPriority w:val="39"/>
    <w:pPr>
      <w:spacing w:after="57"/>
    </w:pPr>
  </w:style>
  <w:style w:type="paragraph" w:styleId="27">
    <w:name w:val="toc 4"/>
    <w:basedOn w:val="1"/>
    <w:next w:val="1"/>
    <w:unhideWhenUsed/>
    <w:qFormat/>
    <w:uiPriority w:val="39"/>
    <w:pPr>
      <w:spacing w:after="57"/>
      <w:ind w:left="850"/>
    </w:pPr>
  </w:style>
  <w:style w:type="paragraph" w:styleId="28">
    <w:name w:val="Subtitle"/>
    <w:basedOn w:val="1"/>
    <w:next w:val="1"/>
    <w:link w:val="101"/>
    <w:qFormat/>
    <w:uiPriority w:val="11"/>
    <w:pPr>
      <w:spacing w:before="200" w:after="200"/>
    </w:pPr>
    <w:rPr>
      <w:sz w:val="24"/>
    </w:rPr>
  </w:style>
  <w:style w:type="paragraph" w:styleId="29">
    <w:name w:val="footnote text"/>
    <w:basedOn w:val="1"/>
    <w:link w:val="215"/>
    <w:semiHidden/>
    <w:unhideWhenUsed/>
    <w:qFormat/>
    <w:uiPriority w:val="99"/>
    <w:pPr>
      <w:spacing w:after="40"/>
    </w:pPr>
    <w:rPr>
      <w:sz w:val="18"/>
    </w:rPr>
  </w:style>
  <w:style w:type="paragraph" w:styleId="30">
    <w:name w:val="toc 6"/>
    <w:basedOn w:val="1"/>
    <w:next w:val="1"/>
    <w:unhideWhenUsed/>
    <w:qFormat/>
    <w:uiPriority w:val="39"/>
    <w:pPr>
      <w:spacing w:after="57"/>
      <w:ind w:left="1417"/>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57"/>
      <w:ind w:left="283"/>
    </w:pPr>
  </w:style>
  <w:style w:type="paragraph" w:styleId="33">
    <w:name w:val="toc 9"/>
    <w:basedOn w:val="1"/>
    <w:next w:val="1"/>
    <w:unhideWhenUsed/>
    <w:qFormat/>
    <w:uiPriority w:val="39"/>
    <w:pPr>
      <w:spacing w:after="57"/>
      <w:ind w:left="2268"/>
    </w:pPr>
  </w:style>
  <w:style w:type="paragraph" w:styleId="34">
    <w:name w:val="Body Text 2"/>
    <w:basedOn w:val="1"/>
    <w:qFormat/>
    <w:uiPriority w:val="0"/>
    <w:pPr>
      <w:widowControl/>
      <w:tabs>
        <w:tab w:val="left" w:pos="0"/>
        <w:tab w:val="left" w:pos="993"/>
        <w:tab w:val="left" w:pos="1134"/>
      </w:tabs>
      <w:spacing w:line="240" w:lineRule="exact"/>
    </w:pPr>
    <w:rPr>
      <w:rFonts w:ascii="楷体_GB2312" w:eastAsia="楷体_GB2312"/>
      <w:sz w:val="18"/>
      <w:szCs w:val="20"/>
    </w:rPr>
  </w:style>
  <w:style w:type="paragraph" w:styleId="35">
    <w:name w:val="Normal (Web)"/>
    <w:basedOn w:val="1"/>
    <w:unhideWhenUsed/>
    <w:qFormat/>
    <w:uiPriority w:val="99"/>
    <w:pPr>
      <w:spacing w:before="100" w:beforeAutospacing="1" w:after="100" w:afterAutospacing="1"/>
    </w:pPr>
    <w:rPr>
      <w:rFonts w:ascii="宋体" w:hAnsi="宋体" w:cs="宋体"/>
      <w:sz w:val="24"/>
    </w:rPr>
  </w:style>
  <w:style w:type="paragraph" w:styleId="36">
    <w:name w:val="Title"/>
    <w:basedOn w:val="1"/>
    <w:next w:val="1"/>
    <w:link w:val="100"/>
    <w:qFormat/>
    <w:uiPriority w:val="10"/>
    <w:pPr>
      <w:spacing w:before="300" w:after="200"/>
      <w:contextualSpacing/>
    </w:pPr>
    <w:rPr>
      <w:sz w:val="48"/>
      <w:szCs w:val="48"/>
    </w:rPr>
  </w:style>
  <w:style w:type="paragraph" w:styleId="37">
    <w:name w:val="annotation subject"/>
    <w:basedOn w:val="14"/>
    <w:next w:val="14"/>
    <w:link w:val="223"/>
    <w:semiHidden/>
    <w:unhideWhenUsed/>
    <w:qFormat/>
    <w:uiPriority w:val="99"/>
    <w:rPr>
      <w:b/>
      <w:bCs/>
    </w:rPr>
  </w:style>
  <w:style w:type="paragraph" w:styleId="38">
    <w:name w:val="Body Text First Indent"/>
    <w:basedOn w:val="15"/>
    <w:qFormat/>
    <w:uiPriority w:val="0"/>
    <w:pPr>
      <w:ind w:firstLine="420"/>
    </w:p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endnote reference"/>
    <w:basedOn w:val="41"/>
    <w:semiHidden/>
    <w:unhideWhenUsed/>
    <w:qFormat/>
    <w:uiPriority w:val="99"/>
    <w:rPr>
      <w:vertAlign w:val="superscript"/>
    </w:rPr>
  </w:style>
  <w:style w:type="character" w:styleId="43">
    <w:name w:val="FollowedHyperlink"/>
    <w:basedOn w:val="41"/>
    <w:qFormat/>
    <w:uiPriority w:val="99"/>
    <w:rPr>
      <w:color w:val="800080"/>
      <w:u w:val="single"/>
    </w:rPr>
  </w:style>
  <w:style w:type="character" w:styleId="44">
    <w:name w:val="Emphasis"/>
    <w:qFormat/>
    <w:uiPriority w:val="20"/>
    <w:rPr>
      <w:i/>
      <w:iCs/>
    </w:rPr>
  </w:style>
  <w:style w:type="character" w:styleId="45">
    <w:name w:val="Hyperlink"/>
    <w:basedOn w:val="41"/>
    <w:qFormat/>
    <w:uiPriority w:val="99"/>
    <w:rPr>
      <w:color w:val="0000FF"/>
      <w:u w:val="single"/>
    </w:rPr>
  </w:style>
  <w:style w:type="character" w:styleId="46">
    <w:name w:val="annotation reference"/>
    <w:basedOn w:val="41"/>
    <w:semiHidden/>
    <w:unhideWhenUsed/>
    <w:qFormat/>
    <w:uiPriority w:val="99"/>
    <w:rPr>
      <w:sz w:val="21"/>
      <w:szCs w:val="21"/>
    </w:rPr>
  </w:style>
  <w:style w:type="character" w:styleId="47">
    <w:name w:val="footnote reference"/>
    <w:basedOn w:val="41"/>
    <w:unhideWhenUsed/>
    <w:qFormat/>
    <w:uiPriority w:val="99"/>
    <w:rPr>
      <w:vertAlign w:val="superscript"/>
    </w:rPr>
  </w:style>
  <w:style w:type="paragraph" w:customStyle="1" w:styleId="48">
    <w:name w:val="正文首缩两字"/>
    <w:basedOn w:val="1"/>
    <w:qFormat/>
    <w:uiPriority w:val="0"/>
    <w:pPr>
      <w:spacing w:line="360" w:lineRule="auto"/>
      <w:ind w:left="210" w:right="210" w:firstLine="480"/>
    </w:pPr>
    <w:rPr>
      <w:rFonts w:ascii="宋体" w:hAnsi="宋体" w:eastAsia="仿宋_GB2312"/>
      <w:sz w:val="24"/>
    </w:rPr>
  </w:style>
  <w:style w:type="table" w:customStyle="1" w:styleId="49">
    <w:name w:val="无格式表格 11"/>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0">
    <w:name w:val="无格式表格 21"/>
    <w:basedOn w:val="39"/>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1">
    <w:name w:val="无格式表格 31"/>
    <w:basedOn w:val="39"/>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2">
    <w:name w:val="无格式表格 41"/>
    <w:basedOn w:val="39"/>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无格式表格 51"/>
    <w:basedOn w:val="39"/>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网格表 1 浅色1"/>
    <w:basedOn w:val="39"/>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5">
    <w:name w:val="网格表 2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6">
    <w:name w:val="网格表 3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7">
    <w:name w:val="网格表 41"/>
    <w:basedOn w:val="39"/>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网格表 5 深色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59">
    <w:name w:val="网格表 6 彩色1"/>
    <w:basedOn w:val="39"/>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0">
    <w:name w:val="网格表 7 彩色1"/>
    <w:basedOn w:val="39"/>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1">
    <w:name w:val="清单表 1 浅色1"/>
    <w:basedOn w:val="39"/>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2">
    <w:name w:val="清单表 21"/>
    <w:basedOn w:val="39"/>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3">
    <w:name w:val="清单表 3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4">
    <w:name w:val="清单表 4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5">
    <w:name w:val="清单表 5 深色1"/>
    <w:basedOn w:val="39"/>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6">
    <w:name w:val="清单表 6 彩色1"/>
    <w:basedOn w:val="39"/>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7">
    <w:name w:val="清单表 7 彩色1"/>
    <w:basedOn w:val="39"/>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68">
    <w:name w:val="TOC 标题1"/>
    <w:unhideWhenUsed/>
    <w:qFormat/>
    <w:uiPriority w:val="39"/>
    <w:rPr>
      <w:rFonts w:ascii="Times New Roman" w:hAnsi="Times New Roman" w:eastAsia="宋体" w:cs="Times New Roman"/>
      <w:lang w:val="en-US" w:eastAsia="zh-CN" w:bidi="ar-SA"/>
    </w:rPr>
  </w:style>
  <w:style w:type="paragraph" w:customStyle="1" w:styleId="69">
    <w:name w:val="TOC 标题113"/>
    <w:unhideWhenUsed/>
    <w:qFormat/>
    <w:uiPriority w:val="39"/>
    <w:rPr>
      <w:rFonts w:ascii="Times New Roman" w:hAnsi="Times New Roman" w:eastAsia="宋体" w:cs="Times New Roman"/>
      <w:lang w:val="en-US" w:eastAsia="zh-CN" w:bidi="ar-SA"/>
    </w:rPr>
  </w:style>
  <w:style w:type="paragraph" w:customStyle="1" w:styleId="70">
    <w:name w:val="BodyText"/>
    <w:basedOn w:val="1"/>
    <w:qFormat/>
    <w:uiPriority w:val="0"/>
    <w:pPr>
      <w:spacing w:after="120"/>
    </w:pPr>
  </w:style>
  <w:style w:type="paragraph" w:customStyle="1" w:styleId="71">
    <w:name w:val="TOC 标题112"/>
    <w:unhideWhenUsed/>
    <w:qFormat/>
    <w:uiPriority w:val="39"/>
    <w:rPr>
      <w:rFonts w:ascii="Times New Roman" w:hAnsi="Times New Roman" w:eastAsia="宋体" w:cs="Times New Roman"/>
      <w:lang w:val="en-US" w:eastAsia="zh-CN" w:bidi="ar-SA"/>
    </w:rPr>
  </w:style>
  <w:style w:type="paragraph" w:customStyle="1" w:styleId="72">
    <w:name w:val="首行缩进"/>
    <w:basedOn w:val="1"/>
    <w:qFormat/>
    <w:uiPriority w:val="99"/>
    <w:pPr>
      <w:spacing w:line="360" w:lineRule="auto"/>
      <w:ind w:firstLine="480"/>
    </w:pPr>
    <w:rPr>
      <w:rFonts w:ascii="宋体" w:hAnsi="宋体"/>
      <w:sz w:val="24"/>
    </w:rPr>
  </w:style>
  <w:style w:type="character" w:customStyle="1" w:styleId="73">
    <w:name w:val="Heading 2 Char"/>
    <w:basedOn w:val="41"/>
    <w:qFormat/>
    <w:uiPriority w:val="9"/>
    <w:rPr>
      <w:rFonts w:ascii="Arial" w:hAnsi="Arial" w:eastAsia="Arial" w:cs="Arial"/>
      <w:sz w:val="34"/>
    </w:rPr>
  </w:style>
  <w:style w:type="character" w:customStyle="1" w:styleId="74">
    <w:name w:val="Heading 3 Char"/>
    <w:basedOn w:val="41"/>
    <w:qFormat/>
    <w:uiPriority w:val="9"/>
    <w:rPr>
      <w:rFonts w:ascii="Arial" w:hAnsi="Arial" w:eastAsia="Arial" w:cs="Arial"/>
      <w:sz w:val="30"/>
      <w:szCs w:val="30"/>
    </w:rPr>
  </w:style>
  <w:style w:type="character" w:customStyle="1" w:styleId="75">
    <w:name w:val="Heading 4 Char"/>
    <w:basedOn w:val="41"/>
    <w:qFormat/>
    <w:uiPriority w:val="9"/>
    <w:rPr>
      <w:rFonts w:ascii="Arial" w:hAnsi="Arial" w:eastAsia="Arial" w:cs="Arial"/>
      <w:b/>
      <w:bCs/>
      <w:sz w:val="26"/>
      <w:szCs w:val="26"/>
    </w:rPr>
  </w:style>
  <w:style w:type="character" w:customStyle="1" w:styleId="76">
    <w:name w:val="Heading 5 Char"/>
    <w:basedOn w:val="41"/>
    <w:qFormat/>
    <w:uiPriority w:val="9"/>
    <w:rPr>
      <w:rFonts w:ascii="Arial" w:hAnsi="Arial" w:eastAsia="Arial" w:cs="Arial"/>
      <w:b/>
      <w:bCs/>
      <w:sz w:val="24"/>
      <w:szCs w:val="24"/>
    </w:rPr>
  </w:style>
  <w:style w:type="character" w:customStyle="1" w:styleId="77">
    <w:name w:val="Heading 6 Char"/>
    <w:basedOn w:val="41"/>
    <w:qFormat/>
    <w:uiPriority w:val="9"/>
    <w:rPr>
      <w:rFonts w:ascii="Arial" w:hAnsi="Arial" w:eastAsia="Arial" w:cs="Arial"/>
      <w:b/>
      <w:bCs/>
      <w:sz w:val="22"/>
      <w:szCs w:val="22"/>
    </w:rPr>
  </w:style>
  <w:style w:type="character" w:customStyle="1" w:styleId="78">
    <w:name w:val="Heading 7 Char"/>
    <w:basedOn w:val="41"/>
    <w:qFormat/>
    <w:uiPriority w:val="9"/>
    <w:rPr>
      <w:rFonts w:ascii="Arial" w:hAnsi="Arial" w:eastAsia="Arial" w:cs="Arial"/>
      <w:b/>
      <w:bCs/>
      <w:i/>
      <w:iCs/>
      <w:sz w:val="22"/>
      <w:szCs w:val="22"/>
    </w:rPr>
  </w:style>
  <w:style w:type="character" w:customStyle="1" w:styleId="79">
    <w:name w:val="Heading 8 Char"/>
    <w:basedOn w:val="41"/>
    <w:qFormat/>
    <w:uiPriority w:val="9"/>
    <w:rPr>
      <w:rFonts w:ascii="Arial" w:hAnsi="Arial" w:eastAsia="Arial" w:cs="Arial"/>
      <w:i/>
      <w:iCs/>
      <w:sz w:val="22"/>
      <w:szCs w:val="22"/>
    </w:rPr>
  </w:style>
  <w:style w:type="character" w:customStyle="1" w:styleId="80">
    <w:name w:val="Heading 9 Char"/>
    <w:basedOn w:val="41"/>
    <w:qFormat/>
    <w:uiPriority w:val="9"/>
    <w:rPr>
      <w:rFonts w:ascii="Arial" w:hAnsi="Arial" w:eastAsia="Arial" w:cs="Arial"/>
      <w:i/>
      <w:iCs/>
      <w:sz w:val="21"/>
      <w:szCs w:val="21"/>
    </w:rPr>
  </w:style>
  <w:style w:type="character" w:customStyle="1" w:styleId="81">
    <w:name w:val="Title Char"/>
    <w:basedOn w:val="41"/>
    <w:qFormat/>
    <w:uiPriority w:val="10"/>
    <w:rPr>
      <w:sz w:val="48"/>
      <w:szCs w:val="48"/>
    </w:rPr>
  </w:style>
  <w:style w:type="character" w:customStyle="1" w:styleId="82">
    <w:name w:val="Subtitle Char"/>
    <w:basedOn w:val="41"/>
    <w:qFormat/>
    <w:uiPriority w:val="11"/>
    <w:rPr>
      <w:sz w:val="24"/>
      <w:szCs w:val="24"/>
    </w:rPr>
  </w:style>
  <w:style w:type="character" w:customStyle="1" w:styleId="83">
    <w:name w:val="Quote Char"/>
    <w:qFormat/>
    <w:uiPriority w:val="29"/>
    <w:rPr>
      <w:i/>
    </w:rPr>
  </w:style>
  <w:style w:type="character" w:customStyle="1" w:styleId="84">
    <w:name w:val="Intense Quote Char"/>
    <w:qFormat/>
    <w:uiPriority w:val="30"/>
    <w:rPr>
      <w:i/>
    </w:rPr>
  </w:style>
  <w:style w:type="character" w:customStyle="1" w:styleId="85">
    <w:name w:val="Header Char"/>
    <w:basedOn w:val="41"/>
    <w:qFormat/>
    <w:uiPriority w:val="99"/>
  </w:style>
  <w:style w:type="character" w:customStyle="1" w:styleId="86">
    <w:name w:val="Footnote Text Char"/>
    <w:qFormat/>
    <w:uiPriority w:val="99"/>
    <w:rPr>
      <w:sz w:val="18"/>
    </w:rPr>
  </w:style>
  <w:style w:type="character" w:customStyle="1" w:styleId="87">
    <w:name w:val="Endnote Text Char"/>
    <w:qFormat/>
    <w:uiPriority w:val="99"/>
    <w:rPr>
      <w:sz w:val="20"/>
    </w:rPr>
  </w:style>
  <w:style w:type="paragraph" w:customStyle="1" w:styleId="88">
    <w:name w:val="TOC 标题111"/>
    <w:unhideWhenUsed/>
    <w:qFormat/>
    <w:uiPriority w:val="39"/>
    <w:rPr>
      <w:rFonts w:ascii="Times New Roman" w:hAnsi="Times New Roman" w:eastAsia="宋体" w:cs="Times New Roman"/>
      <w:lang w:val="en-US" w:eastAsia="zh-CN" w:bidi="ar-SA"/>
    </w:rPr>
  </w:style>
  <w:style w:type="paragraph" w:styleId="89">
    <w:name w:val="List Paragraph"/>
    <w:basedOn w:val="1"/>
    <w:qFormat/>
    <w:uiPriority w:val="34"/>
    <w:pPr>
      <w:ind w:firstLine="420"/>
    </w:pPr>
  </w:style>
  <w:style w:type="character" w:customStyle="1" w:styleId="90">
    <w:name w:val="Heading 1 Char"/>
    <w:basedOn w:val="41"/>
    <w:qFormat/>
    <w:uiPriority w:val="9"/>
    <w:rPr>
      <w:rFonts w:ascii="Arial" w:hAnsi="Arial" w:eastAsia="Arial" w:cs="Arial"/>
      <w:sz w:val="40"/>
      <w:szCs w:val="40"/>
    </w:rPr>
  </w:style>
  <w:style w:type="character" w:customStyle="1" w:styleId="91">
    <w:name w:val="标题 2 字符"/>
    <w:basedOn w:val="41"/>
    <w:link w:val="3"/>
    <w:qFormat/>
    <w:uiPriority w:val="9"/>
    <w:rPr>
      <w:rFonts w:ascii="Arial" w:hAnsi="Arial" w:eastAsia="Arial" w:cs="Arial"/>
      <w:sz w:val="34"/>
    </w:rPr>
  </w:style>
  <w:style w:type="character" w:customStyle="1" w:styleId="92">
    <w:name w:val="标题 3 字符"/>
    <w:basedOn w:val="41"/>
    <w:link w:val="4"/>
    <w:qFormat/>
    <w:uiPriority w:val="9"/>
    <w:rPr>
      <w:rFonts w:ascii="Arial" w:hAnsi="Arial" w:eastAsia="Arial" w:cs="Arial"/>
      <w:sz w:val="30"/>
      <w:szCs w:val="30"/>
    </w:rPr>
  </w:style>
  <w:style w:type="character" w:customStyle="1" w:styleId="93">
    <w:name w:val="标题 4 字符"/>
    <w:basedOn w:val="41"/>
    <w:link w:val="5"/>
    <w:qFormat/>
    <w:uiPriority w:val="9"/>
    <w:rPr>
      <w:rFonts w:ascii="Arial" w:hAnsi="Arial" w:eastAsia="Arial" w:cs="Arial"/>
      <w:b/>
      <w:bCs/>
      <w:sz w:val="26"/>
      <w:szCs w:val="26"/>
    </w:rPr>
  </w:style>
  <w:style w:type="character" w:customStyle="1" w:styleId="94">
    <w:name w:val="标题 5 字符"/>
    <w:basedOn w:val="41"/>
    <w:link w:val="6"/>
    <w:qFormat/>
    <w:uiPriority w:val="9"/>
    <w:rPr>
      <w:rFonts w:ascii="Arial" w:hAnsi="Arial" w:eastAsia="Arial" w:cs="Arial"/>
      <w:b/>
      <w:bCs/>
      <w:sz w:val="24"/>
      <w:szCs w:val="24"/>
    </w:rPr>
  </w:style>
  <w:style w:type="character" w:customStyle="1" w:styleId="95">
    <w:name w:val="标题 6 字符"/>
    <w:basedOn w:val="41"/>
    <w:link w:val="7"/>
    <w:qFormat/>
    <w:uiPriority w:val="9"/>
    <w:rPr>
      <w:rFonts w:ascii="Arial" w:hAnsi="Arial" w:eastAsia="Arial" w:cs="Arial"/>
      <w:b/>
      <w:bCs/>
      <w:sz w:val="22"/>
      <w:szCs w:val="22"/>
    </w:rPr>
  </w:style>
  <w:style w:type="character" w:customStyle="1" w:styleId="96">
    <w:name w:val="标题 7 字符"/>
    <w:basedOn w:val="41"/>
    <w:link w:val="8"/>
    <w:qFormat/>
    <w:uiPriority w:val="9"/>
    <w:rPr>
      <w:rFonts w:ascii="Arial" w:hAnsi="Arial" w:eastAsia="Arial" w:cs="Arial"/>
      <w:b/>
      <w:bCs/>
      <w:i/>
      <w:iCs/>
      <w:sz w:val="22"/>
      <w:szCs w:val="22"/>
    </w:rPr>
  </w:style>
  <w:style w:type="character" w:customStyle="1" w:styleId="97">
    <w:name w:val="标题 8 字符"/>
    <w:basedOn w:val="41"/>
    <w:link w:val="9"/>
    <w:qFormat/>
    <w:uiPriority w:val="9"/>
    <w:rPr>
      <w:rFonts w:ascii="Arial" w:hAnsi="Arial" w:eastAsia="Arial" w:cs="Arial"/>
      <w:i/>
      <w:iCs/>
      <w:sz w:val="22"/>
      <w:szCs w:val="22"/>
    </w:rPr>
  </w:style>
  <w:style w:type="character" w:customStyle="1" w:styleId="98">
    <w:name w:val="标题 9 字符"/>
    <w:basedOn w:val="41"/>
    <w:link w:val="10"/>
    <w:qFormat/>
    <w:uiPriority w:val="9"/>
    <w:rPr>
      <w:rFonts w:ascii="Arial" w:hAnsi="Arial" w:eastAsia="Arial" w:cs="Arial"/>
      <w:i/>
      <w:iCs/>
      <w:sz w:val="21"/>
      <w:szCs w:val="21"/>
    </w:rPr>
  </w:style>
  <w:style w:type="paragraph" w:styleId="99">
    <w:name w:val="No Spacing"/>
    <w:qFormat/>
    <w:uiPriority w:val="1"/>
    <w:rPr>
      <w:rFonts w:asciiTheme="minorHAnsi" w:hAnsiTheme="minorHAnsi" w:eastAsiaTheme="minorEastAsia" w:cstheme="minorBidi"/>
      <w:lang w:val="en-US" w:eastAsia="zh-CN" w:bidi="ar-SA"/>
    </w:rPr>
  </w:style>
  <w:style w:type="character" w:customStyle="1" w:styleId="100">
    <w:name w:val="标题 字符"/>
    <w:basedOn w:val="41"/>
    <w:link w:val="36"/>
    <w:qFormat/>
    <w:uiPriority w:val="10"/>
    <w:rPr>
      <w:sz w:val="48"/>
      <w:szCs w:val="48"/>
    </w:rPr>
  </w:style>
  <w:style w:type="character" w:customStyle="1" w:styleId="101">
    <w:name w:val="副标题 字符"/>
    <w:basedOn w:val="41"/>
    <w:link w:val="28"/>
    <w:qFormat/>
    <w:uiPriority w:val="11"/>
    <w:rPr>
      <w:sz w:val="24"/>
      <w:szCs w:val="24"/>
    </w:rPr>
  </w:style>
  <w:style w:type="paragraph" w:styleId="102">
    <w:name w:val="Quote"/>
    <w:basedOn w:val="1"/>
    <w:next w:val="1"/>
    <w:link w:val="103"/>
    <w:qFormat/>
    <w:uiPriority w:val="29"/>
    <w:pPr>
      <w:ind w:left="720" w:right="720"/>
    </w:pPr>
    <w:rPr>
      <w:i/>
    </w:rPr>
  </w:style>
  <w:style w:type="character" w:customStyle="1" w:styleId="103">
    <w:name w:val="引用 字符"/>
    <w:link w:val="102"/>
    <w:qFormat/>
    <w:uiPriority w:val="29"/>
    <w:rPr>
      <w:i/>
    </w:rPr>
  </w:style>
  <w:style w:type="paragraph" w:styleId="104">
    <w:name w:val="Intense Quote"/>
    <w:basedOn w:val="1"/>
    <w:next w:val="1"/>
    <w:link w:val="10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05">
    <w:name w:val="明显引用 字符"/>
    <w:link w:val="104"/>
    <w:qFormat/>
    <w:uiPriority w:val="30"/>
    <w:rPr>
      <w:i/>
    </w:rPr>
  </w:style>
  <w:style w:type="character" w:customStyle="1" w:styleId="106">
    <w:name w:val="页眉 字符"/>
    <w:basedOn w:val="41"/>
    <w:link w:val="25"/>
    <w:qFormat/>
    <w:uiPriority w:val="99"/>
  </w:style>
  <w:style w:type="character" w:customStyle="1" w:styleId="107">
    <w:name w:val="Footer Char"/>
    <w:basedOn w:val="41"/>
    <w:qFormat/>
    <w:uiPriority w:val="99"/>
  </w:style>
  <w:style w:type="character" w:customStyle="1" w:styleId="108">
    <w:name w:val="Caption Char"/>
    <w:qFormat/>
    <w:uiPriority w:val="99"/>
  </w:style>
  <w:style w:type="table" w:customStyle="1" w:styleId="109">
    <w:name w:val="Table Grid Light"/>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10">
    <w:name w:val="Grid Table 1 Light - Accent 1"/>
    <w:basedOn w:val="39"/>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11">
    <w:name w:val="Grid Table 1 Light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12">
    <w:name w:val="Grid Table 1 Light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13">
    <w:name w:val="Grid Table 1 Light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14">
    <w:name w:val="Grid Table 1 Light - Accent 5"/>
    <w:basedOn w:val="39"/>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15">
    <w:name w:val="Grid Table 1 Light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16">
    <w:name w:val="Grid Table 2 - Accent 1"/>
    <w:basedOn w:val="39"/>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17">
    <w:name w:val="Grid Table 2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8">
    <w:name w:val="Grid Table 2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9">
    <w:name w:val="Grid Table 2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0">
    <w:name w:val="Grid Table 2 - Accent 5"/>
    <w:basedOn w:val="39"/>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1">
    <w:name w:val="Grid Table 2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2">
    <w:name w:val="Grid Table 3 - Accent 1"/>
    <w:basedOn w:val="39"/>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23">
    <w:name w:val="Grid Table 3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24">
    <w:name w:val="Grid Table 3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25">
    <w:name w:val="Grid Table 3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6">
    <w:name w:val="Grid Table 3 - Accent 5"/>
    <w:basedOn w:val="39"/>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7">
    <w:name w:val="Grid Table 3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8">
    <w:name w:val="Grid Table 4 - Accent 1"/>
    <w:basedOn w:val="39"/>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29">
    <w:name w:val="Grid Table 4 - Accent 2"/>
    <w:basedOn w:val="39"/>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30">
    <w:name w:val="Grid Table 4 - Accent 3"/>
    <w:basedOn w:val="39"/>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31">
    <w:name w:val="Grid Table 4 - Accent 4"/>
    <w:basedOn w:val="39"/>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32">
    <w:name w:val="Grid Table 4 - Accent 5"/>
    <w:basedOn w:val="39"/>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33">
    <w:name w:val="Grid Table 4 - Accent 6"/>
    <w:basedOn w:val="39"/>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34">
    <w:name w:val="Grid Table 5 Dark- Accent 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35">
    <w:name w:val="Grid Table 5 Dark - Accent 2"/>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36">
    <w:name w:val="Grid Table 5 Dark - Accent 3"/>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37">
    <w:name w:val="Grid Table 5 Dark- Accent 4"/>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38">
    <w:name w:val="Grid Table 5 Dark - Accent 5"/>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39">
    <w:name w:val="Grid Table 5 Dark - Accent 6"/>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40">
    <w:name w:val="Grid Table 6 Colorful - Accent 1"/>
    <w:basedOn w:val="39"/>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41">
    <w:name w:val="Grid Table 6 Colorful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2">
    <w:name w:val="Grid Table 6 Colorful - Accent 3"/>
    <w:basedOn w:val="39"/>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43">
    <w:name w:val="Grid Table 6 Colorful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4">
    <w:name w:val="Grid Table 6 Colorful - Accent 5"/>
    <w:basedOn w:val="39"/>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45">
    <w:name w:val="Grid Table 6 Colorful - Accent 6"/>
    <w:basedOn w:val="39"/>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46">
    <w:name w:val="Grid Table 7 Colorful - Accent 1"/>
    <w:basedOn w:val="39"/>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47">
    <w:name w:val="Grid Table 7 Colorful - Accent 2"/>
    <w:basedOn w:val="39"/>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8">
    <w:name w:val="Grid Table 7 Colorful - Accent 3"/>
    <w:basedOn w:val="39"/>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49">
    <w:name w:val="Grid Table 7 Colorful - Accent 4"/>
    <w:basedOn w:val="39"/>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0">
    <w:name w:val="Grid Table 7 Colorful - Accent 5"/>
    <w:basedOn w:val="39"/>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51">
    <w:name w:val="Grid Table 7 Colorful - Accent 6"/>
    <w:basedOn w:val="39"/>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52">
    <w:name w:val="List Table 1 Light - Accent 1"/>
    <w:basedOn w:val="39"/>
    <w:qFormat/>
    <w:uiPriority w:val="99"/>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53">
    <w:name w:val="List Table 1 Light - Accent 2"/>
    <w:basedOn w:val="39"/>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54">
    <w:name w:val="List Table 1 Light - Accent 3"/>
    <w:basedOn w:val="39"/>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55">
    <w:name w:val="List Table 1 Light - Accent 4"/>
    <w:basedOn w:val="39"/>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56">
    <w:name w:val="List Table 1 Light - Accent 5"/>
    <w:basedOn w:val="39"/>
    <w:qFormat/>
    <w:uiPriority w:val="99"/>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57">
    <w:name w:val="List Table 1 Light - Accent 6"/>
    <w:basedOn w:val="39"/>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58">
    <w:name w:val="List Table 2 - Accent 1"/>
    <w:basedOn w:val="39"/>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59">
    <w:name w:val="List Table 2 - Accent 2"/>
    <w:basedOn w:val="39"/>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0">
    <w:name w:val="List Table 2 - Accent 3"/>
    <w:basedOn w:val="39"/>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61">
    <w:name w:val="List Table 2 - Accent 4"/>
    <w:basedOn w:val="39"/>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62">
    <w:name w:val="List Table 2 - Accent 5"/>
    <w:basedOn w:val="39"/>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63">
    <w:name w:val="List Table 2 - Accent 6"/>
    <w:basedOn w:val="39"/>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64">
    <w:name w:val="List Table 3 - Accent 1"/>
    <w:basedOn w:val="39"/>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65">
    <w:name w:val="List Table 3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66">
    <w:name w:val="List Table 3 - Accent 3"/>
    <w:basedOn w:val="39"/>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67">
    <w:name w:val="List Table 3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68">
    <w:name w:val="List Table 3 - Accent 5"/>
    <w:basedOn w:val="39"/>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69">
    <w:name w:val="List Table 3 - Accent 6"/>
    <w:basedOn w:val="39"/>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70">
    <w:name w:val="List Table 4 - Accent 1"/>
    <w:basedOn w:val="39"/>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71">
    <w:name w:val="List Table 4 - Accent 2"/>
    <w:basedOn w:val="39"/>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72">
    <w:name w:val="List Table 4 - Accent 3"/>
    <w:basedOn w:val="39"/>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73">
    <w:name w:val="List Table 4 - Accent 4"/>
    <w:basedOn w:val="39"/>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74">
    <w:name w:val="List Table 4 - Accent 5"/>
    <w:basedOn w:val="39"/>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75">
    <w:name w:val="List Table 4 - Accent 6"/>
    <w:basedOn w:val="39"/>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76">
    <w:name w:val="List Table 5 Dark - Accent 1"/>
    <w:basedOn w:val="39"/>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77">
    <w:name w:val="List Table 5 Dark - Accent 2"/>
    <w:basedOn w:val="39"/>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78">
    <w:name w:val="List Table 5 Dark - Accent 3"/>
    <w:basedOn w:val="39"/>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79">
    <w:name w:val="List Table 5 Dark - Accent 4"/>
    <w:basedOn w:val="39"/>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80">
    <w:name w:val="List Table 5 Dark - Accent 5"/>
    <w:basedOn w:val="39"/>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81">
    <w:name w:val="List Table 5 Dark - Accent 6"/>
    <w:basedOn w:val="39"/>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82">
    <w:name w:val="List Table 6 Colorful - Accent 1"/>
    <w:basedOn w:val="39"/>
    <w:qFormat/>
    <w:uiPriority w:val="99"/>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3">
    <w:name w:val="List Table 6 Colorful - Accent 2"/>
    <w:basedOn w:val="39"/>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4">
    <w:name w:val="List Table 6 Colorful - Accent 3"/>
    <w:basedOn w:val="39"/>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5">
    <w:name w:val="List Table 6 Colorful - Accent 4"/>
    <w:basedOn w:val="39"/>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6">
    <w:name w:val="List Table 6 Colorful - Accent 5"/>
    <w:basedOn w:val="39"/>
    <w:qFormat/>
    <w:uiPriority w:val="99"/>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87">
    <w:name w:val="List Table 6 Colorful - Accent 6"/>
    <w:basedOn w:val="39"/>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8">
    <w:name w:val="List Table 7 Colorful - Accent 1"/>
    <w:basedOn w:val="39"/>
    <w:qFormat/>
    <w:uiPriority w:val="99"/>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9">
    <w:name w:val="List Table 7 Colorful - Accent 2"/>
    <w:basedOn w:val="39"/>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90">
    <w:name w:val="List Table 7 Colorful - Accent 3"/>
    <w:basedOn w:val="39"/>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91">
    <w:name w:val="List Table 7 Colorful - Accent 4"/>
    <w:basedOn w:val="39"/>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92">
    <w:name w:val="List Table 7 Colorful - Accent 5"/>
    <w:basedOn w:val="39"/>
    <w:qFormat/>
    <w:uiPriority w:val="99"/>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93">
    <w:name w:val="List Table 7 Colorful - Accent 6"/>
    <w:basedOn w:val="39"/>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94">
    <w:name w:val="Lined - Accent"/>
    <w:basedOn w:val="39"/>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5">
    <w:name w:val="Lined - Accent 1"/>
    <w:basedOn w:val="39"/>
    <w:qFormat/>
    <w:uiPriority w:val="99"/>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96">
    <w:name w:val="Lined - Accent 2"/>
    <w:basedOn w:val="39"/>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7">
    <w:name w:val="Lined - Accent 3"/>
    <w:basedOn w:val="39"/>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8">
    <w:name w:val="Lined - Accent 4"/>
    <w:basedOn w:val="39"/>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9">
    <w:name w:val="Lined - Accent 5"/>
    <w:basedOn w:val="39"/>
    <w:qFormat/>
    <w:uiPriority w:val="99"/>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0">
    <w:name w:val="Lined - Accent 6"/>
    <w:basedOn w:val="39"/>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1">
    <w:name w:val="Bordered &amp; Lined - Accent"/>
    <w:basedOn w:val="39"/>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2">
    <w:name w:val="Bordered &amp; Lined - Accent 1"/>
    <w:basedOn w:val="39"/>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03">
    <w:name w:val="Bordered &amp; Lined - Accent 2"/>
    <w:basedOn w:val="39"/>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04">
    <w:name w:val="Bordered &amp; Lined - Accent 3"/>
    <w:basedOn w:val="39"/>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05">
    <w:name w:val="Bordered &amp; Lined - Accent 4"/>
    <w:basedOn w:val="39"/>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06">
    <w:name w:val="Bordered &amp; Lined - Accent 5"/>
    <w:basedOn w:val="39"/>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7">
    <w:name w:val="Bordered &amp; Lined - Accent 6"/>
    <w:basedOn w:val="39"/>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8">
    <w:name w:val="Bordered"/>
    <w:basedOn w:val="39"/>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9">
    <w:name w:val="Bordered - Accent 1"/>
    <w:basedOn w:val="39"/>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10">
    <w:name w:val="Bordered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11">
    <w:name w:val="Bordered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12">
    <w:name w:val="Bordered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13">
    <w:name w:val="Bordered - Accent 5"/>
    <w:basedOn w:val="39"/>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14">
    <w:name w:val="Bordered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15">
    <w:name w:val="脚注文本 字符"/>
    <w:link w:val="29"/>
    <w:qFormat/>
    <w:uiPriority w:val="99"/>
    <w:rPr>
      <w:sz w:val="18"/>
    </w:rPr>
  </w:style>
  <w:style w:type="character" w:customStyle="1" w:styleId="216">
    <w:name w:val="尾注文本 字符"/>
    <w:link w:val="22"/>
    <w:qFormat/>
    <w:uiPriority w:val="99"/>
    <w:rPr>
      <w:sz w:val="20"/>
    </w:rPr>
  </w:style>
  <w:style w:type="paragraph" w:customStyle="1" w:styleId="217">
    <w:name w:val="TOC 标题11"/>
    <w:unhideWhenUsed/>
    <w:qFormat/>
    <w:uiPriority w:val="39"/>
    <w:rPr>
      <w:rFonts w:asciiTheme="minorHAnsi" w:hAnsiTheme="minorHAnsi" w:eastAsiaTheme="minorEastAsia" w:cstheme="minorBidi"/>
      <w:lang w:val="en-US" w:eastAsia="zh-CN" w:bidi="ar-SA"/>
    </w:rPr>
  </w:style>
  <w:style w:type="character" w:customStyle="1" w:styleId="218">
    <w:name w:val="font41"/>
    <w:basedOn w:val="41"/>
    <w:qFormat/>
    <w:uiPriority w:val="0"/>
    <w:rPr>
      <w:rFonts w:hint="eastAsia" w:ascii="宋体" w:hAnsi="宋体" w:eastAsia="宋体" w:cs="宋体"/>
      <w:color w:val="2C42EA"/>
      <w:sz w:val="22"/>
      <w:szCs w:val="22"/>
      <w:u w:val="none"/>
    </w:rPr>
  </w:style>
  <w:style w:type="paragraph" w:customStyle="1" w:styleId="219">
    <w:name w:val="Table Paragraph"/>
    <w:basedOn w:val="1"/>
    <w:qFormat/>
    <w:uiPriority w:val="1"/>
  </w:style>
  <w:style w:type="paragraph" w:customStyle="1" w:styleId="220">
    <w:name w:val="正文_6_0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21">
    <w:name w:val="正文_4_0_0"/>
    <w:qFormat/>
    <w:uiPriority w:val="0"/>
    <w:pPr>
      <w:widowControl w:val="0"/>
      <w:jc w:val="both"/>
    </w:pPr>
    <w:rPr>
      <w:rFonts w:ascii="Times New Roman" w:hAnsi="Times New Roman" w:eastAsia="宋体" w:cs="Times New Roman"/>
      <w:sz w:val="21"/>
      <w:lang w:val="en-US" w:eastAsia="zh-CN" w:bidi="ar-SA"/>
    </w:rPr>
  </w:style>
  <w:style w:type="character" w:customStyle="1" w:styleId="222">
    <w:name w:val="批注文字 字符"/>
    <w:basedOn w:val="41"/>
    <w:link w:val="14"/>
    <w:qFormat/>
    <w:uiPriority w:val="99"/>
    <w:rPr>
      <w:rFonts w:asciiTheme="minorHAnsi" w:hAnsiTheme="minorHAnsi" w:eastAsiaTheme="minorEastAsia" w:cstheme="minorBidi"/>
      <w:sz w:val="21"/>
      <w:szCs w:val="24"/>
    </w:rPr>
  </w:style>
  <w:style w:type="character" w:customStyle="1" w:styleId="223">
    <w:name w:val="批注主题 字符"/>
    <w:basedOn w:val="222"/>
    <w:link w:val="37"/>
    <w:semiHidden/>
    <w:qFormat/>
    <w:uiPriority w:val="99"/>
    <w:rPr>
      <w:rFonts w:asciiTheme="minorHAnsi" w:hAnsiTheme="minorHAnsi" w:eastAsiaTheme="minorEastAsia" w:cstheme="minorBidi"/>
      <w:b/>
      <w:bCs/>
      <w:sz w:val="21"/>
      <w:szCs w:val="24"/>
    </w:rPr>
  </w:style>
  <w:style w:type="paragraph" w:customStyle="1" w:styleId="224">
    <w:name w:val="正文文本1"/>
    <w:basedOn w:val="225"/>
    <w:next w:val="1"/>
    <w:qFormat/>
    <w:uiPriority w:val="0"/>
    <w:pPr>
      <w:spacing w:after="120"/>
    </w:pPr>
    <w:rPr>
      <w:sz w:val="28"/>
    </w:rPr>
  </w:style>
  <w:style w:type="paragraph" w:customStyle="1" w:styleId="225">
    <w:name w:val="正文1"/>
    <w:next w:val="224"/>
    <w:qFormat/>
    <w:uiPriority w:val="0"/>
    <w:pPr>
      <w:widowControl w:val="0"/>
      <w:jc w:val="both"/>
    </w:pPr>
    <w:rPr>
      <w:rFonts w:ascii="Calibri" w:hAnsi="Calibri" w:eastAsia="宋体" w:cs="Times New Roman"/>
      <w:sz w:val="21"/>
      <w:szCs w:val="22"/>
      <w:lang w:val="en-US" w:eastAsia="zh-CN" w:bidi="ar-SA"/>
    </w:rPr>
  </w:style>
  <w:style w:type="character" w:customStyle="1" w:styleId="226">
    <w:name w:val="22 C"/>
    <w:qFormat/>
    <w:uiPriority w:val="0"/>
    <w:rPr>
      <w:rFonts w:ascii="Arial" w:hAnsi="Arial" w:eastAsia="黑体"/>
      <w:b/>
      <w:color w:val="000000"/>
      <w:sz w:val="30"/>
      <w:lang w:val="en-US" w:eastAsia="zh-CN"/>
    </w:rPr>
  </w:style>
  <w:style w:type="table" w:customStyle="1" w:styleId="227">
    <w:name w:val="Table Normal"/>
    <w:qFormat/>
    <w:uiPriority w:val="0"/>
    <w:tblPr>
      <w:tblCellMar>
        <w:top w:w="0" w:type="dxa"/>
        <w:left w:w="0" w:type="dxa"/>
        <w:bottom w:w="0" w:type="dxa"/>
        <w:right w:w="0" w:type="dxa"/>
      </w:tblCellMar>
    </w:tblPr>
  </w:style>
  <w:style w:type="character" w:customStyle="1" w:styleId="228">
    <w:name w:val="style4"/>
    <w:qFormat/>
    <w:uiPriority w:val="0"/>
  </w:style>
  <w:style w:type="paragraph" w:customStyle="1" w:styleId="229">
    <w:name w:val="Table Text"/>
    <w:basedOn w:val="1"/>
    <w:semiHidden/>
    <w:qFormat/>
    <w:uiPriority w:val="0"/>
    <w:rPr>
      <w:rFonts w:ascii="宋体" w:hAnsi="宋体" w:eastAsia="宋体" w:cs="宋体"/>
      <w:szCs w:val="21"/>
      <w:lang w:eastAsia="en-US"/>
    </w:rPr>
  </w:style>
  <w:style w:type="character" w:customStyle="1" w:styleId="230">
    <w:name w:val="页脚 字符"/>
    <w:basedOn w:val="41"/>
    <w:link w:val="23"/>
    <w:qFormat/>
    <w:uiPriority w:val="99"/>
    <w:rPr>
      <w:rFonts w:asciiTheme="minorHAnsi" w:hAnsiTheme="minorHAnsi" w:eastAsiaTheme="minorEastAsia" w:cstheme="minorBidi"/>
      <w:sz w:val="18"/>
      <w:szCs w:val="24"/>
    </w:rPr>
  </w:style>
  <w:style w:type="paragraph" w:customStyle="1" w:styleId="231">
    <w:name w:val="☆ 正文"/>
    <w:basedOn w:val="1"/>
    <w:qFormat/>
    <w:uiPriority w:val="0"/>
    <w:rPr>
      <w:rFonts w:eastAsia="宋体" w:cs="Times New Roman"/>
      <w:szCs w:val="22"/>
    </w:rPr>
  </w:style>
  <w:style w:type="paragraph" w:customStyle="1" w:styleId="232">
    <w:name w:val="普通正文"/>
    <w:basedOn w:val="1"/>
    <w:qFormat/>
    <w:uiPriority w:val="0"/>
    <w:pPr>
      <w:spacing w:before="120" w:after="120" w:line="360" w:lineRule="auto"/>
      <w:ind w:firstLine="480"/>
      <w:jc w:val="left"/>
    </w:pPr>
    <w:rPr>
      <w:rFonts w:ascii="Arial" w:hAnsi="Arial" w:eastAsia="宋体" w:cs="Times New Roman"/>
      <w:sz w:val="24"/>
    </w:rPr>
  </w:style>
  <w:style w:type="paragraph" w:customStyle="1" w:styleId="233">
    <w:name w:val="msonormal"/>
    <w:basedOn w:val="1"/>
    <w:qFormat/>
    <w:uiPriority w:val="0"/>
    <w:pPr>
      <w:widowControl/>
      <w:spacing w:before="100" w:beforeAutospacing="1" w:after="100" w:afterAutospacing="1"/>
      <w:jc w:val="left"/>
    </w:pPr>
    <w:rPr>
      <w:rFonts w:ascii="宋体" w:hAnsi="宋体" w:eastAsia="宋体" w:cs="宋体"/>
      <w:sz w:val="24"/>
    </w:rPr>
  </w:style>
  <w:style w:type="paragraph" w:customStyle="1" w:styleId="234">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235">
    <w:name w:val="font6"/>
    <w:basedOn w:val="1"/>
    <w:qFormat/>
    <w:uiPriority w:val="0"/>
    <w:pPr>
      <w:widowControl/>
      <w:spacing w:before="100" w:beforeAutospacing="1" w:after="100" w:afterAutospacing="1"/>
      <w:jc w:val="left"/>
    </w:pPr>
    <w:rPr>
      <w:rFonts w:ascii="宋体" w:hAnsi="宋体" w:eastAsia="宋体" w:cs="宋体"/>
      <w:color w:val="000000"/>
      <w:sz w:val="22"/>
      <w:szCs w:val="22"/>
    </w:rPr>
  </w:style>
  <w:style w:type="paragraph" w:customStyle="1" w:styleId="236">
    <w:name w:val="font7"/>
    <w:basedOn w:val="1"/>
    <w:qFormat/>
    <w:uiPriority w:val="0"/>
    <w:pPr>
      <w:widowControl/>
      <w:spacing w:before="100" w:beforeAutospacing="1" w:after="100" w:afterAutospacing="1"/>
      <w:jc w:val="left"/>
    </w:pPr>
    <w:rPr>
      <w:rFonts w:ascii="宋体" w:hAnsi="宋体" w:eastAsia="宋体" w:cs="宋体"/>
      <w:color w:val="000000"/>
      <w:sz w:val="22"/>
      <w:szCs w:val="22"/>
      <w:u w:val="single"/>
    </w:rPr>
  </w:style>
  <w:style w:type="paragraph" w:customStyle="1" w:styleId="237">
    <w:name w:val="xl64"/>
    <w:basedOn w:val="1"/>
    <w:qFormat/>
    <w:uiPriority w:val="0"/>
    <w:pPr>
      <w:widowControl/>
      <w:pBdr>
        <w:top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38">
    <w:name w:val="xl65"/>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39">
    <w:name w:val="xl66"/>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0">
    <w:name w:val="xl67"/>
    <w:basedOn w:val="1"/>
    <w:qFormat/>
    <w:uiPriority w:val="0"/>
    <w:pPr>
      <w:widowControl/>
      <w:pBdr>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1">
    <w:name w:val="xl68"/>
    <w:basedOn w:val="1"/>
    <w:qFormat/>
    <w:uiPriority w:val="0"/>
    <w:pPr>
      <w:widowControl/>
      <w:pBdr>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42">
    <w:name w:val="xl69"/>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3">
    <w:name w:val="xl70"/>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4">
    <w:name w:val="xl71"/>
    <w:basedOn w:val="1"/>
    <w:qFormat/>
    <w:uiPriority w:val="0"/>
    <w:pPr>
      <w:widowControl/>
      <w:pBdr>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5">
    <w:name w:val="xl72"/>
    <w:basedOn w:val="1"/>
    <w:qFormat/>
    <w:uiPriority w:val="0"/>
    <w:pPr>
      <w:widowControl/>
      <w:pBdr>
        <w:top w:val="single" w:color="000000" w:sz="8" w:space="0"/>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6">
    <w:name w:val="xl73"/>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7">
    <w:name w:val="xl74"/>
    <w:basedOn w:val="1"/>
    <w:qFormat/>
    <w:uiPriority w:val="0"/>
    <w:pPr>
      <w:widowControl/>
      <w:pBdr>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48">
    <w:name w:val="xl75"/>
    <w:basedOn w:val="1"/>
    <w:qFormat/>
    <w:uiPriority w:val="0"/>
    <w:pPr>
      <w:widowControl/>
      <w:pBdr>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49">
    <w:name w:val="xl76"/>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0">
    <w:name w:val="xl77"/>
    <w:basedOn w:val="1"/>
    <w:qFormat/>
    <w:uiPriority w:val="0"/>
    <w:pPr>
      <w:widowControl/>
      <w:pBdr>
        <w:bottom w:val="single" w:color="000000" w:sz="8" w:space="0"/>
        <w:right w:val="single" w:color="000000" w:sz="8" w:space="0"/>
      </w:pBdr>
      <w:spacing w:before="100" w:beforeAutospacing="1" w:after="100" w:afterAutospacing="1"/>
    </w:pPr>
    <w:rPr>
      <w:rFonts w:ascii="宋体" w:hAnsi="宋体" w:eastAsia="宋体" w:cs="宋体"/>
      <w:color w:val="000000"/>
      <w:sz w:val="24"/>
    </w:rPr>
  </w:style>
  <w:style w:type="paragraph" w:customStyle="1" w:styleId="251">
    <w:name w:val="xl78"/>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2">
    <w:name w:val="xl79"/>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3">
    <w:name w:val="xl80"/>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0"/>
      <w:szCs w:val="20"/>
    </w:rPr>
  </w:style>
  <w:style w:type="paragraph" w:customStyle="1" w:styleId="254">
    <w:name w:val="xl81"/>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0"/>
      <w:szCs w:val="20"/>
    </w:rPr>
  </w:style>
  <w:style w:type="paragraph" w:customStyle="1" w:styleId="255">
    <w:name w:val="xl82"/>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56">
    <w:name w:val="xl83"/>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57">
    <w:name w:val="xl84"/>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58">
    <w:name w:val="xl85"/>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59">
    <w:name w:val="xl86"/>
    <w:basedOn w:val="1"/>
    <w:qFormat/>
    <w:uiPriority w:val="0"/>
    <w:pPr>
      <w:widowControl/>
      <w:pBdr>
        <w:left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60">
    <w:name w:val="xl87"/>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61">
    <w:name w:val="xl88"/>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62">
    <w:name w:val="xl89"/>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63">
    <w:name w:val="xl90"/>
    <w:basedOn w:val="1"/>
    <w:qFormat/>
    <w:uiPriority w:val="0"/>
    <w:pPr>
      <w:widowControl/>
      <w:pBdr>
        <w:top w:val="single" w:color="000000" w:sz="8" w:space="0"/>
        <w:left w:val="single" w:color="000000" w:sz="8" w:space="0"/>
        <w:bottom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4">
    <w:name w:val="xl91"/>
    <w:basedOn w:val="1"/>
    <w:qFormat/>
    <w:uiPriority w:val="0"/>
    <w:pPr>
      <w:widowControl/>
      <w:pBdr>
        <w:top w:val="single" w:color="000000" w:sz="8" w:space="0"/>
        <w:bottom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5">
    <w:name w:val="xl92"/>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6">
    <w:name w:val="xl93"/>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7">
    <w:name w:val="xl94"/>
    <w:basedOn w:val="1"/>
    <w:qFormat/>
    <w:uiPriority w:val="0"/>
    <w:pPr>
      <w:widowControl/>
      <w:pBdr>
        <w:top w:val="single" w:color="000000" w:sz="8" w:space="0"/>
        <w:bottom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8">
    <w:name w:val="xl95"/>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9">
    <w:name w:val="xl96"/>
    <w:basedOn w:val="1"/>
    <w:qFormat/>
    <w:uiPriority w:val="0"/>
    <w:pPr>
      <w:widowControl/>
      <w:pBdr>
        <w:top w:val="single" w:color="000000" w:sz="8" w:space="0"/>
        <w:left w:val="single" w:color="000000" w:sz="8" w:space="0"/>
        <w:bottom w:val="single" w:color="000000" w:sz="8" w:space="0"/>
      </w:pBdr>
      <w:spacing w:before="100" w:beforeAutospacing="1" w:after="100" w:afterAutospacing="1"/>
    </w:pPr>
    <w:rPr>
      <w:rFonts w:ascii="宋体" w:hAnsi="宋体" w:eastAsia="宋体" w:cs="宋体"/>
      <w:b/>
      <w:bCs/>
      <w:color w:val="000000"/>
      <w:sz w:val="24"/>
    </w:rPr>
  </w:style>
  <w:style w:type="paragraph" w:customStyle="1" w:styleId="270">
    <w:name w:val="xl97"/>
    <w:basedOn w:val="1"/>
    <w:qFormat/>
    <w:uiPriority w:val="0"/>
    <w:pPr>
      <w:widowControl/>
      <w:pBdr>
        <w:top w:val="single" w:color="000000" w:sz="8" w:space="0"/>
        <w:bottom w:val="single" w:color="000000" w:sz="8" w:space="0"/>
      </w:pBdr>
      <w:spacing w:before="100" w:beforeAutospacing="1" w:after="100" w:afterAutospacing="1"/>
    </w:pPr>
    <w:rPr>
      <w:rFonts w:ascii="宋体" w:hAnsi="宋体" w:eastAsia="宋体" w:cs="宋体"/>
      <w:b/>
      <w:bCs/>
      <w:color w:val="000000"/>
      <w:sz w:val="24"/>
    </w:rPr>
  </w:style>
  <w:style w:type="paragraph" w:customStyle="1" w:styleId="271">
    <w:name w:val="xl98"/>
    <w:basedOn w:val="1"/>
    <w:qFormat/>
    <w:uiPriority w:val="0"/>
    <w:pPr>
      <w:widowControl/>
      <w:pBdr>
        <w:top w:val="single" w:color="000000" w:sz="8" w:space="0"/>
        <w:bottom w:val="single" w:color="000000" w:sz="8" w:space="0"/>
        <w:right w:val="single" w:color="000000" w:sz="8" w:space="0"/>
      </w:pBdr>
      <w:spacing w:before="100" w:beforeAutospacing="1" w:after="100" w:afterAutospacing="1"/>
    </w:pPr>
    <w:rPr>
      <w:rFonts w:ascii="宋体" w:hAnsi="宋体" w:eastAsia="宋体" w:cs="宋体"/>
      <w:b/>
      <w:bCs/>
      <w:color w:val="000000"/>
      <w:sz w:val="24"/>
    </w:rPr>
  </w:style>
  <w:style w:type="paragraph" w:customStyle="1" w:styleId="272">
    <w:name w:val="xl99"/>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宋体" w:hAnsi="宋体" w:eastAsia="宋体" w:cs="宋体"/>
      <w:color w:val="000000"/>
      <w:sz w:val="24"/>
    </w:rPr>
  </w:style>
  <w:style w:type="paragraph" w:customStyle="1" w:styleId="273">
    <w:name w:val="xl100"/>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color w:val="000000"/>
      <w:sz w:val="24"/>
    </w:rPr>
  </w:style>
  <w:style w:type="paragraph" w:customStyle="1" w:styleId="274">
    <w:name w:val="xl101"/>
    <w:basedOn w:val="1"/>
    <w:qFormat/>
    <w:uiPriority w:val="0"/>
    <w:pPr>
      <w:widowControl/>
      <w:pBdr>
        <w:top w:val="single" w:color="000000" w:sz="8" w:space="0"/>
        <w:left w:val="single" w:color="000000" w:sz="8" w:space="0"/>
        <w:bottom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5">
    <w:name w:val="xl102"/>
    <w:basedOn w:val="1"/>
    <w:qFormat/>
    <w:uiPriority w:val="0"/>
    <w:pPr>
      <w:widowControl/>
      <w:pBdr>
        <w:top w:val="single" w:color="000000" w:sz="8" w:space="0"/>
        <w:bottom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6">
    <w:name w:val="xl103"/>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7">
    <w:name w:val="xl104"/>
    <w:basedOn w:val="1"/>
    <w:qFormat/>
    <w:uiPriority w:val="0"/>
    <w:pPr>
      <w:widowControl/>
      <w:pBdr>
        <w:top w:val="single" w:color="000000" w:sz="8" w:space="0"/>
        <w:left w:val="single" w:color="000000" w:sz="8" w:space="0"/>
        <w:bottom w:val="single" w:color="000000" w:sz="8" w:space="0"/>
      </w:pBdr>
      <w:spacing w:before="100" w:beforeAutospacing="1" w:after="100" w:afterAutospacing="1"/>
    </w:pPr>
    <w:rPr>
      <w:rFonts w:ascii="宋体" w:hAnsi="宋体" w:eastAsia="宋体" w:cs="宋体"/>
      <w:sz w:val="24"/>
    </w:rPr>
  </w:style>
  <w:style w:type="paragraph" w:customStyle="1" w:styleId="278">
    <w:name w:val="xl105"/>
    <w:basedOn w:val="1"/>
    <w:qFormat/>
    <w:uiPriority w:val="0"/>
    <w:pPr>
      <w:widowControl/>
      <w:pBdr>
        <w:top w:val="single" w:color="000000" w:sz="8" w:space="0"/>
        <w:bottom w:val="single" w:color="000000" w:sz="8" w:space="0"/>
      </w:pBdr>
      <w:spacing w:before="100" w:beforeAutospacing="1" w:after="100" w:afterAutospacing="1"/>
    </w:pPr>
    <w:rPr>
      <w:rFonts w:ascii="宋体" w:hAnsi="宋体" w:eastAsia="宋体" w:cs="宋体"/>
      <w:sz w:val="24"/>
    </w:rPr>
  </w:style>
  <w:style w:type="paragraph" w:customStyle="1" w:styleId="279">
    <w:name w:val="xl106"/>
    <w:basedOn w:val="1"/>
    <w:qFormat/>
    <w:uiPriority w:val="0"/>
    <w:pPr>
      <w:widowControl/>
      <w:pBdr>
        <w:top w:val="single" w:color="000000" w:sz="8" w:space="0"/>
        <w:bottom w:val="single" w:color="000000" w:sz="8" w:space="0"/>
        <w:right w:val="single" w:color="000000" w:sz="8" w:space="0"/>
      </w:pBdr>
      <w:spacing w:before="100" w:beforeAutospacing="1" w:after="100" w:afterAutospacing="1"/>
    </w:pPr>
    <w:rPr>
      <w:rFonts w:ascii="宋体" w:hAnsi="宋体" w:eastAsia="宋体" w:cs="宋体"/>
      <w:sz w:val="24"/>
    </w:rPr>
  </w:style>
  <w:style w:type="character" w:customStyle="1" w:styleId="280">
    <w:name w:val="正文文本缩进 字符"/>
    <w:basedOn w:val="41"/>
    <w:link w:val="16"/>
    <w:qFormat/>
    <w:uiPriority w:val="0"/>
    <w:rPr>
      <w:rFonts w:asciiTheme="minorHAnsi" w:hAnsiTheme="minorHAnsi" w:eastAsiaTheme="minorEastAsia" w:cstheme="minorBidi"/>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0bb5a334-ec40-4613-af1f-403b32638beb</errorID>
      <errorWord>（</errorWord>
      <group>L1_Punc</group>
      <groupName>标点问题</groupName>
      <ability>L2_Punc_CN</ability>
      <abilityName>标点符号问题</abilityName>
      <candidateList/>
      <explain>同一形式括号套用。</explain>
      <paraID>5A0B0623</paraID>
      <start>65</start>
      <end>66</end>
      <status>unmodified</status>
      <modifiedWord/>
      <trackRevisions>false</trackRevisions>
    </reviewItem>
    <reviewItem>
      <errorID>ef8ac017-2ebc-42ff-9f82-193e14af2b95</errorID>
      <errorWord>）</errorWord>
      <group>L1_Punc</group>
      <groupName>标点问题</groupName>
      <ability>L2_Punc_CN</ability>
      <abilityName>标点符号问题</abilityName>
      <candidateList/>
      <explain>同一形式括号套用。</explain>
      <paraID>5A0B0623</paraID>
      <start>79</start>
      <end>80</end>
      <status>unmodified</status>
      <modifiedWord/>
      <trackRevisions>false</trackRevisions>
    </reviewItem>
    <reviewItem>
      <errorID>29a520ff-680e-4f51-82cc-b58b0577a393</errorID>
      <errorWord>（</errorWord>
      <group>L1_Punc</group>
      <groupName>标点问题</groupName>
      <ability>L2_Punc_CN</ability>
      <abilityName>标点符号问题</abilityName>
      <candidateList/>
      <explain>同一形式括号套用。</explain>
      <paraID>353A4946</paraID>
      <start>145</start>
      <end>146</end>
      <status>unmodified</status>
      <modifiedWord/>
      <trackRevisions>false</trackRevisions>
    </reviewItem>
    <reviewItem>
      <errorID>8f3da7bd-dd84-4e95-9efe-0bde2890dea6</errorID>
      <errorWord>）</errorWord>
      <group>L1_Punc</group>
      <groupName>标点问题</groupName>
      <ability>L2_Punc_CN</ability>
      <abilityName>标点符号问题</abilityName>
      <candidateList/>
      <explain>同一形式括号套用。</explain>
      <paraID>353A4946</paraID>
      <start>150</start>
      <end>151</end>
      <status>unmodified</status>
      <modifiedWord/>
      <trackRevisions>false</trackRevisions>
    </reviewItem>
    <reviewItem>
      <errorID>3721ab18-72e2-4a10-bbe2-d45b6a20de64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4807D036</paraID>
      <start>36</start>
      <end>37</end>
      <status>unmodified</status>
      <modifiedWord/>
      <trackRevisions>false</trackRevisions>
    </reviewItem>
    <reviewItem>
      <errorID>8ce2be6a-5a1e-4832-9b92-ca5f7e3f7ee7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6ECB74CA</paraID>
      <start>36</start>
      <end>37</end>
      <status>unmodified</status>
      <modifiedWord/>
      <trackRevisions>false</trackRevisions>
    </reviewItem>
    <reviewItem>
      <errorID>a537dbe1-f7e4-4a0a-a605-acbbc738aaba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E4C6D09</paraID>
      <start>25</start>
      <end>26</end>
      <status>unmodified</status>
      <modifiedWord/>
      <trackRevisions>false</trackRevisions>
    </reviewItem>
    <reviewItem>
      <errorID>7e10bf5b-0589-4ad0-87e1-814acf6ac07c</errorID>
      <errorWord>[2024]20号</errorWord>
      <group>L1_Knowledge</group>
      <groupName>知识性问题</groupName>
      <ability>L2_Knowledge</ability>
      <abilityName>其他知识</abilityName>
      <candidateList>
        <item>〔2024〕20号</item>
      </candidateList>
      <explain>发文字号格式错误。</explain>
      <paraID>5E686BCB</paraID>
      <start>104</start>
      <end>113</end>
      <status>unmodified</status>
      <modifiedWord/>
      <trackRevisions>false</trackRevisions>
    </reviewItem>
    <reviewItem>
      <errorID>1a6e94a1-1422-46e0-b2a5-05442656dce5</errorID>
      <errorWord>复印件加盖</errorWord>
      <group>L1_Word</group>
      <groupName>字词问题</groupName>
      <ability>L2_Typo</ability>
      <abilityName>字词错误</abilityName>
      <candidateList>
        <item>复印件并加盖</item>
      </candidateList>
      <explain/>
      <paraID> 971032F</paraID>
      <start>15</start>
      <end>20</end>
      <status>unmodified</status>
      <modifiedWord/>
      <trackRevisions>false</trackRevisions>
    </reviewItem>
    <reviewItem>
      <errorID>64e81792-df48-4b00-8218-ba3bfdd36b32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971032F</paraID>
      <start>65</start>
      <end>66</end>
      <status>unmodified</status>
      <modifiedWord/>
      <trackRevisions>false</trackRevisions>
    </reviewItem>
    <reviewItem>
      <errorID>3549ef5a-f692-4bd4-88a7-882b9f57ed16</errorID>
      <errorWord>复印件加盖</errorWord>
      <group>L1_Word</group>
      <groupName>字词问题</groupName>
      <ability>L2_Typo</ability>
      <abilityName>字词错误</abilityName>
      <candidateList>
        <item>复印件并加盖</item>
      </candidateList>
      <explain/>
      <paraID>4BA6BED8</paraID>
      <start>19</start>
      <end>24</end>
      <status>unmodified</status>
      <modifiedWord/>
      <trackRevisions>false</trackRevisions>
    </reviewItem>
    <reviewItem>
      <errorID>b0a2778b-6515-4eff-81dc-00e3a36b939f</errorID>
      <errorWord>没</errorWord>
      <group>L1_Word</group>
      <groupName>字词问题</groupName>
      <ability>L2_Typo</ability>
      <abilityName>字词错误</abilityName>
      <candidateList>
        <item>每</item>
      </candidateList>
      <explain/>
      <paraID>66E39D33</paraID>
      <start>24</start>
      <end>25</end>
      <status>unmodified</status>
      <modifiedWord/>
      <trackRevisions>false</trackRevisions>
    </reviewItem>
    <reviewItem>
      <errorID>526f5ed1-f9e6-4463-9b96-2cbded0e0749</errorID>
      <errorWord>复印件加盖</errorWord>
      <group>L1_Word</group>
      <groupName>字词问题</groupName>
      <ability>L2_Typo</ability>
      <abilityName>字词错误</abilityName>
      <candidateList>
        <item>复印件并加盖</item>
      </candidateList>
      <explain/>
      <paraID>45129381</paraID>
      <start>17</start>
      <end>22</end>
      <status>unmodified</status>
      <modifiedWord/>
      <trackRevisions>false</trackRevisions>
    </reviewItem>
    <reviewItem>
      <errorID>09d8bf7c-f02e-43b9-9f41-ba1882e7842f</errorID>
      <errorWord>复印件加盖</errorWord>
      <group>L1_Word</group>
      <groupName>字词问题</groupName>
      <ability>L2_Typo</ability>
      <abilityName>字词错误</abilityName>
      <candidateList>
        <item>复印件并加盖</item>
      </candidateList>
      <explain/>
      <paraID>45129381</paraID>
      <start>78</start>
      <end>83</end>
      <status>unmodified</status>
      <modifiedWord/>
      <trackRevisions>false</trackRevisions>
    </reviewItem>
    <reviewItem>
      <errorID>570db0eb-08ab-4c1e-b0b2-bd24e4d2785b</errorID>
      <errorWord>回收有</errorWord>
      <group>L1_Word</group>
      <groupName>字词问题</groupName>
      <ability>L2_Typo</ability>
      <abilityName>字词错误</abilityName>
      <candidateList>
        <item>回收</item>
      </candidateList>
      <explain/>
      <paraID> 365768D</paraID>
      <start>54</start>
      <end>57</end>
      <status>unmodified</status>
      <modifiedWord/>
      <trackRevisions>false</trackRevisions>
    </reviewItem>
    <reviewItem>
      <errorID>b56854d5-c4e6-4038-9bf0-6137f303b06f</errorID>
      <errorWord>复印件加盖</errorWord>
      <group>L1_Word</group>
      <groupName>字词问题</groupName>
      <ability>L2_Typo</ability>
      <abilityName>字词错误</abilityName>
      <candidateList>
        <item>复印件并加盖</item>
      </candidateList>
      <explain/>
      <paraID>1AE289A7</paraID>
      <start>8</start>
      <end>13</end>
      <status>unmodified</status>
      <modifiedWord/>
      <trackRevisions>false</trackRevisions>
    </reviewItem>
    <reviewItem>
      <errorID>e67adf77-5afd-4fe7-abd4-7b7dfac179ed</errorID>
      <errorWord>服务有</errorWord>
      <group>L1_Word</group>
      <groupName>字词问题</groupName>
      <ability>L2_Typo</ability>
      <abilityName>字词错误</abilityName>
      <candidateList>
        <item>服务</item>
      </candidateList>
      <explain/>
      <paraID>78A24853</paraID>
      <start>55</start>
      <end>58</end>
      <status>unmodified</status>
      <modifiedWord/>
      <trackRevisions>false</trackRevisions>
    </reviewItem>
    <reviewItem>
      <errorID>b435d928-622e-4e20-a287-d5799a9dd35f</errorID>
      <errorWord>签订之日起至</errorWord>
      <group>L1_Word</group>
      <groupName>字词问题</groupName>
      <ability>L2_Typo</ability>
      <abilityName>字词错误</abilityName>
      <candidateList>
        <item>签订之日起</item>
      </candidateList>
      <explain/>
      <paraID>66D5965B</paraID>
      <start>3</start>
      <end>9</end>
      <status>unmodified</status>
      <modifiedWord/>
      <trackRevisions>false</trackRevisions>
    </reviewItem>
    <reviewItem>
      <errorID>465e3cc5-0590-4711-9c17-cad9f700ad55</errorID>
      <errorWord>法律、法规，自觉</errorWord>
      <group>L1_Word</group>
      <groupName>字词问题</groupName>
      <ability>L2_Typo</ability>
      <abilityName>字词错误</abilityName>
      <candidateList>
        <item>法律法规，自觉</item>
      </candidateList>
      <explain/>
      <paraID>25B0F81F</paraID>
      <start>10</start>
      <end>18</end>
      <status>unmodified</status>
      <modifiedWord/>
      <trackRevisions>false</trackRevisions>
    </reviewItem>
    <reviewItem>
      <errorID>ed413303-a527-4959-8616-3e109f9d14dc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4F146058</paraID>
      <start>57</start>
      <end>58</end>
      <status>unmodified</status>
      <modifiedWord/>
      <trackRevisions>false</trackRevisions>
    </reviewItem>
    <reviewItem>
      <errorID>635fd8a6-13c3-45bc-bced-269e3b946a02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4F146058</paraID>
      <start>63</start>
      <end>64</end>
      <status>unmodified</status>
      <modifiedWord/>
      <trackRevisions>false</trackRevisions>
    </reviewItem>
    <reviewItem>
      <errorID>f4c6bdc6-7eaa-479f-94be-219ac7ef7020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5222F16E</paraID>
      <start>15</start>
      <end>16</end>
      <status>unmodified</status>
      <modifiedWord/>
      <trackRevisions>false</trackRevisions>
    </reviewItem>
    <reviewItem>
      <errorID>9e36754e-38e3-495d-8072-b963d4a09fa8</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67C4F272</paraID>
      <start>48</start>
      <end>51</end>
      <status>unmodified</status>
      <modifiedWord/>
      <trackRevisions>false</trackRevisions>
    </reviewItem>
    <reviewItem>
      <errorID>31b879ec-c513-4eb9-8860-b7eaa5a19e14</errorID>
      <errorWord>（</errorWord>
      <group>L1_Punc</group>
      <groupName>标点问题</groupName>
      <ability>L2_Punc_CN</ability>
      <abilityName>标点符号问题</abilityName>
      <candidateList/>
      <explain>同一形式括号套用。</explain>
      <paraID>7123D26F</paraID>
      <start>19</start>
      <end>20</end>
      <status>unmodified</status>
      <modifiedWord/>
      <trackRevisions>false</trackRevisions>
    </reviewItem>
    <reviewItem>
      <errorID>a42d933a-2324-4a76-8ec7-48c95e1db261</errorID>
      <errorWord>）</errorWord>
      <group>L1_Punc</group>
      <groupName>标点问题</groupName>
      <ability>L2_Punc_CN</ability>
      <abilityName>标点符号问题</abilityName>
      <candidateList/>
      <explain>同一形式括号套用。</explain>
      <paraID>7123D26F</paraID>
      <start>29</start>
      <end>30</end>
      <status>unmodified</status>
      <modifiedWord/>
      <trackRevisions>false</trackRevisions>
    </reviewItem>
    <reviewItem>
      <errorID>e6ada5a2-bf88-4e99-8881-e48882177dee</errorID>
      <errorWord>；</errorWord>
      <group>L1_Word</group>
      <groupName>字词问题</groupName>
      <ability>L2_Typo</ability>
      <abilityName>字词错误</abilityName>
      <candidateList>
        <item>；具</item>
      </candidateList>
      <explain/>
      <paraID>24B31553</paraID>
      <start>188</start>
      <end>189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a52f8b-cad7-410e-9369-7e64857fc8d1}">
  <ds:schemaRefs/>
</ds:datastoreItem>
</file>

<file path=customXml/itemProps3.xml><?xml version="1.0" encoding="utf-8"?>
<ds:datastoreItem xmlns:ds="http://schemas.openxmlformats.org/officeDocument/2006/customXml" ds:itemID="{994E29BB-7456-4859-8914-38F36065C2A4}">
  <ds:schemaRefs/>
</ds:datastoreItem>
</file>

<file path=docProps/app.xml><?xml version="1.0" encoding="utf-8"?>
<Properties xmlns="http://schemas.openxmlformats.org/officeDocument/2006/extended-properties" xmlns:vt="http://schemas.openxmlformats.org/officeDocument/2006/docPropsVTypes">
  <Template>Normal</Template>
  <Pages>37</Pages>
  <Words>23350</Words>
  <Characters>24235</Characters>
  <Lines>185</Lines>
  <Paragraphs>52</Paragraphs>
  <TotalTime>2</TotalTime>
  <ScaleCrop>false</ScaleCrop>
  <LinksUpToDate>false</LinksUpToDate>
  <CharactersWithSpaces>25097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2026-04-14T06:23:00Z</dcterms:created>
  <dc:creator>Administrator</dc:creator>
  <cp:lastModifiedBy>YoriKong</cp:lastModifiedBy>
  <dcterms:modified xsi:type="dcterms:W3CDTF">2026-10-15T02:40:24Z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F8C083078AA64F3F81535E82E28F7C78_13</vt:lpwstr>
  </property>
  <property fmtid="{D5CDD505-2E9C-101B-9397-08002B2CF9AE}" pid="4" name="KSOTemplateDocerSaveRecord">
    <vt:lpwstr>eyJoZGlkIjoiMmY0NzBkM2I5OWM5ZDgwNjk2NGI3MmMyM2I1MTcxYWIiLCJ1c2VySWQiOiIxMzQ5NTY5NTE3In0=</vt:lpwstr>
  </property>
</Properties>
</file>