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8819" w:type="dxa"/>
        <w:tblInd w:w="115" w:type="dxa"/>
        <w:tblLayout w:type="fixed"/>
        <w:tblCellMar>
          <w:top w:w="0" w:type="dxa"/>
          <w:left w:w="108" w:type="dxa"/>
          <w:bottom w:w="0" w:type="dxa"/>
          <w:right w:w="108" w:type="dxa"/>
        </w:tblCellMar>
      </w:tblPr>
      <w:tblGrid>
        <w:gridCol w:w="7276"/>
        <w:gridCol w:w="1543"/>
      </w:tblGrid>
      <w:tr w14:paraId="1F26F634">
        <w:tblPrEx>
          <w:tblCellMar>
            <w:top w:w="0" w:type="dxa"/>
            <w:left w:w="108" w:type="dxa"/>
            <w:bottom w:w="0" w:type="dxa"/>
            <w:right w:w="108" w:type="dxa"/>
          </w:tblCellMar>
        </w:tblPrEx>
        <w:trPr>
          <w:trHeight w:val="980" w:hRule="atLeast"/>
        </w:trPr>
        <w:tc>
          <w:tcPr>
            <w:tcW w:w="7276" w:type="dxa"/>
            <w:vAlign w:val="center"/>
          </w:tcPr>
          <w:p w14:paraId="51128FAB">
            <w:pPr>
              <w:pStyle w:val="12"/>
              <w:spacing w:before="156" w:beforeAutospacing="0" w:after="156" w:afterAutospacing="0" w:line="1000" w:lineRule="exact"/>
              <w:jc w:val="distribute"/>
              <w:rPr>
                <w:rFonts w:ascii="Times New Roman" w:hAnsi="Times New Roman"/>
                <w:color w:val="FF0000"/>
                <w:w w:val="66"/>
              </w:rPr>
            </w:pPr>
          </w:p>
        </w:tc>
        <w:tc>
          <w:tcPr>
            <w:tcW w:w="1543" w:type="dxa"/>
            <w:vAlign w:val="center"/>
          </w:tcPr>
          <w:p w14:paraId="5027A235">
            <w:pPr>
              <w:spacing w:line="240" w:lineRule="auto"/>
              <w:jc w:val="distribute"/>
              <w:rPr>
                <w:rFonts w:ascii="Times New Roman" w:hAnsi="Times New Roman" w:eastAsia="方正小标宋简体"/>
                <w:color w:val="000000"/>
                <w:spacing w:val="-24"/>
                <w:w w:val="60"/>
                <w:kern w:val="0"/>
                <w:sz w:val="110"/>
                <w:szCs w:val="110"/>
              </w:rPr>
            </w:pPr>
          </w:p>
        </w:tc>
      </w:tr>
    </w:tbl>
    <w:p w14:paraId="54333C3D">
      <w:pPr>
        <w:spacing w:line="700" w:lineRule="exact"/>
        <w:jc w:val="center"/>
        <w:rPr>
          <w:rFonts w:ascii="Times New Roman" w:hAnsi="Times New Roman" w:eastAsia="仿宋" w:cs="Times New Roman"/>
          <w:color w:val="auto"/>
          <w:sz w:val="32"/>
          <w:szCs w:val="32"/>
        </w:rPr>
      </w:pPr>
      <w:r>
        <w:rPr>
          <w:rFonts w:hint="eastAsia" w:ascii="Times New Roman" w:hAnsi="Times New Roman" w:eastAsia="方正仿宋_GBK" w:cs="方正仿宋_GBK"/>
          <w:color w:val="auto"/>
          <w:sz w:val="32"/>
          <w:szCs w:val="32"/>
        </w:rPr>
        <w:t>宁栖农字〔</w:t>
      </w:r>
      <w:r>
        <w:rPr>
          <w:rFonts w:hint="eastAsia" w:ascii="Times New Roman" w:hAnsi="Times New Roman" w:eastAsia="方正仿宋_GBK" w:cs="方正仿宋_GBK"/>
          <w:color w:val="auto"/>
          <w:sz w:val="32"/>
          <w:szCs w:val="32"/>
          <w:lang w:eastAsia="zh-CN"/>
        </w:rPr>
        <w:t>2026</w:t>
      </w:r>
      <w:r>
        <w:rPr>
          <w:rFonts w:hint="eastAsia" w:ascii="Times New Roman" w:hAnsi="Times New Roman" w:eastAsia="方正仿宋_GBK" w:cs="方正仿宋_GBK"/>
          <w:color w:val="auto"/>
          <w:sz w:val="32"/>
          <w:szCs w:val="32"/>
        </w:rPr>
        <w:t>〕</w:t>
      </w:r>
      <w:r>
        <w:rPr>
          <w:rFonts w:hint="eastAsia" w:ascii="Times New Roman" w:hAnsi="Times New Roman" w:eastAsia="方正仿宋_GBK" w:cs="方正仿宋_GBK"/>
          <w:color w:val="auto"/>
          <w:sz w:val="32"/>
          <w:szCs w:val="32"/>
          <w:lang w:val="en-US" w:eastAsia="zh-CN"/>
        </w:rPr>
        <w:t>91</w:t>
      </w:r>
      <w:r>
        <w:rPr>
          <w:rFonts w:hint="eastAsia" w:ascii="Times New Roman" w:hAnsi="Times New Roman" w:eastAsia="方正仿宋_GBK" w:cs="方正仿宋_GBK"/>
          <w:color w:val="auto"/>
          <w:sz w:val="32"/>
          <w:szCs w:val="32"/>
        </w:rPr>
        <w:t>号</w:t>
      </w:r>
    </w:p>
    <w:p w14:paraId="110CA7EC">
      <w:pPr>
        <w:spacing w:line="700" w:lineRule="exact"/>
        <w:jc w:val="center"/>
        <w:rPr>
          <w:rFonts w:ascii="Times New Roman" w:hAnsi="Times New Roman" w:eastAsia="仿宋" w:cs="Times New Roman"/>
          <w:color w:val="auto"/>
          <w:sz w:val="32"/>
          <w:szCs w:val="32"/>
        </w:rPr>
      </w:pPr>
    </w:p>
    <w:p w14:paraId="7B889C93">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Times New Roman" w:hAnsi="Times New Roman" w:eastAsia="方正小标宋简体" w:cs="Times New Roman"/>
          <w:bCs/>
          <w:color w:val="auto"/>
          <w:sz w:val="44"/>
          <w:szCs w:val="44"/>
        </w:rPr>
      </w:pPr>
      <w:r>
        <w:rPr>
          <w:rFonts w:hint="eastAsia" w:ascii="Times New Roman" w:hAnsi="Times New Roman" w:eastAsia="方正小标宋简体" w:cs="Times New Roman"/>
          <w:bCs/>
          <w:color w:val="auto"/>
          <w:sz w:val="44"/>
          <w:szCs w:val="44"/>
        </w:rPr>
        <w:t>关于做好栖霞区2026年第二批省级现代农业发展</w:t>
      </w:r>
      <w:r>
        <w:rPr>
          <w:rFonts w:hint="eastAsia" w:ascii="Times New Roman" w:hAnsi="Times New Roman" w:eastAsia="方正小标宋简体" w:cs="Times New Roman"/>
          <w:bCs/>
          <w:color w:val="auto"/>
          <w:sz w:val="44"/>
          <w:szCs w:val="44"/>
          <w:lang w:val="en-US" w:eastAsia="zh-CN"/>
        </w:rPr>
        <w:t>补助</w:t>
      </w:r>
      <w:bookmarkStart w:id="3" w:name="_GoBack"/>
      <w:bookmarkEnd w:id="3"/>
      <w:r>
        <w:rPr>
          <w:rFonts w:hint="eastAsia" w:ascii="Times New Roman" w:hAnsi="Times New Roman" w:eastAsia="方正小标宋简体" w:cs="Times New Roman"/>
          <w:bCs/>
          <w:color w:val="auto"/>
          <w:sz w:val="44"/>
          <w:szCs w:val="44"/>
        </w:rPr>
        <w:t>专项资金实施工作</w:t>
      </w:r>
      <w:r>
        <w:rPr>
          <w:rFonts w:hint="eastAsia" w:ascii="Times New Roman" w:hAnsi="Times New Roman" w:eastAsia="方正小标宋简体" w:cs="Times New Roman"/>
          <w:bCs/>
          <w:color w:val="auto"/>
          <w:sz w:val="44"/>
          <w:szCs w:val="44"/>
          <w:lang w:val="en-US" w:eastAsia="zh-CN"/>
        </w:rPr>
        <w:t>的</w:t>
      </w:r>
      <w:r>
        <w:rPr>
          <w:rFonts w:hint="eastAsia" w:ascii="Times New Roman" w:hAnsi="Times New Roman" w:eastAsia="方正小标宋简体" w:cs="Times New Roman"/>
          <w:bCs/>
          <w:color w:val="auto"/>
          <w:sz w:val="44"/>
          <w:szCs w:val="44"/>
        </w:rPr>
        <w:t>通知</w:t>
      </w:r>
    </w:p>
    <w:p w14:paraId="0BC37AC6">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ascii="Times New Roman" w:hAnsi="Times New Roman" w:eastAsia="方正仿宋_GBK" w:cs="Times New Roman"/>
          <w:color w:val="auto"/>
          <w:sz w:val="21"/>
          <w:szCs w:val="21"/>
        </w:rPr>
      </w:pPr>
    </w:p>
    <w:p w14:paraId="432DD129">
      <w:pPr>
        <w:keepNext w:val="0"/>
        <w:keepLines w:val="0"/>
        <w:pageBreakBefore w:val="0"/>
        <w:kinsoku/>
        <w:wordWrap/>
        <w:overflowPunct/>
        <w:topLinePunct w:val="0"/>
        <w:autoSpaceDE/>
        <w:autoSpaceDN/>
        <w:bidi w:val="0"/>
        <w:adjustRightInd/>
        <w:snapToGrid/>
        <w:spacing w:line="520" w:lineRule="exact"/>
        <w:jc w:val="both"/>
        <w:textAlignment w:val="auto"/>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各街道农业农村办、财政所，局各有关单位：</w:t>
      </w:r>
    </w:p>
    <w:p w14:paraId="41FC8A52">
      <w:pPr>
        <w:keepNext w:val="0"/>
        <w:keepLines w:val="0"/>
        <w:pageBreakBefore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为推进实施乡村振兴战略，推动农业农村高质量发展，根据市农业农村局、市财政局《</w:t>
      </w:r>
      <w:r>
        <w:rPr>
          <w:rFonts w:hint="eastAsia" w:ascii="Times New Roman" w:hAnsi="Times New Roman" w:eastAsia="方正仿宋_GBK" w:cs="Times New Roman"/>
          <w:color w:val="auto"/>
          <w:sz w:val="32"/>
          <w:szCs w:val="32"/>
          <w:lang w:val="en-US" w:eastAsia="zh-CN"/>
        </w:rPr>
        <w:t>关于下达2026年第二批省级现代农业发展补助专项资金的通知</w:t>
      </w:r>
      <w:r>
        <w:rPr>
          <w:rFonts w:ascii="Times New Roman" w:hAnsi="Times New Roman" w:eastAsia="方正仿宋_GBK" w:cs="Times New Roman"/>
          <w:color w:val="auto"/>
          <w:sz w:val="32"/>
          <w:szCs w:val="32"/>
        </w:rPr>
        <w:t>》（宁农计〔</w:t>
      </w:r>
      <w:r>
        <w:rPr>
          <w:rFonts w:hint="eastAsia" w:ascii="Times New Roman" w:hAnsi="Times New Roman" w:eastAsia="方正仿宋_GBK" w:cs="Times New Roman"/>
          <w:color w:val="auto"/>
          <w:sz w:val="32"/>
          <w:szCs w:val="32"/>
          <w:lang w:eastAsia="zh-CN"/>
        </w:rPr>
        <w:t>2026</w:t>
      </w: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lang w:val="en-US" w:eastAsia="zh-CN"/>
        </w:rPr>
        <w:t>29</w:t>
      </w:r>
      <w:r>
        <w:rPr>
          <w:rFonts w:ascii="Times New Roman" w:hAnsi="Times New Roman" w:eastAsia="方正仿宋_GBK" w:cs="Times New Roman"/>
          <w:color w:val="auto"/>
          <w:sz w:val="32"/>
          <w:szCs w:val="32"/>
        </w:rPr>
        <w:t>号）文件要求，结合我区实际，研究制定了《</w:t>
      </w:r>
      <w:r>
        <w:rPr>
          <w:rFonts w:hint="eastAsia" w:ascii="Times New Roman" w:hAnsi="Times New Roman" w:eastAsia="方正仿宋_GBK" w:cs="Times New Roman"/>
          <w:color w:val="auto"/>
          <w:sz w:val="32"/>
          <w:szCs w:val="32"/>
          <w:lang w:val="en-US" w:eastAsia="zh-CN"/>
        </w:rPr>
        <w:t>栖霞区2026年第二批省级现代农业发展补助专项资金</w:t>
      </w:r>
      <w:r>
        <w:rPr>
          <w:rFonts w:ascii="Times New Roman" w:hAnsi="Times New Roman" w:eastAsia="方正仿宋_GBK" w:cs="Times New Roman"/>
          <w:color w:val="auto"/>
          <w:sz w:val="32"/>
          <w:szCs w:val="32"/>
        </w:rPr>
        <w:t>实施</w:t>
      </w:r>
      <w:r>
        <w:rPr>
          <w:rFonts w:hint="eastAsia" w:ascii="Times New Roman" w:hAnsi="Times New Roman" w:eastAsia="方正仿宋_GBK" w:cs="Times New Roman"/>
          <w:color w:val="auto"/>
          <w:sz w:val="32"/>
          <w:szCs w:val="32"/>
          <w:lang w:val="en-US" w:eastAsia="zh-CN"/>
        </w:rPr>
        <w:t>指导</w:t>
      </w:r>
      <w:r>
        <w:rPr>
          <w:rFonts w:ascii="Times New Roman" w:hAnsi="Times New Roman" w:eastAsia="方正仿宋_GBK" w:cs="Times New Roman"/>
          <w:color w:val="auto"/>
          <w:sz w:val="32"/>
          <w:szCs w:val="32"/>
        </w:rPr>
        <w:t>意见》</w:t>
      </w:r>
      <w:r>
        <w:rPr>
          <w:rFonts w:hint="eastAsia" w:ascii="Times New Roman" w:hAnsi="Times New Roman" w:eastAsia="方正仿宋_GBK" w:cs="Times New Roman"/>
          <w:color w:val="auto"/>
          <w:sz w:val="32"/>
          <w:szCs w:val="32"/>
          <w:lang w:val="en-US" w:eastAsia="zh-CN"/>
        </w:rPr>
        <w:t>和专项资金安排计划表</w:t>
      </w:r>
      <w:r>
        <w:rPr>
          <w:rFonts w:ascii="Times New Roman" w:hAnsi="Times New Roman" w:eastAsia="方正仿宋_GBK" w:cs="Times New Roman"/>
          <w:color w:val="auto"/>
          <w:sz w:val="32"/>
          <w:szCs w:val="32"/>
        </w:rPr>
        <w:t>，现印发给</w:t>
      </w:r>
      <w:r>
        <w:rPr>
          <w:rFonts w:hint="eastAsia" w:ascii="Times New Roman" w:hAnsi="Times New Roman" w:eastAsia="方正仿宋_GBK" w:cs="Times New Roman"/>
          <w:color w:val="auto"/>
          <w:sz w:val="32"/>
          <w:szCs w:val="32"/>
        </w:rPr>
        <w:t>你们</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请各单位按照专项资金安排计划表，认真组织落实，开展各项工作</w:t>
      </w:r>
      <w:r>
        <w:rPr>
          <w:rFonts w:hint="eastAsia" w:ascii="Times New Roman" w:hAnsi="Times New Roman" w:eastAsia="方正仿宋_GBK" w:cs="Times New Roman"/>
          <w:color w:val="auto"/>
          <w:sz w:val="32"/>
          <w:szCs w:val="32"/>
        </w:rPr>
        <w:t>。</w:t>
      </w:r>
    </w:p>
    <w:p w14:paraId="240EF3A3">
      <w:pPr>
        <w:keepNext w:val="0"/>
        <w:keepLines w:val="0"/>
        <w:pageBreakBefore w:val="0"/>
        <w:widowControl/>
        <w:shd w:val="clear" w:color="auto" w:fill="FFFFFF"/>
        <w:kinsoku/>
        <w:wordWrap/>
        <w:overflowPunct/>
        <w:topLinePunct w:val="0"/>
        <w:autoSpaceDE/>
        <w:autoSpaceDN/>
        <w:bidi w:val="0"/>
        <w:spacing w:line="560" w:lineRule="exact"/>
        <w:ind w:firstLine="640" w:firstLineChars="200"/>
        <w:jc w:val="both"/>
        <w:textAlignment w:val="auto"/>
        <w:rPr>
          <w:rFonts w:ascii="Times New Roman" w:hAnsi="Times New Roman" w:eastAsia="方正仿宋_GBK" w:cs="Times New Roman"/>
          <w:color w:val="auto"/>
          <w:kern w:val="0"/>
          <w:sz w:val="32"/>
          <w:szCs w:val="32"/>
        </w:rPr>
      </w:pPr>
      <w:r>
        <w:rPr>
          <w:rFonts w:ascii="Times New Roman" w:hAnsi="Times New Roman" w:eastAsia="方正仿宋_GBK" w:cs="Times New Roman"/>
          <w:color w:val="auto"/>
          <w:kern w:val="0"/>
          <w:sz w:val="32"/>
          <w:szCs w:val="32"/>
        </w:rPr>
        <w:t>区农业农村局联系人：</w:t>
      </w:r>
    </w:p>
    <w:p w14:paraId="5B76925A">
      <w:pPr>
        <w:keepNext w:val="0"/>
        <w:keepLines w:val="0"/>
        <w:pageBreakBefore w:val="0"/>
        <w:widowControl/>
        <w:shd w:val="clear" w:color="auto" w:fill="FFFFFF"/>
        <w:kinsoku/>
        <w:wordWrap/>
        <w:overflowPunct/>
        <w:topLinePunct w:val="0"/>
        <w:autoSpaceDE/>
        <w:autoSpaceDN/>
        <w:bidi w:val="0"/>
        <w:spacing w:line="560" w:lineRule="exact"/>
        <w:ind w:firstLine="640" w:firstLineChars="200"/>
        <w:jc w:val="both"/>
        <w:textAlignment w:val="auto"/>
        <w:rPr>
          <w:rFonts w:ascii="Times New Roman" w:hAnsi="Times New Roman" w:eastAsia="方正仿宋_GBK" w:cs="Times New Roman"/>
          <w:color w:val="auto"/>
          <w:kern w:val="0"/>
          <w:sz w:val="32"/>
          <w:szCs w:val="32"/>
        </w:rPr>
      </w:pPr>
      <w:r>
        <w:rPr>
          <w:rFonts w:ascii="Times New Roman" w:hAnsi="Times New Roman" w:eastAsia="方正仿宋_GBK" w:cs="Times New Roman"/>
          <w:color w:val="auto"/>
          <w:kern w:val="0"/>
          <w:sz w:val="32"/>
          <w:szCs w:val="32"/>
        </w:rPr>
        <w:t xml:space="preserve">农田建设管理科    吴庆生      85571178 </w:t>
      </w:r>
    </w:p>
    <w:p w14:paraId="35B6599A">
      <w:pPr>
        <w:keepNext w:val="0"/>
        <w:keepLines w:val="0"/>
        <w:pageBreakBefore w:val="0"/>
        <w:widowControl/>
        <w:shd w:val="clear" w:color="auto" w:fill="FFFFFF"/>
        <w:kinsoku/>
        <w:wordWrap/>
        <w:overflowPunct/>
        <w:topLinePunct w:val="0"/>
        <w:autoSpaceDE/>
        <w:autoSpaceDN/>
        <w:bidi w:val="0"/>
        <w:spacing w:line="560" w:lineRule="exact"/>
        <w:ind w:firstLine="640" w:firstLineChars="200"/>
        <w:jc w:val="both"/>
        <w:textAlignment w:val="auto"/>
        <w:rPr>
          <w:rFonts w:ascii="Times New Roman" w:hAnsi="Times New Roman" w:eastAsia="方正仿宋_GBK" w:cs="Times New Roman"/>
          <w:color w:val="auto"/>
          <w:kern w:val="0"/>
          <w:sz w:val="32"/>
          <w:szCs w:val="32"/>
        </w:rPr>
      </w:pPr>
      <w:r>
        <w:rPr>
          <w:rFonts w:ascii="Times New Roman" w:hAnsi="Times New Roman" w:eastAsia="方正仿宋_GBK" w:cs="Times New Roman"/>
          <w:color w:val="auto"/>
          <w:kern w:val="0"/>
          <w:sz w:val="32"/>
          <w:szCs w:val="32"/>
        </w:rPr>
        <w:t>农</w:t>
      </w:r>
      <w:r>
        <w:rPr>
          <w:rFonts w:hint="eastAsia" w:ascii="Times New Roman" w:hAnsi="Times New Roman" w:eastAsia="方正仿宋_GBK" w:cs="Times New Roman"/>
          <w:color w:val="auto"/>
          <w:kern w:val="0"/>
          <w:sz w:val="32"/>
          <w:szCs w:val="32"/>
          <w:lang w:val="en-US" w:eastAsia="zh-CN"/>
        </w:rPr>
        <w:t xml:space="preserve">    </w:t>
      </w:r>
      <w:r>
        <w:rPr>
          <w:rFonts w:ascii="Times New Roman" w:hAnsi="Times New Roman" w:eastAsia="方正仿宋_GBK" w:cs="Times New Roman"/>
          <w:color w:val="auto"/>
          <w:kern w:val="0"/>
          <w:sz w:val="32"/>
          <w:szCs w:val="32"/>
        </w:rPr>
        <w:t>业</w:t>
      </w:r>
      <w:r>
        <w:rPr>
          <w:rFonts w:hint="eastAsia" w:ascii="Times New Roman" w:hAnsi="Times New Roman" w:eastAsia="方正仿宋_GBK" w:cs="Times New Roman"/>
          <w:color w:val="auto"/>
          <w:kern w:val="0"/>
          <w:sz w:val="32"/>
          <w:szCs w:val="32"/>
          <w:lang w:val="en-US" w:eastAsia="zh-CN"/>
        </w:rPr>
        <w:t xml:space="preserve">    </w:t>
      </w:r>
      <w:r>
        <w:rPr>
          <w:rFonts w:ascii="Times New Roman" w:hAnsi="Times New Roman" w:eastAsia="方正仿宋_GBK" w:cs="Times New Roman"/>
          <w:color w:val="auto"/>
          <w:kern w:val="0"/>
          <w:sz w:val="32"/>
          <w:szCs w:val="32"/>
        </w:rPr>
        <w:t xml:space="preserve">科    </w:t>
      </w:r>
      <w:r>
        <w:rPr>
          <w:rFonts w:hint="eastAsia" w:ascii="Times New Roman" w:hAnsi="Times New Roman" w:eastAsia="方正仿宋_GBK" w:cs="Times New Roman"/>
          <w:color w:val="auto"/>
          <w:kern w:val="0"/>
          <w:sz w:val="32"/>
          <w:szCs w:val="32"/>
          <w:lang w:val="en-US" w:eastAsia="zh-CN"/>
        </w:rPr>
        <w:t xml:space="preserve">褚小洁  </w:t>
      </w:r>
      <w:r>
        <w:rPr>
          <w:rFonts w:ascii="Times New Roman" w:hAnsi="Times New Roman" w:eastAsia="方正仿宋_GBK" w:cs="Times New Roman"/>
          <w:color w:val="auto"/>
          <w:kern w:val="0"/>
          <w:sz w:val="32"/>
          <w:szCs w:val="32"/>
        </w:rPr>
        <w:t xml:space="preserve">    </w:t>
      </w:r>
      <w:r>
        <w:rPr>
          <w:rFonts w:hint="eastAsia" w:ascii="Times New Roman" w:hAnsi="Times New Roman" w:eastAsia="方正仿宋_GBK" w:cs="Times New Roman"/>
          <w:color w:val="auto"/>
          <w:kern w:val="0"/>
          <w:sz w:val="32"/>
          <w:szCs w:val="32"/>
        </w:rPr>
        <w:t>85566890</w:t>
      </w:r>
    </w:p>
    <w:p w14:paraId="4D229BB9">
      <w:pPr>
        <w:keepNext w:val="0"/>
        <w:keepLines w:val="0"/>
        <w:pageBreakBefore w:val="0"/>
        <w:widowControl/>
        <w:shd w:val="clear" w:color="auto" w:fill="FFFFFF"/>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 xml:space="preserve">三    中    队    陈  琳      85561213  </w:t>
      </w:r>
    </w:p>
    <w:p w14:paraId="3194AAB8">
      <w:pPr>
        <w:keepNext w:val="0"/>
        <w:keepLines w:val="0"/>
        <w:pageBreakBefore w:val="0"/>
        <w:widowControl/>
        <w:shd w:val="clear" w:color="auto" w:fill="FFFFFF"/>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农 业 装 备 科    蔡洪军      85597456</w:t>
      </w:r>
    </w:p>
    <w:p w14:paraId="20082C7D">
      <w:pPr>
        <w:keepNext w:val="0"/>
        <w:keepLines w:val="0"/>
        <w:pageBreakBefore w:val="0"/>
        <w:widowControl/>
        <w:shd w:val="clear" w:color="auto" w:fill="FFFFFF"/>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方正仿宋_GBK" w:cs="Times New Roman"/>
          <w:color w:val="auto"/>
          <w:kern w:val="0"/>
          <w:sz w:val="32"/>
          <w:szCs w:val="32"/>
          <w:lang w:eastAsia="zh-CN"/>
        </w:rPr>
      </w:pPr>
      <w:r>
        <w:rPr>
          <w:rFonts w:ascii="Times New Roman" w:hAnsi="Times New Roman" w:eastAsia="方正仿宋_GBK" w:cs="Times New Roman"/>
          <w:color w:val="auto"/>
          <w:kern w:val="0"/>
          <w:sz w:val="32"/>
          <w:szCs w:val="32"/>
        </w:rPr>
        <w:t>区财政局联系人</w:t>
      </w:r>
      <w:r>
        <w:rPr>
          <w:rFonts w:hint="eastAsia" w:ascii="Times New Roman" w:hAnsi="Times New Roman" w:eastAsia="方正仿宋_GBK" w:cs="Times New Roman"/>
          <w:color w:val="auto"/>
          <w:kern w:val="0"/>
          <w:sz w:val="32"/>
          <w:szCs w:val="32"/>
          <w:lang w:eastAsia="zh-CN"/>
        </w:rPr>
        <w:t>：</w:t>
      </w:r>
    </w:p>
    <w:p w14:paraId="6D14DD90">
      <w:pPr>
        <w:keepNext w:val="0"/>
        <w:keepLines w:val="0"/>
        <w:pageBreakBefore w:val="0"/>
        <w:widowControl/>
        <w:shd w:val="clear" w:color="auto" w:fill="FFFFFF"/>
        <w:kinsoku/>
        <w:wordWrap/>
        <w:overflowPunct/>
        <w:topLinePunct w:val="0"/>
        <w:autoSpaceDE/>
        <w:autoSpaceDN/>
        <w:bidi w:val="0"/>
        <w:spacing w:line="560" w:lineRule="exact"/>
        <w:ind w:firstLine="640" w:firstLineChars="200"/>
        <w:jc w:val="both"/>
        <w:textAlignment w:val="auto"/>
        <w:rPr>
          <w:rFonts w:ascii="Times New Roman" w:hAnsi="Times New Roman" w:eastAsia="方正仿宋_GBK" w:cs="Times New Roman"/>
          <w:color w:val="auto"/>
          <w:kern w:val="0"/>
          <w:sz w:val="32"/>
          <w:szCs w:val="32"/>
        </w:rPr>
      </w:pPr>
      <w:r>
        <w:rPr>
          <w:rFonts w:ascii="Times New Roman" w:hAnsi="Times New Roman" w:eastAsia="方正仿宋_GBK" w:cs="Times New Roman"/>
          <w:color w:val="auto"/>
          <w:kern w:val="0"/>
          <w:sz w:val="32"/>
          <w:szCs w:val="32"/>
        </w:rPr>
        <w:t>农</w:t>
      </w:r>
      <w:r>
        <w:rPr>
          <w:rFonts w:hint="eastAsia" w:ascii="Times New Roman" w:hAnsi="Times New Roman" w:eastAsia="方正仿宋_GBK" w:cs="Times New Roman"/>
          <w:color w:val="auto"/>
          <w:kern w:val="0"/>
          <w:sz w:val="32"/>
          <w:szCs w:val="32"/>
          <w:lang w:val="en-US" w:eastAsia="zh-CN"/>
        </w:rPr>
        <w:t xml:space="preserve">    </w:t>
      </w:r>
      <w:r>
        <w:rPr>
          <w:rFonts w:ascii="Times New Roman" w:hAnsi="Times New Roman" w:eastAsia="方正仿宋_GBK" w:cs="Times New Roman"/>
          <w:color w:val="auto"/>
          <w:kern w:val="0"/>
          <w:sz w:val="32"/>
          <w:szCs w:val="32"/>
        </w:rPr>
        <w:t>业</w:t>
      </w:r>
      <w:r>
        <w:rPr>
          <w:rFonts w:hint="eastAsia" w:ascii="Times New Roman" w:hAnsi="Times New Roman" w:eastAsia="方正仿宋_GBK" w:cs="Times New Roman"/>
          <w:color w:val="auto"/>
          <w:kern w:val="0"/>
          <w:sz w:val="32"/>
          <w:szCs w:val="32"/>
          <w:lang w:val="en-US" w:eastAsia="zh-CN"/>
        </w:rPr>
        <w:t xml:space="preserve">    </w:t>
      </w:r>
      <w:r>
        <w:rPr>
          <w:rFonts w:ascii="Times New Roman" w:hAnsi="Times New Roman" w:eastAsia="方正仿宋_GBK" w:cs="Times New Roman"/>
          <w:color w:val="auto"/>
          <w:kern w:val="0"/>
          <w:sz w:val="32"/>
          <w:szCs w:val="32"/>
        </w:rPr>
        <w:t xml:space="preserve">科   </w:t>
      </w:r>
      <w:r>
        <w:rPr>
          <w:rFonts w:hint="eastAsia" w:ascii="Times New Roman" w:hAnsi="Times New Roman" w:eastAsia="方正仿宋_GBK" w:cs="Times New Roman"/>
          <w:color w:val="auto"/>
          <w:kern w:val="0"/>
          <w:sz w:val="32"/>
          <w:szCs w:val="32"/>
          <w:lang w:val="en-US" w:eastAsia="zh-CN"/>
        </w:rPr>
        <w:t xml:space="preserve"> </w:t>
      </w:r>
      <w:r>
        <w:rPr>
          <w:rFonts w:ascii="Times New Roman" w:hAnsi="Times New Roman" w:eastAsia="方正仿宋_GBK" w:cs="Times New Roman"/>
          <w:color w:val="auto"/>
          <w:kern w:val="0"/>
          <w:sz w:val="32"/>
          <w:szCs w:val="32"/>
        </w:rPr>
        <w:t>田</w:t>
      </w:r>
      <w:r>
        <w:rPr>
          <w:rFonts w:hint="eastAsia" w:ascii="Times New Roman" w:hAnsi="Times New Roman" w:eastAsia="方正仿宋_GBK" w:cs="Times New Roman"/>
          <w:color w:val="auto"/>
          <w:kern w:val="0"/>
          <w:sz w:val="32"/>
          <w:szCs w:val="32"/>
          <w:lang w:val="en-US" w:eastAsia="zh-CN"/>
        </w:rPr>
        <w:t xml:space="preserve">  </w:t>
      </w:r>
      <w:r>
        <w:rPr>
          <w:rFonts w:ascii="Times New Roman" w:hAnsi="Times New Roman" w:eastAsia="方正仿宋_GBK" w:cs="Times New Roman"/>
          <w:color w:val="auto"/>
          <w:kern w:val="0"/>
          <w:sz w:val="32"/>
          <w:szCs w:val="32"/>
        </w:rPr>
        <w:t xml:space="preserve">原   </w:t>
      </w:r>
      <w:r>
        <w:rPr>
          <w:rFonts w:hint="eastAsia" w:ascii="Times New Roman" w:hAnsi="Times New Roman" w:eastAsia="方正仿宋_GBK" w:cs="Times New Roman"/>
          <w:color w:val="auto"/>
          <w:kern w:val="0"/>
          <w:sz w:val="32"/>
          <w:szCs w:val="32"/>
          <w:lang w:val="en-US" w:eastAsia="zh-CN"/>
        </w:rPr>
        <w:t xml:space="preserve">   </w:t>
      </w:r>
      <w:r>
        <w:rPr>
          <w:rFonts w:ascii="Times New Roman" w:hAnsi="Times New Roman" w:eastAsia="方正仿宋_GBK" w:cs="Times New Roman"/>
          <w:color w:val="auto"/>
          <w:kern w:val="0"/>
          <w:sz w:val="32"/>
          <w:szCs w:val="32"/>
        </w:rPr>
        <w:t xml:space="preserve">85393183 </w:t>
      </w:r>
    </w:p>
    <w:p w14:paraId="3C5770E3">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1280" w:firstLineChars="400"/>
        <w:jc w:val="left"/>
        <w:textAlignment w:val="auto"/>
        <w:rPr>
          <w:rFonts w:ascii="Times New Roman" w:hAnsi="Times New Roman" w:eastAsia="方正仿宋_GBK" w:cs="Times New Roman"/>
          <w:color w:val="auto"/>
          <w:kern w:val="0"/>
          <w:sz w:val="32"/>
          <w:szCs w:val="32"/>
        </w:rPr>
      </w:pPr>
    </w:p>
    <w:p w14:paraId="5776BD2A">
      <w:pPr>
        <w:pStyle w:val="12"/>
        <w:keepNext w:val="0"/>
        <w:keepLines w:val="0"/>
        <w:pageBreakBefore w:val="0"/>
        <w:kinsoku/>
        <w:wordWrap/>
        <w:overflowPunct/>
        <w:topLinePunct w:val="0"/>
        <w:autoSpaceDE/>
        <w:autoSpaceDN/>
        <w:bidi w:val="0"/>
        <w:adjustRightInd/>
        <w:snapToGrid/>
        <w:spacing w:before="0" w:beforeAutospacing="0" w:after="0" w:afterAutospacing="0" w:line="520" w:lineRule="exact"/>
        <w:ind w:left="1476" w:leftChars="304" w:right="318" w:hanging="838" w:hangingChars="262"/>
        <w:jc w:val="both"/>
        <w:textAlignment w:val="auto"/>
        <w:rPr>
          <w:rFonts w:hint="eastAsia"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附件：1、</w:t>
      </w:r>
      <w:r>
        <w:rPr>
          <w:rFonts w:hint="eastAsia" w:ascii="Times New Roman" w:hAnsi="Times New Roman" w:eastAsia="方正仿宋_GBK" w:cs="Times New Roman"/>
          <w:color w:val="auto"/>
          <w:sz w:val="32"/>
          <w:szCs w:val="32"/>
        </w:rPr>
        <w:t>栖霞区2026年</w:t>
      </w:r>
      <w:r>
        <w:rPr>
          <w:rFonts w:hint="eastAsia" w:ascii="Times New Roman" w:hAnsi="Times New Roman" w:eastAsia="方正仿宋_GBK" w:cs="Times New Roman"/>
          <w:color w:val="auto"/>
          <w:sz w:val="32"/>
          <w:szCs w:val="32"/>
          <w:lang w:eastAsia="zh-CN"/>
        </w:rPr>
        <w:t>第二批</w:t>
      </w:r>
      <w:r>
        <w:rPr>
          <w:rFonts w:hint="eastAsia" w:ascii="Times New Roman" w:hAnsi="Times New Roman" w:eastAsia="方正仿宋_GBK" w:cs="Times New Roman"/>
          <w:color w:val="auto"/>
          <w:sz w:val="32"/>
          <w:szCs w:val="32"/>
        </w:rPr>
        <w:t>省级现代农业发展补助专项资金实施指导意见</w:t>
      </w:r>
    </w:p>
    <w:p w14:paraId="6B07DC5A">
      <w:pPr>
        <w:pStyle w:val="1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520" w:lineRule="exact"/>
        <w:ind w:left="1476" w:leftChars="703" w:right="318" w:firstLine="0" w:firstLineChars="0"/>
        <w:jc w:val="both"/>
        <w:textAlignment w:val="auto"/>
        <w:rPr>
          <w:rFonts w:hint="eastAsia"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栖霞区2026年</w:t>
      </w:r>
      <w:r>
        <w:rPr>
          <w:rFonts w:hint="eastAsia" w:ascii="Times New Roman" w:hAnsi="Times New Roman" w:eastAsia="方正仿宋_GBK" w:cs="Times New Roman"/>
          <w:color w:val="auto"/>
          <w:sz w:val="32"/>
          <w:szCs w:val="32"/>
          <w:lang w:eastAsia="zh-CN"/>
        </w:rPr>
        <w:t>第二批</w:t>
      </w:r>
      <w:r>
        <w:rPr>
          <w:rFonts w:hint="eastAsia" w:ascii="Times New Roman" w:hAnsi="Times New Roman" w:eastAsia="方正仿宋_GBK" w:cs="Times New Roman"/>
          <w:color w:val="auto"/>
          <w:sz w:val="32"/>
          <w:szCs w:val="32"/>
        </w:rPr>
        <w:t>省级现代农业发展补助专项资金</w:t>
      </w:r>
      <w:r>
        <w:rPr>
          <w:rFonts w:ascii="Times New Roman" w:hAnsi="Times New Roman" w:eastAsia="方正仿宋_GBK" w:cs="Times New Roman"/>
          <w:color w:val="auto"/>
          <w:sz w:val="32"/>
          <w:szCs w:val="32"/>
        </w:rPr>
        <w:t>安排计划</w:t>
      </w:r>
      <w:r>
        <w:rPr>
          <w:rFonts w:hint="eastAsia" w:ascii="Times New Roman" w:hAnsi="Times New Roman" w:eastAsia="方正仿宋_GBK" w:cs="Times New Roman"/>
          <w:color w:val="auto"/>
          <w:sz w:val="32"/>
          <w:szCs w:val="32"/>
        </w:rPr>
        <w:t>表</w:t>
      </w:r>
    </w:p>
    <w:p w14:paraId="3738729E">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960" w:firstLineChars="300"/>
        <w:jc w:val="both"/>
        <w:textAlignment w:val="auto"/>
        <w:rPr>
          <w:rFonts w:ascii="Times New Roman" w:hAnsi="Times New Roman" w:eastAsia="方正仿宋_GBK" w:cs="Times New Roman"/>
          <w:color w:val="auto"/>
          <w:kern w:val="0"/>
          <w:sz w:val="32"/>
          <w:szCs w:val="32"/>
        </w:rPr>
      </w:pPr>
    </w:p>
    <w:p w14:paraId="1F80C7A2">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640" w:firstLineChars="200"/>
        <w:jc w:val="both"/>
        <w:textAlignment w:val="auto"/>
        <w:rPr>
          <w:rFonts w:ascii="Times New Roman" w:hAnsi="Times New Roman" w:eastAsia="方正仿宋_GBK" w:cs="Times New Roman"/>
          <w:color w:val="auto"/>
          <w:kern w:val="0"/>
          <w:sz w:val="32"/>
          <w:szCs w:val="32"/>
        </w:rPr>
      </w:pPr>
      <w:r>
        <w:rPr>
          <w:rFonts w:ascii="Times New Roman" w:hAnsi="Times New Roman" w:eastAsia="方正仿宋_GBK" w:cs="Times New Roman"/>
          <w:color w:val="auto"/>
          <w:kern w:val="0"/>
          <w:sz w:val="32"/>
          <w:szCs w:val="32"/>
        </w:rPr>
        <w:t xml:space="preserve">  </w:t>
      </w:r>
    </w:p>
    <w:p w14:paraId="5C073094">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640" w:firstLineChars="200"/>
        <w:jc w:val="both"/>
        <w:textAlignment w:val="auto"/>
        <w:rPr>
          <w:rFonts w:ascii="Times New Roman" w:hAnsi="Times New Roman" w:eastAsia="方正仿宋_GBK" w:cs="Times New Roman"/>
          <w:color w:val="auto"/>
          <w:kern w:val="0"/>
          <w:sz w:val="32"/>
          <w:szCs w:val="32"/>
        </w:rPr>
      </w:pPr>
      <w:r>
        <w:rPr>
          <w:rFonts w:ascii="Times New Roman" w:hAnsi="Times New Roman" w:eastAsia="方正仿宋_GBK" w:cs="Times New Roman"/>
          <w:color w:val="auto"/>
          <w:kern w:val="0"/>
          <w:sz w:val="32"/>
          <w:szCs w:val="32"/>
        </w:rPr>
        <w:t xml:space="preserve">        </w:t>
      </w:r>
      <w:r>
        <w:rPr>
          <w:rFonts w:hint="eastAsia" w:ascii="Times New Roman" w:hAnsi="Times New Roman" w:eastAsia="方正仿宋_GBK" w:cs="Times New Roman"/>
          <w:color w:val="auto"/>
          <w:kern w:val="0"/>
          <w:sz w:val="32"/>
          <w:szCs w:val="32"/>
          <w:lang w:val="en-US" w:eastAsia="zh-CN"/>
        </w:rPr>
        <w:t xml:space="preserve"> </w:t>
      </w:r>
      <w:r>
        <w:rPr>
          <w:rFonts w:ascii="Times New Roman" w:hAnsi="Times New Roman" w:eastAsia="方正仿宋_GBK" w:cs="Times New Roman"/>
          <w:color w:val="auto"/>
          <w:kern w:val="0"/>
          <w:sz w:val="32"/>
          <w:szCs w:val="32"/>
        </w:rPr>
        <w:t xml:space="preserve">  栖霞区农业农村局       栖霞区财政局</w:t>
      </w:r>
    </w:p>
    <w:p w14:paraId="6C35CEB7">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640" w:firstLineChars="200"/>
        <w:jc w:val="both"/>
        <w:textAlignment w:val="auto"/>
        <w:rPr>
          <w:rFonts w:ascii="Times New Roman" w:hAnsi="Times New Roman" w:eastAsia="方正仿宋_GBK" w:cs="Times New Roman"/>
          <w:color w:val="auto"/>
          <w:kern w:val="0"/>
          <w:sz w:val="32"/>
          <w:szCs w:val="32"/>
        </w:rPr>
      </w:pPr>
      <w:r>
        <w:rPr>
          <w:rFonts w:ascii="Times New Roman" w:hAnsi="Times New Roman" w:eastAsia="方正仿宋_GBK" w:cs="Times New Roman"/>
          <w:color w:val="auto"/>
          <w:kern w:val="0"/>
          <w:sz w:val="32"/>
          <w:szCs w:val="32"/>
        </w:rPr>
        <w:t xml:space="preserve">                      </w:t>
      </w:r>
      <w:r>
        <w:rPr>
          <w:rFonts w:hint="eastAsia" w:ascii="Times New Roman" w:hAnsi="Times New Roman" w:eastAsia="方正仿宋_GBK" w:cs="Times New Roman"/>
          <w:color w:val="auto"/>
          <w:kern w:val="0"/>
          <w:sz w:val="32"/>
          <w:szCs w:val="32"/>
          <w:lang w:val="en-US" w:eastAsia="zh-CN"/>
        </w:rPr>
        <w:t>2026</w:t>
      </w:r>
      <w:r>
        <w:rPr>
          <w:rFonts w:ascii="Times New Roman" w:hAnsi="Times New Roman" w:eastAsia="方正仿宋_GBK" w:cs="Times New Roman"/>
          <w:color w:val="auto"/>
          <w:kern w:val="0"/>
          <w:sz w:val="32"/>
          <w:szCs w:val="32"/>
        </w:rPr>
        <w:t>年</w:t>
      </w:r>
      <w:r>
        <w:rPr>
          <w:rFonts w:hint="eastAsia" w:ascii="Times New Roman" w:hAnsi="Times New Roman" w:eastAsia="方正仿宋_GBK" w:cs="Times New Roman"/>
          <w:color w:val="auto"/>
          <w:kern w:val="0"/>
          <w:sz w:val="32"/>
          <w:szCs w:val="32"/>
          <w:lang w:val="en-US" w:eastAsia="zh-CN"/>
        </w:rPr>
        <w:t>10</w:t>
      </w:r>
      <w:r>
        <w:rPr>
          <w:rFonts w:ascii="Times New Roman" w:hAnsi="Times New Roman" w:eastAsia="方正仿宋_GBK" w:cs="Times New Roman"/>
          <w:color w:val="auto"/>
          <w:kern w:val="0"/>
          <w:sz w:val="32"/>
          <w:szCs w:val="32"/>
        </w:rPr>
        <w:t>月</w:t>
      </w:r>
      <w:r>
        <w:rPr>
          <w:rFonts w:hint="eastAsia" w:ascii="Times New Roman" w:hAnsi="Times New Roman" w:eastAsia="方正仿宋_GBK" w:cs="Times New Roman"/>
          <w:color w:val="auto"/>
          <w:kern w:val="0"/>
          <w:sz w:val="32"/>
          <w:szCs w:val="32"/>
          <w:lang w:val="en-US" w:eastAsia="zh-CN"/>
        </w:rPr>
        <w:t>26</w:t>
      </w:r>
      <w:r>
        <w:rPr>
          <w:rFonts w:ascii="Times New Roman" w:hAnsi="Times New Roman" w:eastAsia="方正仿宋_GBK" w:cs="Times New Roman"/>
          <w:color w:val="auto"/>
          <w:kern w:val="0"/>
          <w:sz w:val="32"/>
          <w:szCs w:val="32"/>
        </w:rPr>
        <w:t>日</w:t>
      </w:r>
    </w:p>
    <w:p w14:paraId="0581C06E">
      <w:pPr>
        <w:keepNext w:val="0"/>
        <w:keepLines w:val="0"/>
        <w:pageBreakBefore w:val="0"/>
        <w:kinsoku/>
        <w:wordWrap/>
        <w:overflowPunct/>
        <w:topLinePunct w:val="0"/>
        <w:autoSpaceDE/>
        <w:autoSpaceDN/>
        <w:bidi w:val="0"/>
        <w:adjustRightInd/>
        <w:snapToGrid/>
        <w:spacing w:line="520" w:lineRule="exact"/>
        <w:textAlignment w:val="auto"/>
        <w:rPr>
          <w:rFonts w:ascii="Times New Roman" w:hAnsi="Times New Roman" w:eastAsia="方正仿宋_GBK" w:cs="Times New Roman"/>
          <w:color w:val="auto"/>
          <w:sz w:val="32"/>
          <w:szCs w:val="32"/>
        </w:rPr>
      </w:pPr>
    </w:p>
    <w:p w14:paraId="7EFFE5B0">
      <w:pPr>
        <w:pStyle w:val="2"/>
        <w:keepNext w:val="0"/>
        <w:keepLines w:val="0"/>
        <w:pageBreakBefore w:val="0"/>
        <w:kinsoku/>
        <w:wordWrap/>
        <w:overflowPunct/>
        <w:topLinePunct w:val="0"/>
        <w:autoSpaceDE/>
        <w:autoSpaceDN/>
        <w:bidi w:val="0"/>
        <w:spacing w:line="520" w:lineRule="exact"/>
        <w:textAlignment w:val="auto"/>
        <w:rPr>
          <w:rFonts w:hint="default" w:ascii="Times New Roman" w:hAnsi="Times New Roman" w:cs="Times New Roman"/>
          <w:color w:val="auto"/>
        </w:rPr>
      </w:pPr>
    </w:p>
    <w:p w14:paraId="3D40F635">
      <w:pPr>
        <w:rPr>
          <w:rFonts w:hint="default" w:ascii="Times New Roman" w:hAnsi="Times New Roman" w:cs="Times New Roman"/>
          <w:color w:val="auto"/>
        </w:rPr>
      </w:pPr>
    </w:p>
    <w:p w14:paraId="2AFD67BD">
      <w:pPr>
        <w:pStyle w:val="4"/>
        <w:rPr>
          <w:rFonts w:hint="default" w:ascii="Times New Roman" w:hAnsi="Times New Roman"/>
        </w:rPr>
      </w:pPr>
    </w:p>
    <w:p w14:paraId="65D084A4">
      <w:pPr>
        <w:rPr>
          <w:rFonts w:hint="default" w:ascii="Times New Roman" w:hAnsi="Times New Roman" w:cs="Times New Roman"/>
          <w:color w:val="auto"/>
        </w:rPr>
      </w:pPr>
    </w:p>
    <w:p w14:paraId="7A2BF3E8">
      <w:pPr>
        <w:pStyle w:val="4"/>
        <w:rPr>
          <w:rFonts w:hint="default" w:ascii="Times New Roman" w:hAnsi="Times New Roman" w:cs="Times New Roman"/>
          <w:color w:val="auto"/>
        </w:rPr>
      </w:pPr>
    </w:p>
    <w:p w14:paraId="2D37FAB3">
      <w:pPr>
        <w:rPr>
          <w:rFonts w:hint="default"/>
        </w:rPr>
      </w:pPr>
      <w:r>
        <w:rPr>
          <w:rFonts w:hint="default"/>
        </w:rPr>
        <w:br w:type="page"/>
      </w:r>
    </w:p>
    <w:p w14:paraId="1B806853">
      <w:pPr>
        <w:keepNext w:val="0"/>
        <w:keepLines w:val="0"/>
        <w:pageBreakBefore w:val="0"/>
        <w:kinsoku/>
        <w:wordWrap/>
        <w:overflowPunct/>
        <w:topLinePunct w:val="0"/>
        <w:autoSpaceDE/>
        <w:autoSpaceDN/>
        <w:bidi w:val="0"/>
        <w:spacing w:line="520" w:lineRule="exact"/>
        <w:textAlignment w:val="auto"/>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附件1：</w:t>
      </w:r>
    </w:p>
    <w:p w14:paraId="1AEA72A9">
      <w:pPr>
        <w:keepNext w:val="0"/>
        <w:keepLines w:val="0"/>
        <w:pageBreakBefore w:val="0"/>
        <w:kinsoku/>
        <w:wordWrap/>
        <w:overflowPunct/>
        <w:topLinePunct w:val="0"/>
        <w:autoSpaceDE/>
        <w:autoSpaceDN/>
        <w:bidi w:val="0"/>
        <w:adjustRightInd/>
        <w:spacing w:line="560" w:lineRule="exact"/>
        <w:jc w:val="center"/>
        <w:textAlignment w:val="baseline"/>
        <w:rPr>
          <w:rFonts w:hint="eastAsia" w:ascii="Times New Roman" w:hAnsi="Times New Roman" w:eastAsia="方正小标宋简体" w:cs="Times New Roman"/>
          <w:color w:val="auto"/>
          <w:sz w:val="44"/>
          <w:szCs w:val="44"/>
        </w:rPr>
      </w:pPr>
      <w:r>
        <w:rPr>
          <w:rFonts w:hint="eastAsia" w:ascii="Times New Roman" w:hAnsi="Times New Roman" w:eastAsia="方正小标宋简体" w:cs="Times New Roman"/>
          <w:color w:val="auto"/>
          <w:sz w:val="44"/>
          <w:szCs w:val="44"/>
        </w:rPr>
        <w:t>栖霞区2026年</w:t>
      </w:r>
      <w:r>
        <w:rPr>
          <w:rFonts w:hint="eastAsia" w:ascii="Times New Roman" w:hAnsi="Times New Roman" w:eastAsia="方正小标宋简体" w:cs="Times New Roman"/>
          <w:color w:val="auto"/>
          <w:sz w:val="44"/>
          <w:szCs w:val="44"/>
          <w:lang w:eastAsia="zh-CN"/>
        </w:rPr>
        <w:t>第二批</w:t>
      </w:r>
      <w:r>
        <w:rPr>
          <w:rFonts w:hint="eastAsia" w:ascii="Times New Roman" w:hAnsi="Times New Roman" w:eastAsia="方正小标宋简体" w:cs="Times New Roman"/>
          <w:color w:val="auto"/>
          <w:sz w:val="44"/>
          <w:szCs w:val="44"/>
        </w:rPr>
        <w:t>省级现代农业发展补助专项资金实施指导意见</w:t>
      </w:r>
    </w:p>
    <w:p w14:paraId="490F1565">
      <w:pPr>
        <w:jc w:val="center"/>
        <w:rPr>
          <w:rFonts w:hint="eastAsia" w:ascii="方正小标宋_GBK" w:hAnsi="方正小标宋_GBK" w:eastAsia="方正小标宋_GBK" w:cs="方正小标宋_GBK"/>
          <w:sz w:val="44"/>
          <w:szCs w:val="44"/>
          <w:lang w:val="en-US" w:eastAsia="zh-CN"/>
        </w:rPr>
      </w:pPr>
    </w:p>
    <w:p w14:paraId="1E829F9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现代农业发展补助专项</w:t>
      </w:r>
    </w:p>
    <w:p w14:paraId="56D7410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sz w:val="36"/>
          <w:szCs w:val="36"/>
          <w:lang w:val="en-US" w:eastAsia="zh-CN"/>
        </w:rPr>
      </w:pPr>
      <w:r>
        <w:rPr>
          <w:rFonts w:hint="eastAsia" w:ascii="方正小标宋_GBK" w:hAnsi="方正小标宋_GBK" w:eastAsia="方正小标宋_GBK" w:cs="方正小标宋_GBK"/>
          <w:sz w:val="36"/>
          <w:szCs w:val="36"/>
          <w:lang w:val="en-US" w:eastAsia="zh-CN"/>
        </w:rPr>
        <w:t>-农业综合执法实施指导意见</w:t>
      </w:r>
    </w:p>
    <w:p w14:paraId="5DA76DE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lang w:val="en-US" w:eastAsia="zh-CN"/>
        </w:rPr>
      </w:pPr>
    </w:p>
    <w:p w14:paraId="52BB7E74">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工作内容</w:t>
      </w:r>
    </w:p>
    <w:p w14:paraId="44645BE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支持区级开展省级部署专项执法工作，配齐更新执法办案取证设备，保障省级执法信息系统平稳运行。</w:t>
      </w:r>
    </w:p>
    <w:p w14:paraId="06178BB4">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资金预算</w:t>
      </w:r>
    </w:p>
    <w:p w14:paraId="456A76A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w:t>
      </w:r>
      <w:r>
        <w:rPr>
          <w:rFonts w:hint="eastAsia" w:ascii="Times New Roman" w:hAnsi="Times New Roman" w:eastAsia="方正仿宋_GBK" w:cs="Times New Roman"/>
          <w:sz w:val="32"/>
          <w:szCs w:val="32"/>
          <w:lang w:val="en-US" w:eastAsia="zh-CN"/>
        </w:rPr>
        <w:t>全区共计4万元。</w:t>
      </w:r>
    </w:p>
    <w:p w14:paraId="78EA8332">
      <w:pPr>
        <w:ind w:firstLine="640" w:firstLineChars="200"/>
        <w:rPr>
          <w:rFonts w:hint="eastAsia" w:ascii="方正仿宋_GBK" w:hAnsi="方正仿宋_GBK" w:eastAsia="方正仿宋_GBK" w:cs="方正仿宋_GBK"/>
          <w:sz w:val="32"/>
          <w:szCs w:val="32"/>
          <w:lang w:val="en-US" w:eastAsia="zh-CN"/>
        </w:rPr>
      </w:pPr>
    </w:p>
    <w:p w14:paraId="2ABB78B9">
      <w:pPr>
        <w:rPr>
          <w:rFonts w:hint="eastAsia" w:ascii="Times New Roman" w:hAnsi="Times New Roman" w:eastAsia="方正小标宋_GBK"/>
          <w:sz w:val="36"/>
          <w:szCs w:val="36"/>
          <w:lang w:val="en-US" w:eastAsia="zh-CN"/>
        </w:rPr>
      </w:pPr>
    </w:p>
    <w:p w14:paraId="1E66AAE1">
      <w:pPr>
        <w:rPr>
          <w:rFonts w:hint="eastAsia" w:ascii="Times New Roman" w:hAnsi="Times New Roman" w:eastAsia="方正小标宋_GBK"/>
          <w:sz w:val="36"/>
          <w:szCs w:val="36"/>
          <w:lang w:val="en-US" w:eastAsia="zh-CN"/>
        </w:rPr>
      </w:pPr>
      <w:r>
        <w:rPr>
          <w:rFonts w:hint="eastAsia" w:ascii="Times New Roman" w:hAnsi="Times New Roman" w:eastAsia="方正小标宋_GBK"/>
          <w:sz w:val="36"/>
          <w:szCs w:val="36"/>
          <w:lang w:val="en-US" w:eastAsia="zh-CN"/>
        </w:rPr>
        <w:br w:type="page"/>
      </w:r>
    </w:p>
    <w:p w14:paraId="159993D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Times New Roman" w:hAnsi="Times New Roman" w:eastAsia="方正小标宋_GBK"/>
          <w:sz w:val="36"/>
          <w:szCs w:val="36"/>
        </w:rPr>
      </w:pPr>
      <w:r>
        <w:rPr>
          <w:rFonts w:hint="eastAsia" w:ascii="Times New Roman" w:hAnsi="Times New Roman" w:eastAsia="方正小标宋_GBK"/>
          <w:sz w:val="36"/>
          <w:szCs w:val="36"/>
          <w:lang w:val="en-US" w:eastAsia="zh-CN"/>
        </w:rPr>
        <w:t>省级现代</w:t>
      </w:r>
      <w:r>
        <w:rPr>
          <w:rFonts w:ascii="Times New Roman" w:hAnsi="Times New Roman" w:eastAsia="方正小标宋_GBK"/>
          <w:sz w:val="36"/>
          <w:szCs w:val="36"/>
        </w:rPr>
        <w:t>农业</w:t>
      </w:r>
      <w:r>
        <w:rPr>
          <w:rFonts w:hint="eastAsia" w:ascii="Times New Roman" w:hAnsi="Times New Roman" w:eastAsia="方正小标宋_GBK"/>
          <w:sz w:val="36"/>
          <w:szCs w:val="36"/>
          <w:lang w:val="en-US" w:eastAsia="zh-CN"/>
        </w:rPr>
        <w:t>发展</w:t>
      </w:r>
      <w:r>
        <w:rPr>
          <w:rFonts w:hint="eastAsia" w:ascii="Times New Roman" w:hAnsi="Times New Roman" w:eastAsia="方正小标宋_GBK"/>
          <w:sz w:val="36"/>
          <w:szCs w:val="36"/>
        </w:rPr>
        <w:t>补助</w:t>
      </w:r>
      <w:r>
        <w:rPr>
          <w:rFonts w:ascii="Times New Roman" w:hAnsi="Times New Roman" w:eastAsia="方正小标宋_GBK"/>
          <w:sz w:val="36"/>
          <w:szCs w:val="36"/>
        </w:rPr>
        <w:t>专项—</w:t>
      </w:r>
    </w:p>
    <w:p w14:paraId="45F7ABE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Times New Roman" w:hAnsi="Times New Roman" w:eastAsia="方正小标宋_GBK"/>
          <w:sz w:val="36"/>
          <w:szCs w:val="36"/>
        </w:rPr>
      </w:pPr>
      <w:r>
        <w:rPr>
          <w:rFonts w:hint="eastAsia" w:ascii="Times New Roman" w:hAnsi="Times New Roman" w:eastAsia="方正小标宋_GBK"/>
          <w:sz w:val="36"/>
          <w:szCs w:val="36"/>
          <w:lang w:val="en-US" w:eastAsia="zh-CN"/>
        </w:rPr>
        <w:t>农业废弃物回收</w:t>
      </w:r>
      <w:r>
        <w:rPr>
          <w:rFonts w:ascii="Times New Roman" w:hAnsi="Times New Roman" w:eastAsia="方正小标宋_GBK"/>
          <w:sz w:val="36"/>
          <w:szCs w:val="36"/>
        </w:rPr>
        <w:t>实施指导意见</w:t>
      </w:r>
    </w:p>
    <w:p w14:paraId="5037F27A">
      <w:pPr>
        <w:keepNext w:val="0"/>
        <w:keepLines w:val="0"/>
        <w:pageBreakBefore w:val="0"/>
        <w:widowControl w:val="0"/>
        <w:kinsoku/>
        <w:wordWrap/>
        <w:overflowPunct/>
        <w:topLinePunct w:val="0"/>
        <w:autoSpaceDE/>
        <w:autoSpaceDN/>
        <w:bidi w:val="0"/>
        <w:adjustRightInd/>
        <w:snapToGrid/>
        <w:spacing w:line="520" w:lineRule="exact"/>
        <w:textAlignment w:val="auto"/>
        <w:rPr>
          <w:rFonts w:ascii="Times New Roman" w:hAnsi="Times New Roman" w:eastAsia="仿宋_GB2312"/>
          <w:sz w:val="32"/>
          <w:szCs w:val="32"/>
        </w:rPr>
      </w:pPr>
    </w:p>
    <w:p w14:paraId="5080628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、工作内容</w:t>
      </w:r>
    </w:p>
    <w:p w14:paraId="7EFA60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开展农业废弃物回收工作。建立农业废弃物回收处理机制，完善回收网点布局，推动农业废弃物一体化回收、储存、转运、处理。科学推广应用加厚高强度地膜和全生物降解地膜，进一步完善废旧农膜回收处置体系，开展地膜残留监测等，提高地膜科学使用回收水平，促进农业绿色可持续发展。</w:t>
      </w:r>
    </w:p>
    <w:p w14:paraId="32CB64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、资金预算</w:t>
      </w:r>
    </w:p>
    <w:p w14:paraId="0B43677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全区共计16.5万元。</w:t>
      </w:r>
    </w:p>
    <w:p w14:paraId="4F1CDEC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br w:type="page"/>
      </w:r>
    </w:p>
    <w:p w14:paraId="6E471F59">
      <w:pPr>
        <w:pStyle w:val="6"/>
        <w:spacing w:line="520" w:lineRule="exact"/>
        <w:ind w:firstLine="0" w:firstLineChars="0"/>
        <w:jc w:val="center"/>
        <w:rPr>
          <w:rFonts w:eastAsia="方正小标宋简体"/>
          <w:sz w:val="36"/>
          <w:szCs w:val="36"/>
        </w:rPr>
      </w:pPr>
      <w:r>
        <w:rPr>
          <w:rFonts w:hint="eastAsia" w:eastAsia="方正小标宋简体"/>
          <w:sz w:val="36"/>
          <w:szCs w:val="36"/>
        </w:rPr>
        <w:t>2</w:t>
      </w:r>
      <w:r>
        <w:rPr>
          <w:rFonts w:eastAsia="方正小标宋简体"/>
          <w:sz w:val="36"/>
          <w:szCs w:val="36"/>
        </w:rPr>
        <w:t>02</w:t>
      </w:r>
      <w:r>
        <w:rPr>
          <w:rFonts w:hint="eastAsia" w:eastAsia="方正小标宋简体"/>
          <w:sz w:val="36"/>
          <w:szCs w:val="36"/>
        </w:rPr>
        <w:t>6年省级现代农业发展补助专项——</w:t>
      </w:r>
    </w:p>
    <w:p w14:paraId="29769077">
      <w:pPr>
        <w:pStyle w:val="6"/>
        <w:spacing w:line="520" w:lineRule="exact"/>
        <w:ind w:firstLine="0" w:firstLineChars="0"/>
        <w:jc w:val="center"/>
        <w:rPr>
          <w:rFonts w:eastAsia="方正小标宋简体"/>
          <w:sz w:val="36"/>
          <w:szCs w:val="36"/>
        </w:rPr>
      </w:pPr>
      <w:r>
        <w:rPr>
          <w:rFonts w:hint="eastAsia" w:eastAsia="方正小标宋简体"/>
          <w:sz w:val="36"/>
          <w:szCs w:val="36"/>
        </w:rPr>
        <w:t>秸秆综合利用实施指导意见</w:t>
      </w:r>
    </w:p>
    <w:p w14:paraId="36B62F8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sz w:val="32"/>
          <w:szCs w:val="32"/>
        </w:rPr>
      </w:pPr>
    </w:p>
    <w:p w14:paraId="427C5C00">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黑体"/>
          <w:sz w:val="32"/>
          <w:szCs w:val="32"/>
        </w:rPr>
      </w:pPr>
      <w:r>
        <w:rPr>
          <w:rFonts w:hint="eastAsia" w:ascii="Times New Roman" w:hAnsi="Times New Roman" w:eastAsia="黑体"/>
          <w:sz w:val="32"/>
          <w:szCs w:val="32"/>
        </w:rPr>
        <w:t>支持环节</w:t>
      </w:r>
    </w:p>
    <w:p w14:paraId="520C4E9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sz w:val="32"/>
          <w:szCs w:val="32"/>
        </w:rPr>
      </w:pPr>
      <w:r>
        <w:rPr>
          <w:rFonts w:hint="eastAsia" w:ascii="Times New Roman" w:hAnsi="Times New Roman" w:eastAsia="方正仿宋_GBK"/>
          <w:color w:val="000000"/>
          <w:sz w:val="32"/>
          <w:szCs w:val="32"/>
        </w:rPr>
        <w:t>根据要求，开展全区农作物秸秆机械化还田、秸秆犁耕深翻作业。</w:t>
      </w:r>
    </w:p>
    <w:p w14:paraId="507942C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黑体" w:cs="黑体"/>
          <w:sz w:val="32"/>
          <w:szCs w:val="32"/>
        </w:rPr>
      </w:pPr>
      <w:r>
        <w:rPr>
          <w:rFonts w:hint="eastAsia" w:ascii="Times New Roman" w:hAnsi="Times New Roman" w:eastAsia="黑体" w:cs="黑体"/>
          <w:sz w:val="32"/>
          <w:szCs w:val="32"/>
        </w:rPr>
        <w:t>二、秸秆机械化还田、犁耕深翻作业</w:t>
      </w:r>
    </w:p>
    <w:p w14:paraId="7246D8E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楷体_GBK" w:cs="方正楷体_GBK"/>
          <w:sz w:val="32"/>
          <w:szCs w:val="32"/>
        </w:rPr>
      </w:pPr>
      <w:bookmarkStart w:id="0" w:name="OLE_LINK4"/>
      <w:bookmarkStart w:id="1" w:name="OLE_LINK3"/>
      <w:r>
        <w:rPr>
          <w:rFonts w:hint="eastAsia" w:ascii="Times New Roman" w:hAnsi="Times New Roman" w:eastAsia="方正楷体_GBK" w:cs="方正楷体_GBK"/>
          <w:sz w:val="32"/>
          <w:szCs w:val="32"/>
        </w:rPr>
        <w:t>（一）补助对象和标准</w:t>
      </w:r>
      <w:bookmarkEnd w:id="0"/>
    </w:p>
    <w:bookmarkEnd w:id="1"/>
    <w:p w14:paraId="1C77005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全区2026年秸秆机械化还田、犁耕深翻作业采取“对象明确、村街审核、第三方核查、区级结算、直补到卡”的操作方式，补助对象按照“谁还田、补给谁”的要求，省市区三级作业补助直接补助到按作业标准实施全量秸秆机械化还田、犁耕深翻作业的实际种植户。</w:t>
      </w:r>
    </w:p>
    <w:p w14:paraId="5F80CF37">
      <w:pPr>
        <w:pStyle w:val="6"/>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秸秆机械化还田补助标准：20元/亩</w:t>
      </w:r>
      <w:r>
        <w:rPr>
          <w:rFonts w:hint="eastAsia" w:eastAsia="方正仿宋_GBK"/>
          <w:color w:val="000000"/>
          <w:sz w:val="32"/>
          <w:szCs w:val="32"/>
        </w:rPr>
        <w:t>（省级补贴</w:t>
      </w:r>
      <w:r>
        <w:rPr>
          <w:rFonts w:hint="eastAsia" w:eastAsia="方正仿宋_GBK"/>
          <w:color w:val="000000"/>
          <w:sz w:val="32"/>
          <w:szCs w:val="32"/>
          <w:lang w:val="en-US" w:eastAsia="zh-CN"/>
        </w:rPr>
        <w:t>10</w:t>
      </w:r>
      <w:r>
        <w:rPr>
          <w:rFonts w:hint="eastAsia" w:eastAsia="方正仿宋_GBK"/>
          <w:color w:val="000000"/>
          <w:sz w:val="32"/>
          <w:szCs w:val="32"/>
        </w:rPr>
        <w:t>元，市级10元）</w:t>
      </w:r>
      <w:r>
        <w:rPr>
          <w:rFonts w:hint="eastAsia" w:ascii="Times New Roman" w:hAnsi="Times New Roman" w:eastAsia="方正仿宋_GBK"/>
          <w:color w:val="000000"/>
          <w:sz w:val="32"/>
          <w:szCs w:val="32"/>
        </w:rPr>
        <w:t>。</w:t>
      </w:r>
    </w:p>
    <w:p w14:paraId="7BE3FAA6">
      <w:pPr>
        <w:pStyle w:val="6"/>
        <w:keepNext w:val="0"/>
        <w:keepLines w:val="0"/>
        <w:pageBreakBefore w:val="0"/>
        <w:widowControl w:val="0"/>
        <w:kinsoku/>
        <w:wordWrap/>
        <w:overflowPunct/>
        <w:topLinePunct w:val="0"/>
        <w:autoSpaceDE/>
        <w:autoSpaceDN/>
        <w:bidi w:val="0"/>
        <w:adjustRightInd/>
        <w:snapToGrid/>
        <w:spacing w:line="520" w:lineRule="exact"/>
        <w:ind w:firstLine="640"/>
        <w:textAlignment w:val="auto"/>
      </w:pPr>
      <w:r>
        <w:rPr>
          <w:rFonts w:hint="eastAsia" w:eastAsia="方正仿宋_GBK"/>
          <w:color w:val="000000"/>
          <w:sz w:val="32"/>
          <w:szCs w:val="32"/>
        </w:rPr>
        <w:t>秸秆犁耕深翻作业补助标准：50元/亩（省级补贴40元，市级10元）</w:t>
      </w:r>
    </w:p>
    <w:p w14:paraId="558A52E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楷体_GBK" w:cs="方正楷体_GBK"/>
          <w:sz w:val="32"/>
          <w:szCs w:val="32"/>
        </w:rPr>
      </w:pPr>
      <w:bookmarkStart w:id="2" w:name="OLE_LINK6"/>
      <w:r>
        <w:rPr>
          <w:rFonts w:hint="eastAsia" w:ascii="Times New Roman" w:hAnsi="Times New Roman" w:eastAsia="方正楷体_GBK" w:cs="方正楷体_GBK"/>
          <w:sz w:val="32"/>
          <w:szCs w:val="32"/>
        </w:rPr>
        <w:t>（二）规范资金兑付和管理</w:t>
      </w:r>
    </w:p>
    <w:bookmarkEnd w:id="2"/>
    <w:p w14:paraId="6252764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省级资金作为“约束性”任务，专项资金不得统筹使用。</w:t>
      </w:r>
      <w:r>
        <w:rPr>
          <w:rFonts w:hint="eastAsia" w:ascii="Times New Roman" w:hAnsi="Times New Roman" w:eastAsia="方正仿宋_GBK"/>
          <w:b/>
          <w:bCs/>
          <w:color w:val="000000"/>
          <w:sz w:val="32"/>
          <w:szCs w:val="32"/>
        </w:rPr>
        <w:t>一是兑付方式和时间</w:t>
      </w:r>
      <w:r>
        <w:rPr>
          <w:rFonts w:hint="eastAsia" w:ascii="Times New Roman" w:hAnsi="Times New Roman" w:eastAsia="方正仿宋_GBK"/>
          <w:color w:val="000000"/>
          <w:sz w:val="32"/>
          <w:szCs w:val="32"/>
        </w:rPr>
        <w:t>。由区级财政将补助资金通过“一卡（折）通”系统直接打卡给补助对象（补助对象为单位组织的直接支付到单位银行账户），并注明“秸秆还田”、“犁耕深翻作业”字样。夏季兑付截止时间为10月31日，秋季为次年3月31日。</w:t>
      </w:r>
      <w:r>
        <w:rPr>
          <w:rFonts w:hint="eastAsia" w:ascii="Times New Roman" w:hAnsi="Times New Roman" w:eastAsia="方正仿宋_GBK"/>
          <w:b/>
          <w:bCs/>
          <w:color w:val="000000"/>
          <w:sz w:val="32"/>
          <w:szCs w:val="32"/>
        </w:rPr>
        <w:t>二是资金管理</w:t>
      </w:r>
      <w:r>
        <w:rPr>
          <w:rFonts w:hint="eastAsia" w:ascii="Times New Roman" w:hAnsi="Times New Roman" w:eastAsia="方正仿宋_GBK"/>
          <w:color w:val="000000"/>
          <w:sz w:val="32"/>
          <w:szCs w:val="32"/>
        </w:rPr>
        <w:t>。按省级专项资金管理办法（苏财规〔2020〕1号）执行。凡是秸秆离田的不得同时享受还田作业补助。在“夏秋”当季按规定还田作业的可给予补助,不得跨季（年）作业补助。</w:t>
      </w:r>
    </w:p>
    <w:p w14:paraId="6C986E1C">
      <w:pPr>
        <w:pStyle w:val="6"/>
        <w:keepNext w:val="0"/>
        <w:keepLines w:val="0"/>
        <w:pageBreakBefore w:val="0"/>
        <w:widowControl w:val="0"/>
        <w:kinsoku/>
        <w:wordWrap/>
        <w:overflowPunct/>
        <w:topLinePunct w:val="0"/>
        <w:autoSpaceDE/>
        <w:autoSpaceDN/>
        <w:bidi w:val="0"/>
        <w:adjustRightInd/>
        <w:snapToGrid/>
        <w:spacing w:line="520" w:lineRule="exact"/>
        <w:ind w:firstLine="640"/>
        <w:textAlignment w:val="auto"/>
      </w:pPr>
      <w:r>
        <w:rPr>
          <w:rFonts w:hint="eastAsia" w:eastAsia="方正仿宋_GBK"/>
          <w:color w:val="000000"/>
          <w:sz w:val="32"/>
          <w:szCs w:val="32"/>
        </w:rPr>
        <w:t>秸秆机械化还田、犁耕深翻相关工作具体操作程序及工作职责依照《关于印发&lt;2026年栖霞区农作物秸秆综合利用实施方案和资金使用补助办法&gt;的通知》文件执行。</w:t>
      </w:r>
    </w:p>
    <w:p w14:paraId="353A2EA1">
      <w:pPr>
        <w:pStyle w:val="6"/>
        <w:rPr>
          <w:rFonts w:hint="eastAsia"/>
          <w:lang w:val="en-US" w:eastAsia="zh-CN"/>
        </w:rPr>
      </w:pPr>
    </w:p>
    <w:p w14:paraId="6FEDF733">
      <w:pPr>
        <w:bidi w:val="0"/>
        <w:rPr>
          <w:rFonts w:hint="eastAsia"/>
          <w:lang w:eastAsia="zh-CN"/>
        </w:rPr>
      </w:pPr>
    </w:p>
    <w:p w14:paraId="78319E02">
      <w:pPr>
        <w:rPr>
          <w:rFonts w:hint="eastAsia" w:ascii="Times New Roman" w:hAnsi="Times New Roman" w:eastAsia="黑体" w:cs="黑体"/>
          <w:i w:val="0"/>
          <w:iCs w:val="0"/>
          <w:color w:val="000000"/>
          <w:kern w:val="0"/>
          <w:sz w:val="32"/>
          <w:szCs w:val="32"/>
          <w:u w:val="none"/>
          <w:lang w:val="en-US" w:eastAsia="zh-CN" w:bidi="ar"/>
        </w:rPr>
      </w:pPr>
      <w:r>
        <w:rPr>
          <w:rFonts w:hint="eastAsia" w:ascii="Times New Roman" w:hAnsi="Times New Roman" w:eastAsia="黑体" w:cs="黑体"/>
          <w:i w:val="0"/>
          <w:iCs w:val="0"/>
          <w:color w:val="000000"/>
          <w:kern w:val="0"/>
          <w:sz w:val="32"/>
          <w:szCs w:val="32"/>
          <w:u w:val="none"/>
          <w:lang w:val="en-US" w:eastAsia="zh-CN" w:bidi="ar"/>
        </w:rPr>
        <w:br w:type="page"/>
      </w:r>
    </w:p>
    <w:p w14:paraId="697EB199">
      <w:pPr>
        <w:pStyle w:val="6"/>
        <w:rPr>
          <w:rFonts w:hint="eastAsia"/>
          <w:lang w:val="en-US" w:eastAsia="zh-CN"/>
        </w:rPr>
      </w:pPr>
    </w:p>
    <w:tbl>
      <w:tblPr>
        <w:tblStyle w:val="14"/>
        <w:tblW w:w="19844" w:type="dxa"/>
        <w:tblInd w:w="-5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8"/>
        <w:gridCol w:w="1577"/>
        <w:gridCol w:w="1604"/>
        <w:gridCol w:w="2726"/>
        <w:gridCol w:w="1325"/>
        <w:gridCol w:w="2116"/>
        <w:gridCol w:w="9728"/>
      </w:tblGrid>
      <w:tr w14:paraId="2826C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2345" w:type="dxa"/>
            <w:gridSpan w:val="2"/>
            <w:tcBorders>
              <w:top w:val="nil"/>
              <w:left w:val="nil"/>
              <w:bottom w:val="nil"/>
              <w:right w:val="nil"/>
            </w:tcBorders>
            <w:shd w:val="clear" w:color="auto" w:fill="auto"/>
            <w:vAlign w:val="center"/>
          </w:tcPr>
          <w:p w14:paraId="0036AEAA">
            <w:pPr>
              <w:keepNext w:val="0"/>
              <w:keepLines w:val="0"/>
              <w:widowControl/>
              <w:suppressLineNumbers w:val="0"/>
              <w:jc w:val="left"/>
              <w:textAlignment w:val="center"/>
              <w:rPr>
                <w:rFonts w:ascii="Times New Roman" w:hAnsi="Times New Roman" w:eastAsia="黑体" w:cs="黑体"/>
                <w:i w:val="0"/>
                <w:iCs w:val="0"/>
                <w:color w:val="000000"/>
                <w:sz w:val="30"/>
                <w:szCs w:val="30"/>
                <w:u w:val="none"/>
              </w:rPr>
            </w:pPr>
            <w:r>
              <w:rPr>
                <w:rFonts w:hint="eastAsia" w:ascii="Times New Roman" w:hAnsi="Times New Roman" w:eastAsia="黑体" w:cs="黑体"/>
                <w:i w:val="0"/>
                <w:iCs w:val="0"/>
                <w:color w:val="000000"/>
                <w:kern w:val="0"/>
                <w:sz w:val="32"/>
                <w:szCs w:val="32"/>
                <w:u w:val="none"/>
                <w:lang w:val="en-US" w:eastAsia="zh-CN" w:bidi="ar"/>
              </w:rPr>
              <w:t>附件2：</w:t>
            </w:r>
          </w:p>
        </w:tc>
        <w:tc>
          <w:tcPr>
            <w:tcW w:w="1604" w:type="dxa"/>
            <w:tcBorders>
              <w:top w:val="nil"/>
              <w:left w:val="nil"/>
              <w:bottom w:val="nil"/>
              <w:right w:val="nil"/>
            </w:tcBorders>
            <w:shd w:val="clear" w:color="auto" w:fill="auto"/>
            <w:vAlign w:val="center"/>
          </w:tcPr>
          <w:p w14:paraId="4A10A982">
            <w:pPr>
              <w:rPr>
                <w:rFonts w:hint="eastAsia" w:ascii="Times New Roman" w:hAnsi="Times New Roman" w:eastAsia="宋体" w:cs="宋体"/>
                <w:i w:val="0"/>
                <w:iCs w:val="0"/>
                <w:color w:val="000000"/>
                <w:sz w:val="22"/>
                <w:szCs w:val="22"/>
                <w:u w:val="none"/>
              </w:rPr>
            </w:pPr>
          </w:p>
        </w:tc>
        <w:tc>
          <w:tcPr>
            <w:tcW w:w="2726" w:type="dxa"/>
            <w:tcBorders>
              <w:top w:val="nil"/>
              <w:left w:val="nil"/>
              <w:bottom w:val="nil"/>
              <w:right w:val="nil"/>
            </w:tcBorders>
            <w:shd w:val="clear" w:color="auto" w:fill="auto"/>
            <w:vAlign w:val="center"/>
          </w:tcPr>
          <w:p w14:paraId="6273FCEA">
            <w:pPr>
              <w:rPr>
                <w:rFonts w:hint="eastAsia" w:ascii="Times New Roman" w:hAnsi="Times New Roman" w:eastAsia="宋体" w:cs="宋体"/>
                <w:i w:val="0"/>
                <w:iCs w:val="0"/>
                <w:color w:val="000000"/>
                <w:sz w:val="22"/>
                <w:szCs w:val="22"/>
                <w:u w:val="none"/>
              </w:rPr>
            </w:pPr>
          </w:p>
          <w:p w14:paraId="72F51888">
            <w:pPr>
              <w:pStyle w:val="4"/>
              <w:rPr>
                <w:rFonts w:hint="eastAsia"/>
              </w:rPr>
            </w:pPr>
          </w:p>
        </w:tc>
        <w:tc>
          <w:tcPr>
            <w:tcW w:w="1325" w:type="dxa"/>
            <w:tcBorders>
              <w:top w:val="nil"/>
              <w:left w:val="nil"/>
              <w:bottom w:val="nil"/>
              <w:right w:val="nil"/>
            </w:tcBorders>
            <w:shd w:val="clear" w:color="auto" w:fill="auto"/>
            <w:vAlign w:val="center"/>
          </w:tcPr>
          <w:p w14:paraId="62C5B345">
            <w:pPr>
              <w:jc w:val="center"/>
              <w:rPr>
                <w:rFonts w:hint="eastAsia" w:ascii="Times New Roman" w:hAnsi="Times New Roman" w:eastAsia="宋体" w:cs="宋体"/>
                <w:i w:val="0"/>
                <w:iCs w:val="0"/>
                <w:color w:val="000000"/>
                <w:sz w:val="22"/>
                <w:szCs w:val="22"/>
                <w:u w:val="none"/>
              </w:rPr>
            </w:pPr>
          </w:p>
        </w:tc>
        <w:tc>
          <w:tcPr>
            <w:tcW w:w="2116" w:type="dxa"/>
            <w:tcBorders>
              <w:top w:val="nil"/>
              <w:left w:val="nil"/>
              <w:bottom w:val="nil"/>
              <w:right w:val="nil"/>
            </w:tcBorders>
            <w:shd w:val="clear" w:color="auto" w:fill="auto"/>
            <w:vAlign w:val="center"/>
          </w:tcPr>
          <w:p w14:paraId="3A97F68B">
            <w:pPr>
              <w:jc w:val="center"/>
              <w:rPr>
                <w:rFonts w:hint="eastAsia" w:ascii="Times New Roman" w:hAnsi="Times New Roman" w:eastAsia="宋体" w:cs="宋体"/>
                <w:i w:val="0"/>
                <w:iCs w:val="0"/>
                <w:color w:val="000000"/>
                <w:sz w:val="22"/>
                <w:szCs w:val="22"/>
                <w:u w:val="none"/>
              </w:rPr>
            </w:pPr>
          </w:p>
        </w:tc>
        <w:tc>
          <w:tcPr>
            <w:tcW w:w="9728" w:type="dxa"/>
            <w:tcBorders>
              <w:top w:val="nil"/>
              <w:left w:val="nil"/>
              <w:bottom w:val="nil"/>
              <w:right w:val="nil"/>
            </w:tcBorders>
            <w:shd w:val="clear" w:color="auto" w:fill="auto"/>
            <w:vAlign w:val="center"/>
          </w:tcPr>
          <w:p w14:paraId="0D9F0475">
            <w:pPr>
              <w:jc w:val="center"/>
              <w:rPr>
                <w:rFonts w:hint="eastAsia" w:ascii="Times New Roman" w:hAnsi="Times New Roman" w:eastAsia="宋体" w:cs="宋体"/>
                <w:i w:val="0"/>
                <w:iCs w:val="0"/>
                <w:color w:val="000000"/>
                <w:sz w:val="22"/>
                <w:szCs w:val="22"/>
                <w:u w:val="none"/>
              </w:rPr>
            </w:pPr>
          </w:p>
        </w:tc>
      </w:tr>
      <w:tr w14:paraId="15035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6" w:hRule="atLeast"/>
        </w:trPr>
        <w:tc>
          <w:tcPr>
            <w:tcW w:w="10116" w:type="dxa"/>
            <w:gridSpan w:val="6"/>
            <w:tcBorders>
              <w:top w:val="nil"/>
              <w:left w:val="nil"/>
              <w:bottom w:val="nil"/>
              <w:right w:val="nil"/>
            </w:tcBorders>
            <w:shd w:val="clear" w:color="auto" w:fill="auto"/>
            <w:vAlign w:val="center"/>
          </w:tcPr>
          <w:p w14:paraId="4F466D01">
            <w:pPr>
              <w:keepNext w:val="0"/>
              <w:keepLines w:val="0"/>
              <w:pageBreakBefore w:val="0"/>
              <w:widowControl/>
              <w:suppressLineNumbers w:val="0"/>
              <w:kinsoku/>
              <w:wordWrap/>
              <w:overflowPunct/>
              <w:topLinePunct w:val="0"/>
              <w:autoSpaceDE/>
              <w:autoSpaceDN/>
              <w:bidi w:val="0"/>
              <w:adjustRightInd/>
              <w:snapToGrid/>
              <w:spacing w:line="500" w:lineRule="exact"/>
              <w:ind w:left="-1260" w:leftChars="-600" w:firstLine="0" w:firstLineChars="0"/>
              <w:jc w:val="center"/>
              <w:textAlignment w:val="center"/>
              <w:rPr>
                <w:rFonts w:hint="eastAsia" w:ascii="Times New Roman" w:hAnsi="Times New Roman" w:eastAsia="方正小标宋简体" w:cstheme="minorBidi"/>
                <w:b w:val="0"/>
                <w:bCs w:val="0"/>
                <w:kern w:val="2"/>
                <w:sz w:val="36"/>
                <w:szCs w:val="36"/>
                <w:lang w:val="en-US" w:eastAsia="zh-CN" w:bidi="ar-SA"/>
              </w:rPr>
            </w:pPr>
            <w:r>
              <w:rPr>
                <w:rFonts w:hint="eastAsia" w:ascii="Times New Roman" w:hAnsi="Times New Roman" w:eastAsia="宋体" w:cs="宋体"/>
                <w:i w:val="0"/>
                <w:iCs w:val="0"/>
                <w:color w:val="000000"/>
                <w:kern w:val="0"/>
                <w:sz w:val="36"/>
                <w:szCs w:val="36"/>
                <w:u w:val="none"/>
                <w:lang w:val="en-US" w:eastAsia="zh-CN" w:bidi="ar"/>
              </w:rPr>
              <w:t xml:space="preserve">     </w:t>
            </w:r>
            <w:r>
              <w:rPr>
                <w:rFonts w:hint="eastAsia" w:ascii="Times New Roman" w:hAnsi="Times New Roman" w:eastAsia="方正小标宋简体" w:cstheme="minorBidi"/>
                <w:b w:val="0"/>
                <w:bCs w:val="0"/>
                <w:kern w:val="2"/>
                <w:sz w:val="36"/>
                <w:szCs w:val="36"/>
                <w:lang w:val="en-US" w:eastAsia="zh-CN" w:bidi="ar-SA"/>
              </w:rPr>
              <w:t>栖霞区2026年第二批省级现代农业发展补助专项资金</w:t>
            </w:r>
          </w:p>
          <w:p w14:paraId="264F8D01">
            <w:pPr>
              <w:keepNext w:val="0"/>
              <w:keepLines w:val="0"/>
              <w:pageBreakBefore w:val="0"/>
              <w:widowControl/>
              <w:suppressLineNumbers w:val="0"/>
              <w:kinsoku/>
              <w:wordWrap/>
              <w:overflowPunct/>
              <w:topLinePunct w:val="0"/>
              <w:autoSpaceDE/>
              <w:autoSpaceDN/>
              <w:bidi w:val="0"/>
              <w:adjustRightInd/>
              <w:snapToGrid/>
              <w:spacing w:line="500" w:lineRule="exact"/>
              <w:ind w:left="-1260" w:leftChars="-600" w:firstLine="0" w:firstLineChars="0"/>
              <w:jc w:val="center"/>
              <w:textAlignment w:val="center"/>
              <w:rPr>
                <w:rFonts w:hint="eastAsia" w:ascii="Times New Roman" w:hAnsi="Times New Roman" w:eastAsia="方正小标宋简体" w:cstheme="minorBidi"/>
                <w:b w:val="0"/>
                <w:bCs w:val="0"/>
                <w:kern w:val="2"/>
                <w:sz w:val="36"/>
                <w:szCs w:val="36"/>
                <w:lang w:val="en-US" w:eastAsia="zh-CN" w:bidi="ar-SA"/>
              </w:rPr>
            </w:pPr>
            <w:r>
              <w:rPr>
                <w:rFonts w:hint="eastAsia" w:ascii="Times New Roman" w:hAnsi="Times New Roman" w:eastAsia="方正小标宋简体" w:cstheme="minorBidi"/>
                <w:b w:val="0"/>
                <w:bCs w:val="0"/>
                <w:kern w:val="2"/>
                <w:sz w:val="36"/>
                <w:szCs w:val="36"/>
                <w:lang w:val="en-US" w:eastAsia="zh-CN" w:bidi="ar-SA"/>
              </w:rPr>
              <w:t>安排计划表</w:t>
            </w:r>
          </w:p>
          <w:p w14:paraId="24734852">
            <w:pPr>
              <w:pStyle w:val="4"/>
              <w:rPr>
                <w:rFonts w:hint="eastAsia"/>
              </w:rPr>
            </w:pPr>
          </w:p>
        </w:tc>
        <w:tc>
          <w:tcPr>
            <w:tcW w:w="9728" w:type="dxa"/>
            <w:tcBorders>
              <w:top w:val="nil"/>
              <w:left w:val="nil"/>
              <w:bottom w:val="nil"/>
              <w:right w:val="nil"/>
            </w:tcBorders>
            <w:shd w:val="clear" w:color="auto" w:fill="auto"/>
            <w:vAlign w:val="center"/>
          </w:tcPr>
          <w:p w14:paraId="5FDCD169">
            <w:pPr>
              <w:keepNext w:val="0"/>
              <w:keepLines w:val="0"/>
              <w:widowControl/>
              <w:suppressLineNumbers w:val="0"/>
              <w:jc w:val="center"/>
              <w:textAlignment w:val="center"/>
              <w:rPr>
                <w:rFonts w:hint="eastAsia" w:ascii="Times New Roman" w:hAnsi="Times New Roman" w:eastAsia="宋体" w:cs="宋体"/>
                <w:i w:val="0"/>
                <w:iCs w:val="0"/>
                <w:color w:val="000000"/>
                <w:kern w:val="0"/>
                <w:sz w:val="36"/>
                <w:szCs w:val="36"/>
                <w:u w:val="none"/>
                <w:lang w:val="en-US" w:eastAsia="zh-CN" w:bidi="ar"/>
              </w:rPr>
            </w:pPr>
          </w:p>
        </w:tc>
      </w:tr>
      <w:tr w14:paraId="527AC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728" w:type="dxa"/>
          <w:trHeight w:val="629" w:hRule="atLeast"/>
        </w:trPr>
        <w:tc>
          <w:tcPr>
            <w:tcW w:w="768" w:type="dxa"/>
            <w:tcBorders>
              <w:top w:val="single" w:color="auto" w:sz="4" w:space="0"/>
              <w:left w:val="single" w:color="000000" w:sz="4" w:space="0"/>
              <w:bottom w:val="single" w:color="000000" w:sz="4" w:space="0"/>
              <w:right w:val="single" w:color="000000" w:sz="4" w:space="0"/>
            </w:tcBorders>
            <w:shd w:val="clear" w:color="auto" w:fill="auto"/>
            <w:vAlign w:val="center"/>
          </w:tcPr>
          <w:p w14:paraId="6138A642">
            <w:pPr>
              <w:jc w:val="center"/>
              <w:rPr>
                <w:rFonts w:hint="eastAsia" w:ascii="Times New Roman" w:hAnsi="Times New Roman" w:eastAsia="黑体" w:cs="黑体"/>
                <w:i w:val="0"/>
                <w:iCs w:val="0"/>
                <w:color w:val="000000"/>
                <w:sz w:val="24"/>
                <w:szCs w:val="24"/>
                <w:u w:val="none"/>
                <w:lang w:val="en-US" w:eastAsia="zh-CN"/>
              </w:rPr>
            </w:pPr>
          </w:p>
        </w:tc>
        <w:tc>
          <w:tcPr>
            <w:tcW w:w="1577" w:type="dxa"/>
            <w:tcBorders>
              <w:top w:val="single" w:color="auto" w:sz="4" w:space="0"/>
              <w:left w:val="single" w:color="000000" w:sz="4" w:space="0"/>
              <w:bottom w:val="single" w:color="000000" w:sz="4" w:space="0"/>
              <w:right w:val="single" w:color="000000" w:sz="4" w:space="0"/>
            </w:tcBorders>
            <w:shd w:val="clear" w:color="auto" w:fill="auto"/>
            <w:vAlign w:val="center"/>
          </w:tcPr>
          <w:p w14:paraId="439C5EC4">
            <w:pPr>
              <w:jc w:val="center"/>
              <w:rPr>
                <w:rFonts w:hint="eastAsia" w:ascii="Times New Roman" w:hAnsi="Times New Roman" w:eastAsia="黑体" w:cs="黑体"/>
                <w:i w:val="0"/>
                <w:iCs w:val="0"/>
                <w:color w:val="000000"/>
                <w:sz w:val="24"/>
                <w:szCs w:val="24"/>
                <w:u w:val="none"/>
              </w:rPr>
            </w:pPr>
          </w:p>
        </w:tc>
        <w:tc>
          <w:tcPr>
            <w:tcW w:w="1604" w:type="dxa"/>
            <w:tcBorders>
              <w:top w:val="single" w:color="auto" w:sz="4" w:space="0"/>
              <w:left w:val="single" w:color="000000" w:sz="4" w:space="0"/>
              <w:bottom w:val="single" w:color="000000" w:sz="4" w:space="0"/>
              <w:right w:val="single" w:color="000000" w:sz="4" w:space="0"/>
            </w:tcBorders>
            <w:shd w:val="clear" w:color="auto" w:fill="auto"/>
            <w:vAlign w:val="center"/>
          </w:tcPr>
          <w:p w14:paraId="1CF92AE6">
            <w:pPr>
              <w:keepNext w:val="0"/>
              <w:keepLines w:val="0"/>
              <w:widowControl/>
              <w:suppressLineNumbers w:val="0"/>
              <w:jc w:val="center"/>
              <w:textAlignment w:val="center"/>
              <w:rPr>
                <w:rFonts w:hint="eastAsia" w:ascii="Times New Roman" w:hAnsi="Times New Roman" w:eastAsia="黑体" w:cs="黑体"/>
                <w:i w:val="0"/>
                <w:iCs w:val="0"/>
                <w:color w:val="000000"/>
                <w:kern w:val="0"/>
                <w:sz w:val="24"/>
                <w:szCs w:val="24"/>
                <w:u w:val="none"/>
                <w:lang w:val="en-US" w:eastAsia="zh-CN" w:bidi="ar"/>
              </w:rPr>
            </w:pPr>
          </w:p>
        </w:tc>
        <w:tc>
          <w:tcPr>
            <w:tcW w:w="2726" w:type="dxa"/>
            <w:tcBorders>
              <w:top w:val="single" w:color="auto" w:sz="4" w:space="0"/>
              <w:left w:val="single" w:color="000000" w:sz="4" w:space="0"/>
              <w:bottom w:val="single" w:color="000000" w:sz="4" w:space="0"/>
              <w:right w:val="single" w:color="000000" w:sz="4" w:space="0"/>
            </w:tcBorders>
            <w:shd w:val="clear" w:color="auto" w:fill="auto"/>
            <w:vAlign w:val="center"/>
          </w:tcPr>
          <w:p w14:paraId="353D84E9">
            <w:pPr>
              <w:keepNext w:val="0"/>
              <w:keepLines w:val="0"/>
              <w:widowControl/>
              <w:suppressLineNumbers w:val="0"/>
              <w:jc w:val="center"/>
              <w:textAlignment w:val="center"/>
              <w:rPr>
                <w:rFonts w:hint="eastAsia" w:ascii="Times New Roman" w:hAnsi="Times New Roman" w:eastAsia="黑体" w:cs="黑体"/>
                <w:i w:val="0"/>
                <w:iCs w:val="0"/>
                <w:color w:val="000000"/>
                <w:sz w:val="24"/>
                <w:szCs w:val="24"/>
                <w:u w:val="none"/>
              </w:rPr>
            </w:pPr>
            <w:r>
              <w:rPr>
                <w:rFonts w:hint="eastAsia" w:ascii="Times New Roman" w:hAnsi="Times New Roman" w:eastAsia="黑体" w:cs="黑体"/>
                <w:i w:val="0"/>
                <w:iCs w:val="0"/>
                <w:color w:val="000000"/>
                <w:kern w:val="0"/>
                <w:sz w:val="24"/>
                <w:szCs w:val="24"/>
                <w:u w:val="none"/>
                <w:lang w:val="en-US" w:eastAsia="zh-CN" w:bidi="ar"/>
              </w:rPr>
              <w:t>任务名称</w:t>
            </w:r>
          </w:p>
        </w:tc>
        <w:tc>
          <w:tcPr>
            <w:tcW w:w="1325" w:type="dxa"/>
            <w:tcBorders>
              <w:top w:val="single" w:color="auto" w:sz="4" w:space="0"/>
              <w:left w:val="single" w:color="000000" w:sz="4" w:space="0"/>
              <w:bottom w:val="single" w:color="000000" w:sz="4" w:space="0"/>
              <w:right w:val="single" w:color="000000" w:sz="4" w:space="0"/>
            </w:tcBorders>
            <w:shd w:val="clear" w:color="auto" w:fill="auto"/>
            <w:vAlign w:val="center"/>
          </w:tcPr>
          <w:p w14:paraId="538DBF14">
            <w:pPr>
              <w:keepNext w:val="0"/>
              <w:keepLines w:val="0"/>
              <w:widowControl/>
              <w:suppressLineNumbers w:val="0"/>
              <w:jc w:val="center"/>
              <w:textAlignment w:val="center"/>
              <w:rPr>
                <w:rFonts w:hint="eastAsia" w:ascii="Times New Roman" w:hAnsi="Times New Roman" w:eastAsia="黑体" w:cs="黑体"/>
                <w:i w:val="0"/>
                <w:iCs w:val="0"/>
                <w:color w:val="000000"/>
                <w:sz w:val="24"/>
                <w:szCs w:val="24"/>
                <w:u w:val="none"/>
              </w:rPr>
            </w:pPr>
            <w:r>
              <w:rPr>
                <w:rFonts w:hint="eastAsia" w:ascii="Times New Roman" w:hAnsi="Times New Roman" w:eastAsia="黑体" w:cs="黑体"/>
                <w:i w:val="0"/>
                <w:iCs w:val="0"/>
                <w:color w:val="000000"/>
                <w:kern w:val="0"/>
                <w:sz w:val="24"/>
                <w:szCs w:val="24"/>
                <w:u w:val="none"/>
                <w:lang w:val="en-US" w:eastAsia="zh-CN" w:bidi="ar"/>
              </w:rPr>
              <w:t>资金</w:t>
            </w:r>
            <w:r>
              <w:rPr>
                <w:rFonts w:hint="eastAsia" w:ascii="Times New Roman" w:hAnsi="Times New Roman" w:eastAsia="黑体" w:cs="黑体"/>
                <w:i w:val="0"/>
                <w:iCs w:val="0"/>
                <w:color w:val="000000"/>
                <w:kern w:val="0"/>
                <w:sz w:val="24"/>
                <w:szCs w:val="24"/>
                <w:u w:val="none"/>
                <w:lang w:val="en-US" w:eastAsia="zh-CN" w:bidi="ar"/>
              </w:rPr>
              <w:br w:type="textWrapping"/>
            </w:r>
            <w:r>
              <w:rPr>
                <w:rFonts w:hint="eastAsia" w:ascii="Times New Roman" w:hAnsi="Times New Roman" w:eastAsia="黑体" w:cs="黑体"/>
                <w:i w:val="0"/>
                <w:iCs w:val="0"/>
                <w:color w:val="000000"/>
                <w:kern w:val="0"/>
                <w:sz w:val="24"/>
                <w:szCs w:val="24"/>
                <w:u w:val="none"/>
                <w:lang w:val="en-US" w:eastAsia="zh-CN" w:bidi="ar"/>
              </w:rPr>
              <w:t>（万元）</w:t>
            </w:r>
          </w:p>
        </w:tc>
        <w:tc>
          <w:tcPr>
            <w:tcW w:w="2116" w:type="dxa"/>
            <w:tcBorders>
              <w:top w:val="single" w:color="auto" w:sz="4" w:space="0"/>
              <w:left w:val="single" w:color="000000" w:sz="4" w:space="0"/>
              <w:bottom w:val="single" w:color="000000" w:sz="4" w:space="0"/>
              <w:right w:val="single" w:color="000000" w:sz="4" w:space="0"/>
            </w:tcBorders>
            <w:shd w:val="clear" w:color="auto" w:fill="auto"/>
            <w:vAlign w:val="center"/>
          </w:tcPr>
          <w:p w14:paraId="7897CE1E">
            <w:pPr>
              <w:keepNext w:val="0"/>
              <w:keepLines w:val="0"/>
              <w:widowControl/>
              <w:suppressLineNumbers w:val="0"/>
              <w:jc w:val="center"/>
              <w:textAlignment w:val="center"/>
              <w:rPr>
                <w:rFonts w:hint="eastAsia" w:ascii="Times New Roman" w:hAnsi="Times New Roman" w:eastAsia="黑体" w:cs="黑体"/>
                <w:i w:val="0"/>
                <w:iCs w:val="0"/>
                <w:color w:val="000000"/>
                <w:sz w:val="24"/>
                <w:szCs w:val="24"/>
                <w:u w:val="none"/>
              </w:rPr>
            </w:pPr>
            <w:r>
              <w:rPr>
                <w:rFonts w:hint="eastAsia" w:ascii="Times New Roman" w:hAnsi="Times New Roman" w:eastAsia="黑体" w:cs="黑体"/>
                <w:i w:val="0"/>
                <w:iCs w:val="0"/>
                <w:color w:val="000000"/>
                <w:kern w:val="0"/>
                <w:sz w:val="24"/>
                <w:szCs w:val="24"/>
                <w:u w:val="none"/>
                <w:lang w:val="en-US" w:eastAsia="zh-CN" w:bidi="ar"/>
              </w:rPr>
              <w:t>牵头科室</w:t>
            </w:r>
          </w:p>
        </w:tc>
      </w:tr>
      <w:tr w14:paraId="4C118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728" w:type="dxa"/>
          <w:trHeight w:val="758" w:hRule="atLeast"/>
        </w:trPr>
        <w:tc>
          <w:tcPr>
            <w:tcW w:w="768" w:type="dxa"/>
            <w:vMerge w:val="restart"/>
            <w:tcBorders>
              <w:top w:val="single" w:color="000000" w:sz="4" w:space="0"/>
              <w:left w:val="single" w:color="000000" w:sz="4" w:space="0"/>
              <w:right w:val="single" w:color="auto" w:sz="4" w:space="0"/>
            </w:tcBorders>
            <w:shd w:val="clear" w:color="auto" w:fill="auto"/>
            <w:vAlign w:val="center"/>
          </w:tcPr>
          <w:p w14:paraId="384068FE">
            <w:pPr>
              <w:jc w:val="center"/>
              <w:rPr>
                <w:rFonts w:hint="default" w:ascii="Times New Roman" w:hAnsi="Times New Roman" w:eastAsia="黑体" w:cs="黑体"/>
                <w:i w:val="0"/>
                <w:iCs w:val="0"/>
                <w:color w:val="000000"/>
                <w:sz w:val="24"/>
                <w:szCs w:val="24"/>
                <w:u w:val="none"/>
                <w:lang w:val="en-US" w:eastAsia="zh-CN"/>
              </w:rPr>
            </w:pPr>
            <w:r>
              <w:rPr>
                <w:rFonts w:hint="eastAsia" w:ascii="Times New Roman" w:hAnsi="Times New Roman" w:eastAsia="黑体" w:cs="黑体"/>
                <w:i w:val="0"/>
                <w:iCs w:val="0"/>
                <w:color w:val="000000"/>
                <w:sz w:val="24"/>
                <w:szCs w:val="24"/>
                <w:u w:val="none"/>
                <w:lang w:val="en-US" w:eastAsia="zh-CN"/>
              </w:rPr>
              <w:t>第二批省级现代农业发展补助专项资金</w:t>
            </w:r>
          </w:p>
        </w:tc>
        <w:tc>
          <w:tcPr>
            <w:tcW w:w="1577" w:type="dxa"/>
            <w:vMerge w:val="restart"/>
            <w:tcBorders>
              <w:top w:val="single" w:color="000000" w:sz="4" w:space="0"/>
              <w:left w:val="single" w:color="000000" w:sz="4" w:space="0"/>
              <w:right w:val="single" w:color="auto" w:sz="4" w:space="0"/>
            </w:tcBorders>
            <w:shd w:val="clear" w:color="auto" w:fill="auto"/>
            <w:vAlign w:val="center"/>
          </w:tcPr>
          <w:p w14:paraId="6F8BD31A">
            <w:pPr>
              <w:keepNext w:val="0"/>
              <w:keepLines w:val="0"/>
              <w:widowControl/>
              <w:suppressLineNumbers w:val="0"/>
              <w:jc w:val="center"/>
              <w:textAlignment w:val="center"/>
              <w:rPr>
                <w:rFonts w:hint="default" w:ascii="Times New Roman" w:hAnsi="Times New Roman" w:eastAsia="黑体" w:cs="黑体"/>
                <w:i w:val="0"/>
                <w:iCs w:val="0"/>
                <w:color w:val="000000"/>
                <w:kern w:val="0"/>
                <w:sz w:val="24"/>
                <w:szCs w:val="24"/>
                <w:u w:val="none"/>
                <w:lang w:val="en-US" w:eastAsia="zh-CN" w:bidi="ar"/>
              </w:rPr>
            </w:pPr>
            <w:r>
              <w:rPr>
                <w:rFonts w:hint="eastAsia" w:ascii="Times New Roman" w:hAnsi="Times New Roman" w:eastAsia="黑体" w:cs="黑体"/>
                <w:i w:val="0"/>
                <w:iCs w:val="0"/>
                <w:color w:val="000000"/>
                <w:sz w:val="24"/>
                <w:szCs w:val="24"/>
                <w:u w:val="none"/>
                <w:lang w:val="en-US" w:eastAsia="zh-CN"/>
              </w:rPr>
              <w:t>213农林水支出</w:t>
            </w:r>
          </w:p>
        </w:tc>
        <w:tc>
          <w:tcPr>
            <w:tcW w:w="1604" w:type="dxa"/>
            <w:tcBorders>
              <w:top w:val="single" w:color="000000" w:sz="4" w:space="0"/>
              <w:left w:val="single" w:color="000000" w:sz="4" w:space="0"/>
              <w:bottom w:val="single" w:color="auto" w:sz="4" w:space="0"/>
              <w:right w:val="single" w:color="000000" w:sz="4" w:space="0"/>
            </w:tcBorders>
            <w:shd w:val="clear" w:color="auto" w:fill="auto"/>
            <w:vAlign w:val="center"/>
          </w:tcPr>
          <w:p w14:paraId="142C6458">
            <w:pPr>
              <w:keepNext w:val="0"/>
              <w:keepLines w:val="0"/>
              <w:widowControl/>
              <w:suppressLineNumbers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安全生产</w:t>
            </w:r>
          </w:p>
        </w:tc>
        <w:tc>
          <w:tcPr>
            <w:tcW w:w="2726" w:type="dxa"/>
            <w:tcBorders>
              <w:top w:val="single" w:color="000000" w:sz="4" w:space="0"/>
              <w:left w:val="single" w:color="000000" w:sz="4" w:space="0"/>
              <w:bottom w:val="single" w:color="auto" w:sz="4" w:space="0"/>
              <w:right w:val="single" w:color="000000" w:sz="4" w:space="0"/>
            </w:tcBorders>
            <w:shd w:val="clear" w:color="auto" w:fill="auto"/>
            <w:vAlign w:val="center"/>
          </w:tcPr>
          <w:p w14:paraId="21DF98C3">
            <w:pPr>
              <w:keepNext w:val="0"/>
              <w:keepLines w:val="0"/>
              <w:widowControl/>
              <w:suppressLineNumbers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农业综合执法</w:t>
            </w:r>
          </w:p>
        </w:tc>
        <w:tc>
          <w:tcPr>
            <w:tcW w:w="1325" w:type="dxa"/>
            <w:tcBorders>
              <w:top w:val="single" w:color="000000" w:sz="4" w:space="0"/>
              <w:left w:val="single" w:color="000000" w:sz="4" w:space="0"/>
              <w:right w:val="single" w:color="000000" w:sz="4" w:space="0"/>
            </w:tcBorders>
            <w:shd w:val="clear" w:color="auto" w:fill="auto"/>
            <w:vAlign w:val="center"/>
          </w:tcPr>
          <w:p w14:paraId="06BFF532">
            <w:pPr>
              <w:keepNext w:val="0"/>
              <w:keepLines w:val="0"/>
              <w:widowControl/>
              <w:suppressLineNumbers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4</w:t>
            </w: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3E497">
            <w:pPr>
              <w:keepNext w:val="0"/>
              <w:keepLines w:val="0"/>
              <w:widowControl/>
              <w:suppressLineNumbers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三中队</w:t>
            </w:r>
          </w:p>
        </w:tc>
      </w:tr>
      <w:tr w14:paraId="0700F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728" w:type="dxa"/>
          <w:trHeight w:val="1236" w:hRule="atLeast"/>
        </w:trPr>
        <w:tc>
          <w:tcPr>
            <w:tcW w:w="768" w:type="dxa"/>
            <w:vMerge w:val="continue"/>
            <w:tcBorders>
              <w:left w:val="single" w:color="000000" w:sz="4" w:space="0"/>
              <w:right w:val="single" w:color="auto" w:sz="4" w:space="0"/>
            </w:tcBorders>
            <w:shd w:val="clear" w:color="auto" w:fill="auto"/>
            <w:vAlign w:val="center"/>
          </w:tcPr>
          <w:p w14:paraId="46B425FD">
            <w:pPr>
              <w:jc w:val="center"/>
              <w:rPr>
                <w:rFonts w:hint="eastAsia" w:ascii="Times New Roman" w:hAnsi="Times New Roman" w:eastAsia="黑体" w:cs="黑体"/>
                <w:i w:val="0"/>
                <w:iCs w:val="0"/>
                <w:color w:val="000000"/>
                <w:sz w:val="24"/>
                <w:szCs w:val="24"/>
                <w:u w:val="none"/>
              </w:rPr>
            </w:pPr>
          </w:p>
        </w:tc>
        <w:tc>
          <w:tcPr>
            <w:tcW w:w="1577" w:type="dxa"/>
            <w:vMerge w:val="continue"/>
            <w:tcBorders>
              <w:left w:val="single" w:color="000000" w:sz="4" w:space="0"/>
              <w:bottom w:val="single" w:color="auto" w:sz="4" w:space="0"/>
              <w:right w:val="single" w:color="auto" w:sz="4" w:space="0"/>
            </w:tcBorders>
            <w:shd w:val="clear" w:color="auto" w:fill="auto"/>
            <w:vAlign w:val="center"/>
          </w:tcPr>
          <w:p w14:paraId="35247F38">
            <w:pPr>
              <w:keepNext w:val="0"/>
              <w:keepLines w:val="0"/>
              <w:widowControl/>
              <w:suppressLineNumbers w:val="0"/>
              <w:jc w:val="center"/>
              <w:textAlignment w:val="center"/>
              <w:rPr>
                <w:rFonts w:hint="eastAsia" w:ascii="Times New Roman" w:hAnsi="Times New Roman" w:eastAsia="黑体" w:cs="黑体"/>
                <w:i w:val="0"/>
                <w:iCs w:val="0"/>
                <w:color w:val="000000"/>
                <w:sz w:val="24"/>
                <w:szCs w:val="24"/>
                <w:u w:val="none"/>
                <w:lang w:val="en-US" w:eastAsia="zh-CN"/>
              </w:rPr>
            </w:pPr>
          </w:p>
        </w:tc>
        <w:tc>
          <w:tcPr>
            <w:tcW w:w="1604" w:type="dxa"/>
            <w:tcBorders>
              <w:top w:val="single" w:color="auto" w:sz="4" w:space="0"/>
              <w:left w:val="single" w:color="000000" w:sz="4" w:space="0"/>
              <w:bottom w:val="single" w:color="auto" w:sz="4" w:space="0"/>
              <w:right w:val="single" w:color="000000" w:sz="4" w:space="0"/>
            </w:tcBorders>
            <w:shd w:val="clear" w:color="auto" w:fill="auto"/>
            <w:vAlign w:val="center"/>
          </w:tcPr>
          <w:p w14:paraId="24C7B52D">
            <w:pPr>
              <w:keepNext w:val="0"/>
              <w:keepLines w:val="0"/>
              <w:widowControl/>
              <w:suppressLineNumbers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绿色发展</w:t>
            </w:r>
          </w:p>
        </w:tc>
        <w:tc>
          <w:tcPr>
            <w:tcW w:w="2726" w:type="dxa"/>
            <w:tcBorders>
              <w:top w:val="single" w:color="auto" w:sz="4" w:space="0"/>
              <w:left w:val="single" w:color="000000" w:sz="4" w:space="0"/>
              <w:bottom w:val="single" w:color="auto" w:sz="4" w:space="0"/>
              <w:right w:val="single" w:color="000000" w:sz="4" w:space="0"/>
            </w:tcBorders>
            <w:shd w:val="clear" w:color="auto" w:fill="auto"/>
            <w:vAlign w:val="center"/>
          </w:tcPr>
          <w:p w14:paraId="0421892F">
            <w:pPr>
              <w:keepNext w:val="0"/>
              <w:keepLines w:val="0"/>
              <w:widowControl/>
              <w:suppressLineNumbers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农业废弃物回收（配套中央地膜科学回收任务资金）</w:t>
            </w:r>
          </w:p>
        </w:tc>
        <w:tc>
          <w:tcPr>
            <w:tcW w:w="1325" w:type="dxa"/>
            <w:tcBorders>
              <w:top w:val="single" w:color="000000" w:sz="4" w:space="0"/>
              <w:left w:val="single" w:color="000000" w:sz="4" w:space="0"/>
              <w:right w:val="single" w:color="000000" w:sz="4" w:space="0"/>
            </w:tcBorders>
            <w:shd w:val="clear" w:color="auto" w:fill="auto"/>
            <w:vAlign w:val="center"/>
          </w:tcPr>
          <w:p w14:paraId="425F28DB">
            <w:pPr>
              <w:keepNext w:val="0"/>
              <w:keepLines w:val="0"/>
              <w:widowControl/>
              <w:suppressLineNumbers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16.5</w:t>
            </w: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B351">
            <w:pPr>
              <w:keepNext w:val="0"/>
              <w:keepLines w:val="0"/>
              <w:widowControl/>
              <w:suppressLineNumbers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p>
          <w:p w14:paraId="103E5FA2">
            <w:pPr>
              <w:keepNext w:val="0"/>
              <w:keepLines w:val="0"/>
              <w:widowControl/>
              <w:suppressLineNumbers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农业科</w:t>
            </w:r>
          </w:p>
          <w:p w14:paraId="44FB6CB1">
            <w:pPr>
              <w:keepNext w:val="0"/>
              <w:keepLines w:val="0"/>
              <w:widowControl/>
              <w:suppressLineNumbers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p>
        </w:tc>
      </w:tr>
      <w:tr w14:paraId="2CCD1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728" w:type="dxa"/>
          <w:trHeight w:val="1419" w:hRule="atLeast"/>
        </w:trPr>
        <w:tc>
          <w:tcPr>
            <w:tcW w:w="768" w:type="dxa"/>
            <w:vMerge w:val="continue"/>
            <w:tcBorders>
              <w:left w:val="single" w:color="000000" w:sz="4" w:space="0"/>
              <w:right w:val="single" w:color="auto" w:sz="4" w:space="0"/>
            </w:tcBorders>
            <w:shd w:val="clear" w:color="auto" w:fill="auto"/>
            <w:vAlign w:val="center"/>
          </w:tcPr>
          <w:p w14:paraId="23B75B41">
            <w:pPr>
              <w:jc w:val="center"/>
              <w:rPr>
                <w:rFonts w:hint="eastAsia" w:ascii="Times New Roman" w:hAnsi="Times New Roman" w:eastAsia="黑体" w:cs="黑体"/>
                <w:i w:val="0"/>
                <w:iCs w:val="0"/>
                <w:color w:val="000000"/>
                <w:sz w:val="24"/>
                <w:szCs w:val="24"/>
                <w:u w:val="none"/>
              </w:rPr>
            </w:pPr>
          </w:p>
        </w:tc>
        <w:tc>
          <w:tcPr>
            <w:tcW w:w="1577" w:type="dxa"/>
            <w:tcBorders>
              <w:top w:val="single" w:color="auto" w:sz="4" w:space="0"/>
              <w:left w:val="single" w:color="000000" w:sz="4" w:space="0"/>
              <w:right w:val="single" w:color="auto" w:sz="4" w:space="0"/>
            </w:tcBorders>
            <w:shd w:val="clear" w:color="auto" w:fill="auto"/>
            <w:vAlign w:val="center"/>
          </w:tcPr>
          <w:p w14:paraId="3FFB1BCF">
            <w:pPr>
              <w:jc w:val="center"/>
              <w:rPr>
                <w:rFonts w:hint="default" w:ascii="Times New Roman" w:hAnsi="Times New Roman" w:eastAsia="黑体" w:cs="黑体"/>
                <w:i w:val="0"/>
                <w:iCs w:val="0"/>
                <w:color w:val="000000"/>
                <w:sz w:val="24"/>
                <w:szCs w:val="24"/>
                <w:u w:val="none"/>
                <w:lang w:val="en-US"/>
              </w:rPr>
            </w:pPr>
            <w:r>
              <w:rPr>
                <w:rFonts w:hint="eastAsia" w:ascii="Times New Roman" w:hAnsi="Times New Roman" w:eastAsia="黑体" w:cs="黑体"/>
                <w:i w:val="0"/>
                <w:iCs w:val="0"/>
                <w:color w:val="000000"/>
                <w:kern w:val="0"/>
                <w:sz w:val="24"/>
                <w:szCs w:val="24"/>
                <w:u w:val="none"/>
                <w:lang w:val="en-US" w:eastAsia="zh-CN" w:bidi="ar"/>
              </w:rPr>
              <w:t>2120816农业农村生态环境支出</w:t>
            </w:r>
          </w:p>
        </w:tc>
        <w:tc>
          <w:tcPr>
            <w:tcW w:w="1604" w:type="dxa"/>
            <w:tcBorders>
              <w:top w:val="single" w:color="000000" w:sz="4" w:space="0"/>
              <w:left w:val="single" w:color="000000" w:sz="4" w:space="0"/>
              <w:bottom w:val="single" w:color="auto" w:sz="4" w:space="0"/>
              <w:right w:val="single" w:color="000000" w:sz="4" w:space="0"/>
            </w:tcBorders>
            <w:shd w:val="clear" w:color="auto" w:fill="auto"/>
            <w:vAlign w:val="center"/>
          </w:tcPr>
          <w:p w14:paraId="7DC73952">
            <w:pPr>
              <w:keepNext w:val="0"/>
              <w:keepLines w:val="0"/>
              <w:widowControl/>
              <w:suppressLineNumbers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绿色发展</w:t>
            </w:r>
          </w:p>
        </w:tc>
        <w:tc>
          <w:tcPr>
            <w:tcW w:w="2726" w:type="dxa"/>
            <w:tcBorders>
              <w:top w:val="single" w:color="000000" w:sz="4" w:space="0"/>
              <w:left w:val="single" w:color="000000" w:sz="4" w:space="0"/>
              <w:bottom w:val="single" w:color="auto" w:sz="4" w:space="0"/>
              <w:right w:val="single" w:color="000000" w:sz="4" w:space="0"/>
            </w:tcBorders>
            <w:shd w:val="clear" w:color="auto" w:fill="auto"/>
            <w:vAlign w:val="center"/>
          </w:tcPr>
          <w:p w14:paraId="53CB76B8">
            <w:pPr>
              <w:keepNext w:val="0"/>
              <w:keepLines w:val="0"/>
              <w:widowControl/>
              <w:suppressLineNumbers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农作物秸秆综合利用</w:t>
            </w:r>
          </w:p>
        </w:tc>
        <w:tc>
          <w:tcPr>
            <w:tcW w:w="1325" w:type="dxa"/>
            <w:tcBorders>
              <w:top w:val="single" w:color="000000" w:sz="4" w:space="0"/>
              <w:left w:val="single" w:color="000000" w:sz="4" w:space="0"/>
              <w:bottom w:val="single" w:color="auto" w:sz="4" w:space="0"/>
              <w:right w:val="single" w:color="000000" w:sz="4" w:space="0"/>
            </w:tcBorders>
            <w:shd w:val="clear" w:color="auto" w:fill="auto"/>
            <w:vAlign w:val="center"/>
          </w:tcPr>
          <w:p w14:paraId="4A1C5ADC">
            <w:pPr>
              <w:keepNext w:val="0"/>
              <w:keepLines w:val="0"/>
              <w:widowControl/>
              <w:suppressLineNumbers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57</w:t>
            </w:r>
          </w:p>
        </w:tc>
        <w:tc>
          <w:tcPr>
            <w:tcW w:w="2116" w:type="dxa"/>
            <w:tcBorders>
              <w:top w:val="single" w:color="000000" w:sz="4" w:space="0"/>
              <w:left w:val="single" w:color="000000" w:sz="4" w:space="0"/>
              <w:bottom w:val="single" w:color="auto" w:sz="4" w:space="0"/>
              <w:right w:val="single" w:color="000000" w:sz="4" w:space="0"/>
            </w:tcBorders>
            <w:shd w:val="clear" w:color="auto" w:fill="auto"/>
            <w:vAlign w:val="center"/>
          </w:tcPr>
          <w:p w14:paraId="740E12FB">
            <w:pPr>
              <w:keepNext w:val="0"/>
              <w:keepLines w:val="0"/>
              <w:widowControl/>
              <w:suppressLineNumbers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农业装备科</w:t>
            </w:r>
          </w:p>
        </w:tc>
      </w:tr>
      <w:tr w14:paraId="4F80B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728" w:type="dxa"/>
          <w:trHeight w:val="553" w:hRule="atLeast"/>
        </w:trPr>
        <w:tc>
          <w:tcPr>
            <w:tcW w:w="768" w:type="dxa"/>
            <w:vMerge w:val="continue"/>
            <w:tcBorders>
              <w:left w:val="single" w:color="000000" w:sz="4" w:space="0"/>
              <w:bottom w:val="single" w:color="auto" w:sz="4" w:space="0"/>
              <w:right w:val="single" w:color="auto" w:sz="4" w:space="0"/>
            </w:tcBorders>
            <w:shd w:val="clear" w:color="auto" w:fill="auto"/>
            <w:vAlign w:val="center"/>
          </w:tcPr>
          <w:p w14:paraId="7A130B82">
            <w:pPr>
              <w:jc w:val="center"/>
              <w:rPr>
                <w:rFonts w:hint="eastAsia" w:ascii="Times New Roman" w:hAnsi="Times New Roman" w:eastAsia="黑体" w:cs="黑体"/>
                <w:i w:val="0"/>
                <w:iCs w:val="0"/>
                <w:color w:val="000000"/>
                <w:sz w:val="24"/>
                <w:szCs w:val="24"/>
                <w:u w:val="none"/>
                <w:lang w:val="en-US" w:eastAsia="zh-CN"/>
              </w:rPr>
            </w:pPr>
          </w:p>
        </w:tc>
        <w:tc>
          <w:tcPr>
            <w:tcW w:w="5907" w:type="dxa"/>
            <w:gridSpan w:val="3"/>
            <w:tcBorders>
              <w:top w:val="single" w:color="auto" w:sz="4" w:space="0"/>
              <w:left w:val="single" w:color="000000" w:sz="4" w:space="0"/>
              <w:bottom w:val="single" w:color="auto" w:sz="4" w:space="0"/>
              <w:right w:val="single" w:color="000000" w:sz="4" w:space="0"/>
            </w:tcBorders>
            <w:shd w:val="clear" w:color="auto" w:fill="auto"/>
            <w:vAlign w:val="center"/>
          </w:tcPr>
          <w:p w14:paraId="466E3882">
            <w:pPr>
              <w:keepNext w:val="0"/>
              <w:keepLines w:val="0"/>
              <w:widowControl/>
              <w:suppressLineNumbers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资金合计</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B453">
            <w:pPr>
              <w:keepNext w:val="0"/>
              <w:keepLines w:val="0"/>
              <w:widowControl/>
              <w:suppressLineNumbers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77.5</w:t>
            </w: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A4012">
            <w:pPr>
              <w:keepNext w:val="0"/>
              <w:keepLines w:val="0"/>
              <w:widowControl/>
              <w:suppressLineNumbers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p>
        </w:tc>
      </w:tr>
    </w:tbl>
    <w:p w14:paraId="3B53ED19">
      <w:pPr>
        <w:rPr>
          <w:rFonts w:hint="eastAsia" w:ascii="Times New Roman" w:hAnsi="Times New Roman"/>
          <w:lang w:val="en-US" w:eastAsia="zh-CN"/>
        </w:rPr>
      </w:pPr>
      <w:r>
        <w:rPr>
          <w:rFonts w:hint="eastAsia" w:ascii="Times New Roman" w:hAnsi="Times New Roman"/>
          <w:lang w:val="en-US" w:eastAsia="zh-CN"/>
        </w:rPr>
        <w:br w:type="page"/>
      </w:r>
    </w:p>
    <w:p w14:paraId="74D8D255">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（此页无正文）</w:t>
      </w:r>
    </w:p>
    <w:p w14:paraId="5FD8DD4B">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方正仿宋_GBK" w:cs="Times New Roman"/>
          <w:sz w:val="32"/>
          <w:szCs w:val="32"/>
          <w:lang w:val="en-US" w:eastAsia="zh-CN"/>
        </w:rPr>
      </w:pPr>
    </w:p>
    <w:p w14:paraId="026FCCBB">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方正仿宋_GBK" w:cs="Times New Roman"/>
          <w:sz w:val="32"/>
          <w:szCs w:val="32"/>
          <w:lang w:val="en-US" w:eastAsia="zh-CN"/>
        </w:rPr>
      </w:pPr>
    </w:p>
    <w:p w14:paraId="4EBDA080">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方正仿宋_GBK" w:cs="Times New Roman"/>
          <w:sz w:val="32"/>
          <w:szCs w:val="32"/>
          <w:lang w:val="en-US" w:eastAsia="zh-CN"/>
        </w:rPr>
      </w:pPr>
    </w:p>
    <w:p w14:paraId="78DED3B5">
      <w:pPr>
        <w:rPr>
          <w:rFonts w:hint="eastAsia"/>
          <w:lang w:val="en-US" w:eastAsia="zh-CN"/>
        </w:rPr>
      </w:pPr>
    </w:p>
    <w:tbl>
      <w:tblPr>
        <w:tblStyle w:val="15"/>
        <w:tblpPr w:leftFromText="180" w:rightFromText="180" w:vertAnchor="text" w:horzAnchor="page" w:tblpX="1539" w:tblpY="9577"/>
        <w:tblOverlap w:val="never"/>
        <w:tblW w:w="9160" w:type="dxa"/>
        <w:tblInd w:w="0" w:type="dxa"/>
        <w:tblBorders>
          <w:top w:val="single" w:color="auto" w:sz="8" w:space="0"/>
          <w:left w:val="none" w:color="auto" w:sz="0" w:space="0"/>
          <w:bottom w:val="single" w:color="auto" w:sz="8" w:space="0"/>
          <w:right w:val="none" w:color="auto" w:sz="0" w:space="0"/>
          <w:insideH w:val="single" w:color="auto" w:sz="12" w:space="0"/>
          <w:insideV w:val="none" w:color="auto" w:sz="0" w:space="0"/>
        </w:tblBorders>
        <w:tblLayout w:type="fixed"/>
        <w:tblCellMar>
          <w:top w:w="0" w:type="dxa"/>
          <w:left w:w="108" w:type="dxa"/>
          <w:bottom w:w="0" w:type="dxa"/>
          <w:right w:w="108" w:type="dxa"/>
        </w:tblCellMar>
      </w:tblPr>
      <w:tblGrid>
        <w:gridCol w:w="9160"/>
      </w:tblGrid>
      <w:tr w14:paraId="42E54943">
        <w:tblPrEx>
          <w:tblBorders>
            <w:top w:val="single" w:color="auto" w:sz="8" w:space="0"/>
            <w:left w:val="none" w:color="auto" w:sz="0" w:space="0"/>
            <w:bottom w:val="single" w:color="auto" w:sz="8"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422" w:hRule="atLeast"/>
        </w:trPr>
        <w:tc>
          <w:tcPr>
            <w:tcW w:w="9160" w:type="dxa"/>
            <w:tcBorders>
              <w:tl2br w:val="nil"/>
              <w:tr2bl w:val="nil"/>
            </w:tcBorders>
          </w:tcPr>
          <w:p w14:paraId="3857AABD">
            <w:pPr>
              <w:rPr>
                <w:rFonts w:ascii="Times New Roman" w:hAnsi="Times New Roman" w:eastAsia="方正仿宋_GBK" w:cs="Times New Roman"/>
                <w:color w:val="auto"/>
                <w:sz w:val="28"/>
                <w:szCs w:val="28"/>
              </w:rPr>
            </w:pPr>
            <w:r>
              <w:rPr>
                <w:rFonts w:hint="default" w:ascii="Times New Roman" w:hAnsi="Times New Roman"/>
              </w:rPr>
              <w:br w:type="page"/>
            </w:r>
            <w:r>
              <w:rPr>
                <w:rFonts w:ascii="Times New Roman" w:hAnsi="Times New Roman" w:eastAsia="方正仿宋_GBK" w:cs="Times New Roman"/>
                <w:color w:val="auto"/>
                <w:kern w:val="0"/>
                <w:sz w:val="28"/>
                <w:szCs w:val="28"/>
              </w:rPr>
              <w:t xml:space="preserve">栖霞区农业农村局办公室      </w:t>
            </w:r>
            <w:r>
              <w:rPr>
                <w:rFonts w:hint="eastAsia" w:ascii="Times New Roman" w:hAnsi="Times New Roman" w:eastAsia="方正仿宋_GBK" w:cs="Times New Roman"/>
                <w:color w:val="auto"/>
                <w:kern w:val="0"/>
                <w:sz w:val="28"/>
                <w:szCs w:val="28"/>
                <w:lang w:val="en-US" w:eastAsia="zh-CN"/>
              </w:rPr>
              <w:t xml:space="preserve">        </w:t>
            </w:r>
            <w:r>
              <w:rPr>
                <w:rFonts w:ascii="Times New Roman" w:hAnsi="Times New Roman" w:eastAsia="方正仿宋_GBK" w:cs="Times New Roman"/>
                <w:color w:val="auto"/>
                <w:kern w:val="0"/>
                <w:sz w:val="28"/>
                <w:szCs w:val="28"/>
              </w:rPr>
              <w:t xml:space="preserve">   </w:t>
            </w:r>
            <w:r>
              <w:rPr>
                <w:rFonts w:hint="eastAsia" w:ascii="Times New Roman" w:hAnsi="Times New Roman" w:eastAsia="方正仿宋_GBK" w:cs="Times New Roman"/>
                <w:color w:val="auto"/>
                <w:kern w:val="0"/>
                <w:sz w:val="28"/>
                <w:szCs w:val="28"/>
                <w:lang w:val="en-US" w:eastAsia="zh-CN"/>
              </w:rPr>
              <w:t xml:space="preserve"> </w:t>
            </w:r>
            <w:r>
              <w:rPr>
                <w:rFonts w:ascii="Times New Roman" w:hAnsi="Times New Roman" w:eastAsia="方正仿宋_GBK" w:cs="Times New Roman"/>
                <w:color w:val="auto"/>
                <w:kern w:val="0"/>
                <w:sz w:val="28"/>
                <w:szCs w:val="28"/>
              </w:rPr>
              <w:t xml:space="preserve">  </w:t>
            </w:r>
            <w:r>
              <w:rPr>
                <w:rFonts w:hint="eastAsia" w:ascii="Times New Roman" w:hAnsi="Times New Roman" w:eastAsia="方正仿宋_GBK" w:cs="Times New Roman"/>
                <w:color w:val="auto"/>
                <w:kern w:val="0"/>
                <w:sz w:val="28"/>
                <w:szCs w:val="28"/>
                <w:lang w:eastAsia="zh-CN"/>
              </w:rPr>
              <w:t>2026</w:t>
            </w:r>
            <w:r>
              <w:rPr>
                <w:rFonts w:ascii="Times New Roman" w:hAnsi="Times New Roman" w:eastAsia="方正仿宋_GBK" w:cs="Times New Roman"/>
                <w:color w:val="auto"/>
                <w:kern w:val="0"/>
                <w:sz w:val="28"/>
                <w:szCs w:val="28"/>
              </w:rPr>
              <w:t>年</w:t>
            </w:r>
            <w:r>
              <w:rPr>
                <w:rFonts w:hint="eastAsia" w:ascii="Times New Roman" w:hAnsi="Times New Roman" w:eastAsia="方正仿宋_GBK" w:cs="Times New Roman"/>
                <w:color w:val="auto"/>
                <w:kern w:val="0"/>
                <w:sz w:val="28"/>
                <w:szCs w:val="28"/>
                <w:lang w:val="en-US" w:eastAsia="zh-CN"/>
              </w:rPr>
              <w:t>10</w:t>
            </w:r>
            <w:r>
              <w:rPr>
                <w:rFonts w:ascii="Times New Roman" w:hAnsi="Times New Roman" w:eastAsia="方正仿宋_GBK" w:cs="Times New Roman"/>
                <w:color w:val="auto"/>
                <w:kern w:val="0"/>
                <w:sz w:val="28"/>
                <w:szCs w:val="28"/>
              </w:rPr>
              <w:t>月</w:t>
            </w:r>
            <w:r>
              <w:rPr>
                <w:rFonts w:hint="eastAsia" w:ascii="Times New Roman" w:hAnsi="Times New Roman" w:eastAsia="方正仿宋_GBK" w:cs="Times New Roman"/>
                <w:color w:val="auto"/>
                <w:kern w:val="0"/>
                <w:sz w:val="28"/>
                <w:szCs w:val="28"/>
                <w:lang w:val="en-US" w:eastAsia="zh-CN"/>
              </w:rPr>
              <w:t>26</w:t>
            </w:r>
            <w:r>
              <w:rPr>
                <w:rFonts w:ascii="Times New Roman" w:hAnsi="Times New Roman" w:eastAsia="方正仿宋_GBK" w:cs="Times New Roman"/>
                <w:color w:val="auto"/>
                <w:kern w:val="0"/>
                <w:sz w:val="28"/>
                <w:szCs w:val="28"/>
              </w:rPr>
              <w:t>日印发</w:t>
            </w:r>
          </w:p>
        </w:tc>
      </w:tr>
    </w:tbl>
    <w:p w14:paraId="38894C6A">
      <w:pPr>
        <w:pStyle w:val="4"/>
        <w:ind w:left="0" w:leftChars="0" w:firstLine="0" w:firstLineChars="0"/>
        <w:rPr>
          <w:rFonts w:hint="eastAsia"/>
          <w:lang w:val="en-US" w:eastAsia="zh-CN"/>
        </w:rPr>
      </w:pPr>
    </w:p>
    <w:p w14:paraId="0B4D6C96">
      <w:pPr>
        <w:rPr>
          <w:rFonts w:hint="eastAsia"/>
          <w:lang w:val="en-US" w:eastAsia="zh-CN"/>
        </w:rPr>
      </w:pPr>
    </w:p>
    <w:p w14:paraId="01EA07BB">
      <w:pPr>
        <w:rPr>
          <w:rFonts w:hint="eastAsia"/>
          <w:lang w:val="en-US" w:eastAsia="zh-CN"/>
        </w:rPr>
      </w:pPr>
    </w:p>
    <w:sectPr>
      <w:footerReference r:id="rId5" w:type="default"/>
      <w:pgSz w:w="11906" w:h="16838"/>
      <w:pgMar w:top="2098" w:right="1474" w:bottom="1985" w:left="1389" w:header="851" w:footer="992" w:gutter="0"/>
      <w:pgNumType w:fmt="numberInDash"/>
      <w:cols w:space="0" w:num="1"/>
      <w:rtlGutter w:val="0"/>
      <w:docGrid w:type="lines" w:linePitch="31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36426">
    <w:pPr>
      <w:pStyle w:val="10"/>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33F8AF">
                          <w:pPr>
                            <w:pStyle w:val="1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D33F8AF">
                    <w:pPr>
                      <w:pStyle w:val="1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909825"/>
    <w:multiLevelType w:val="singleLevel"/>
    <w:tmpl w:val="96909825"/>
    <w:lvl w:ilvl="0" w:tentative="0">
      <w:start w:val="2"/>
      <w:numFmt w:val="decimal"/>
      <w:suff w:val="nothing"/>
      <w:lvlText w:val="%1、"/>
      <w:lvlJc w:val="left"/>
    </w:lvl>
  </w:abstractNum>
  <w:abstractNum w:abstractNumId="1">
    <w:nsid w:val="A7EB9D4A"/>
    <w:multiLevelType w:val="singleLevel"/>
    <w:tmpl w:val="A7EB9D4A"/>
    <w:lvl w:ilvl="0" w:tentative="0">
      <w:start w:val="1"/>
      <w:numFmt w:val="chineseCounting"/>
      <w:suff w:val="nothing"/>
      <w:lvlText w:val="%1、"/>
      <w:lvlJc w:val="left"/>
      <w:rPr>
        <w:rFonts w:hint="eastAsia"/>
      </w:rPr>
    </w:lvl>
  </w:abstractNum>
  <w:abstractNum w:abstractNumId="2">
    <w:nsid w:val="0033E92F"/>
    <w:multiLevelType w:val="singleLevel"/>
    <w:tmpl w:val="0033E92F"/>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dmN2E2MWViMWNkZWJlMDU1MWE2YjU0ZTI3NzhiMmQifQ=="/>
  </w:docVars>
  <w:rsids>
    <w:rsidRoot w:val="00016B1E"/>
    <w:rsid w:val="00016B1E"/>
    <w:rsid w:val="0003589E"/>
    <w:rsid w:val="000404A8"/>
    <w:rsid w:val="00066828"/>
    <w:rsid w:val="00092975"/>
    <w:rsid w:val="000B2A8D"/>
    <w:rsid w:val="000D71BE"/>
    <w:rsid w:val="00185A6F"/>
    <w:rsid w:val="001871B1"/>
    <w:rsid w:val="001B4485"/>
    <w:rsid w:val="00216EB0"/>
    <w:rsid w:val="00242888"/>
    <w:rsid w:val="00285D5E"/>
    <w:rsid w:val="003F2C11"/>
    <w:rsid w:val="00416F4E"/>
    <w:rsid w:val="00426404"/>
    <w:rsid w:val="004C2747"/>
    <w:rsid w:val="004E73D8"/>
    <w:rsid w:val="00514124"/>
    <w:rsid w:val="00516DBB"/>
    <w:rsid w:val="005347B4"/>
    <w:rsid w:val="00574FE9"/>
    <w:rsid w:val="005C7E43"/>
    <w:rsid w:val="0071003B"/>
    <w:rsid w:val="007203CC"/>
    <w:rsid w:val="007B00C7"/>
    <w:rsid w:val="007E7D2E"/>
    <w:rsid w:val="008558D5"/>
    <w:rsid w:val="008E494E"/>
    <w:rsid w:val="00A67A7D"/>
    <w:rsid w:val="00A80576"/>
    <w:rsid w:val="00AA12C6"/>
    <w:rsid w:val="00AC7F99"/>
    <w:rsid w:val="00AD7C67"/>
    <w:rsid w:val="00AF10E6"/>
    <w:rsid w:val="00B10DA6"/>
    <w:rsid w:val="00B42260"/>
    <w:rsid w:val="00B57BA5"/>
    <w:rsid w:val="00BA266D"/>
    <w:rsid w:val="00C01AA6"/>
    <w:rsid w:val="00C87F28"/>
    <w:rsid w:val="00D40A0B"/>
    <w:rsid w:val="00D5673E"/>
    <w:rsid w:val="00DD01D6"/>
    <w:rsid w:val="00E0784F"/>
    <w:rsid w:val="00E155A1"/>
    <w:rsid w:val="00E569BA"/>
    <w:rsid w:val="00EA1734"/>
    <w:rsid w:val="00EB258B"/>
    <w:rsid w:val="00EF090A"/>
    <w:rsid w:val="00EF5E0E"/>
    <w:rsid w:val="00F43CDA"/>
    <w:rsid w:val="00FB26E2"/>
    <w:rsid w:val="01DD01FF"/>
    <w:rsid w:val="02387345"/>
    <w:rsid w:val="02915452"/>
    <w:rsid w:val="02F77D3F"/>
    <w:rsid w:val="03514454"/>
    <w:rsid w:val="0355302B"/>
    <w:rsid w:val="0414762C"/>
    <w:rsid w:val="0688605B"/>
    <w:rsid w:val="069501BA"/>
    <w:rsid w:val="073A689E"/>
    <w:rsid w:val="083F547E"/>
    <w:rsid w:val="0954496D"/>
    <w:rsid w:val="09DF533B"/>
    <w:rsid w:val="0BF32520"/>
    <w:rsid w:val="0D385620"/>
    <w:rsid w:val="0D773A5B"/>
    <w:rsid w:val="0D7D2D79"/>
    <w:rsid w:val="0E5B3711"/>
    <w:rsid w:val="0EAD38B7"/>
    <w:rsid w:val="0F1477AB"/>
    <w:rsid w:val="10EF5A8D"/>
    <w:rsid w:val="113E5D8A"/>
    <w:rsid w:val="11C064ED"/>
    <w:rsid w:val="12517892"/>
    <w:rsid w:val="13CA1C2C"/>
    <w:rsid w:val="152C7B5C"/>
    <w:rsid w:val="15380AF1"/>
    <w:rsid w:val="15755C3D"/>
    <w:rsid w:val="157708C6"/>
    <w:rsid w:val="163F682C"/>
    <w:rsid w:val="16FB6DB7"/>
    <w:rsid w:val="17871D3F"/>
    <w:rsid w:val="18054498"/>
    <w:rsid w:val="188C207D"/>
    <w:rsid w:val="18AA3E77"/>
    <w:rsid w:val="19884C20"/>
    <w:rsid w:val="19C72D15"/>
    <w:rsid w:val="1A0344CD"/>
    <w:rsid w:val="1A0F6D98"/>
    <w:rsid w:val="1AF71EC9"/>
    <w:rsid w:val="1B1B6E76"/>
    <w:rsid w:val="1B3B47E6"/>
    <w:rsid w:val="1B3E03EE"/>
    <w:rsid w:val="1C125C05"/>
    <w:rsid w:val="1C7E2917"/>
    <w:rsid w:val="1E7D4B9A"/>
    <w:rsid w:val="1EFF421D"/>
    <w:rsid w:val="211E24DF"/>
    <w:rsid w:val="21E754CF"/>
    <w:rsid w:val="21F276AD"/>
    <w:rsid w:val="22023843"/>
    <w:rsid w:val="227D68BA"/>
    <w:rsid w:val="23040F1C"/>
    <w:rsid w:val="236567D1"/>
    <w:rsid w:val="24CC29D6"/>
    <w:rsid w:val="25144475"/>
    <w:rsid w:val="2568033F"/>
    <w:rsid w:val="26180623"/>
    <w:rsid w:val="280232FA"/>
    <w:rsid w:val="28EB3C0A"/>
    <w:rsid w:val="295243F5"/>
    <w:rsid w:val="29E34FD4"/>
    <w:rsid w:val="2AA009CE"/>
    <w:rsid w:val="2B064E30"/>
    <w:rsid w:val="2B0E28AF"/>
    <w:rsid w:val="2BA96EBA"/>
    <w:rsid w:val="2BF4562E"/>
    <w:rsid w:val="2C0559CB"/>
    <w:rsid w:val="2D692945"/>
    <w:rsid w:val="2D793F31"/>
    <w:rsid w:val="2DAD1CAA"/>
    <w:rsid w:val="2DCE180D"/>
    <w:rsid w:val="2EE82F7B"/>
    <w:rsid w:val="2F5022B4"/>
    <w:rsid w:val="2F696394"/>
    <w:rsid w:val="30BD0622"/>
    <w:rsid w:val="3147604C"/>
    <w:rsid w:val="31C150F3"/>
    <w:rsid w:val="336B3220"/>
    <w:rsid w:val="33A95956"/>
    <w:rsid w:val="33E801FD"/>
    <w:rsid w:val="347C28D4"/>
    <w:rsid w:val="35336474"/>
    <w:rsid w:val="35A97C25"/>
    <w:rsid w:val="36371E64"/>
    <w:rsid w:val="36404A88"/>
    <w:rsid w:val="36415CDF"/>
    <w:rsid w:val="36E57B50"/>
    <w:rsid w:val="36FD454F"/>
    <w:rsid w:val="3746779F"/>
    <w:rsid w:val="3890745B"/>
    <w:rsid w:val="399674A9"/>
    <w:rsid w:val="39A77C07"/>
    <w:rsid w:val="39F50B41"/>
    <w:rsid w:val="3A417DEA"/>
    <w:rsid w:val="3A66755A"/>
    <w:rsid w:val="3AEA4F87"/>
    <w:rsid w:val="3B3C411F"/>
    <w:rsid w:val="3BCE4B50"/>
    <w:rsid w:val="3C8733CF"/>
    <w:rsid w:val="3C87737D"/>
    <w:rsid w:val="3E0B35B5"/>
    <w:rsid w:val="3E92064A"/>
    <w:rsid w:val="3E9A26F9"/>
    <w:rsid w:val="3ECB2D8E"/>
    <w:rsid w:val="3EF057B0"/>
    <w:rsid w:val="3F1432B1"/>
    <w:rsid w:val="3F8510C2"/>
    <w:rsid w:val="40652F2B"/>
    <w:rsid w:val="41515935"/>
    <w:rsid w:val="416D02B0"/>
    <w:rsid w:val="41EF6E9A"/>
    <w:rsid w:val="422F3F33"/>
    <w:rsid w:val="42C96454"/>
    <w:rsid w:val="440700DA"/>
    <w:rsid w:val="44194322"/>
    <w:rsid w:val="4498256D"/>
    <w:rsid w:val="45A01201"/>
    <w:rsid w:val="45C64A1A"/>
    <w:rsid w:val="46F05435"/>
    <w:rsid w:val="4723347D"/>
    <w:rsid w:val="48773825"/>
    <w:rsid w:val="488661F3"/>
    <w:rsid w:val="48902D23"/>
    <w:rsid w:val="49E5301B"/>
    <w:rsid w:val="4B250920"/>
    <w:rsid w:val="4B4A5A11"/>
    <w:rsid w:val="4C186FCB"/>
    <w:rsid w:val="4CDD32E1"/>
    <w:rsid w:val="4D1F1277"/>
    <w:rsid w:val="4D9E7EDC"/>
    <w:rsid w:val="4F0577DF"/>
    <w:rsid w:val="4F943608"/>
    <w:rsid w:val="4FFF30A6"/>
    <w:rsid w:val="50045C23"/>
    <w:rsid w:val="509D596D"/>
    <w:rsid w:val="50B35EDB"/>
    <w:rsid w:val="510949ED"/>
    <w:rsid w:val="510B6B00"/>
    <w:rsid w:val="520E4BBD"/>
    <w:rsid w:val="527A5291"/>
    <w:rsid w:val="528B0128"/>
    <w:rsid w:val="53405D32"/>
    <w:rsid w:val="53B33AD7"/>
    <w:rsid w:val="53EA3F46"/>
    <w:rsid w:val="548C31D5"/>
    <w:rsid w:val="54D929DA"/>
    <w:rsid w:val="558301B6"/>
    <w:rsid w:val="55B91DBA"/>
    <w:rsid w:val="569A6FB2"/>
    <w:rsid w:val="56E43D9A"/>
    <w:rsid w:val="56EB0888"/>
    <w:rsid w:val="578F41D9"/>
    <w:rsid w:val="5797621A"/>
    <w:rsid w:val="5848564E"/>
    <w:rsid w:val="594E236C"/>
    <w:rsid w:val="596C6B7F"/>
    <w:rsid w:val="59A16A92"/>
    <w:rsid w:val="59E16CE2"/>
    <w:rsid w:val="5A2810AF"/>
    <w:rsid w:val="5A58514F"/>
    <w:rsid w:val="5A707DD1"/>
    <w:rsid w:val="5AFC4F93"/>
    <w:rsid w:val="5B7B78E8"/>
    <w:rsid w:val="5BB26099"/>
    <w:rsid w:val="5C1C6BA9"/>
    <w:rsid w:val="5C326CEB"/>
    <w:rsid w:val="5C977D34"/>
    <w:rsid w:val="5C9A687F"/>
    <w:rsid w:val="5CAC041B"/>
    <w:rsid w:val="5D253953"/>
    <w:rsid w:val="5D3C5A58"/>
    <w:rsid w:val="5DE852D9"/>
    <w:rsid w:val="5DEB0D58"/>
    <w:rsid w:val="5E127950"/>
    <w:rsid w:val="5E2C6BFE"/>
    <w:rsid w:val="5E631CAB"/>
    <w:rsid w:val="5E67611E"/>
    <w:rsid w:val="5F20215F"/>
    <w:rsid w:val="5F44257C"/>
    <w:rsid w:val="5FDB16F5"/>
    <w:rsid w:val="60BD7EC3"/>
    <w:rsid w:val="613B052C"/>
    <w:rsid w:val="61D373F6"/>
    <w:rsid w:val="621247C6"/>
    <w:rsid w:val="62654422"/>
    <w:rsid w:val="628F0E0C"/>
    <w:rsid w:val="62A553CD"/>
    <w:rsid w:val="62DB25A5"/>
    <w:rsid w:val="6302454A"/>
    <w:rsid w:val="631C3D6A"/>
    <w:rsid w:val="63BA5146"/>
    <w:rsid w:val="63FF1AC4"/>
    <w:rsid w:val="641C33E6"/>
    <w:rsid w:val="64505E01"/>
    <w:rsid w:val="655E2D1D"/>
    <w:rsid w:val="65694C4C"/>
    <w:rsid w:val="65F33E79"/>
    <w:rsid w:val="66814751"/>
    <w:rsid w:val="66F74EB0"/>
    <w:rsid w:val="693227DF"/>
    <w:rsid w:val="6B5965FE"/>
    <w:rsid w:val="6B7D388D"/>
    <w:rsid w:val="6BC743DC"/>
    <w:rsid w:val="6BCE15D8"/>
    <w:rsid w:val="6C8212CD"/>
    <w:rsid w:val="6CE63037"/>
    <w:rsid w:val="6E19107C"/>
    <w:rsid w:val="6FD520C6"/>
    <w:rsid w:val="70213BC8"/>
    <w:rsid w:val="70423AFB"/>
    <w:rsid w:val="70B92EF3"/>
    <w:rsid w:val="71957DD9"/>
    <w:rsid w:val="73DB2866"/>
    <w:rsid w:val="74281768"/>
    <w:rsid w:val="742D46EA"/>
    <w:rsid w:val="747970F1"/>
    <w:rsid w:val="751F6501"/>
    <w:rsid w:val="75E01C93"/>
    <w:rsid w:val="767A1593"/>
    <w:rsid w:val="769C447C"/>
    <w:rsid w:val="770776FE"/>
    <w:rsid w:val="77A14D2C"/>
    <w:rsid w:val="77DB461A"/>
    <w:rsid w:val="77EC5772"/>
    <w:rsid w:val="786A6F11"/>
    <w:rsid w:val="78864DF2"/>
    <w:rsid w:val="78BB2C66"/>
    <w:rsid w:val="78E755F2"/>
    <w:rsid w:val="79CF7B55"/>
    <w:rsid w:val="7A476463"/>
    <w:rsid w:val="7AC015AA"/>
    <w:rsid w:val="7B870420"/>
    <w:rsid w:val="7BD14DC4"/>
    <w:rsid w:val="7C201B44"/>
    <w:rsid w:val="7C9313D9"/>
    <w:rsid w:val="7F181066"/>
    <w:rsid w:val="7FDE2F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qFormat="1"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qFormat/>
    <w:uiPriority w:val="0"/>
    <w:pPr>
      <w:widowControl w:val="0"/>
      <w:spacing w:line="400" w:lineRule="exact"/>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b/>
      <w:kern w:val="44"/>
      <w:sz w:val="48"/>
      <w:szCs w:val="48"/>
    </w:rPr>
  </w:style>
  <w:style w:type="paragraph" w:styleId="3">
    <w:name w:val="heading 2"/>
    <w:basedOn w:val="1"/>
    <w:next w:val="1"/>
    <w:semiHidden/>
    <w:unhideWhenUsed/>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pPr>
    <w:rPr>
      <w:rFonts w:ascii="Times New Roman" w:hAnsi="Times New Roman"/>
      <w:szCs w:val="20"/>
    </w:rPr>
  </w:style>
  <w:style w:type="paragraph" w:styleId="5">
    <w:name w:val="Salutation"/>
    <w:basedOn w:val="1"/>
    <w:next w:val="1"/>
    <w:unhideWhenUsed/>
    <w:qFormat/>
    <w:uiPriority w:val="99"/>
    <w:rPr>
      <w:rFonts w:ascii="Calibri" w:hAnsi="Calibri" w:eastAsia="宋体" w:cs="Calibri"/>
      <w:snapToGrid/>
      <w:kern w:val="2"/>
      <w:sz w:val="21"/>
      <w:szCs w:val="21"/>
    </w:rPr>
  </w:style>
  <w:style w:type="paragraph" w:styleId="6">
    <w:name w:val="Body Text"/>
    <w:basedOn w:val="1"/>
    <w:unhideWhenUsed/>
    <w:qFormat/>
    <w:uiPriority w:val="99"/>
    <w:pPr>
      <w:spacing w:line="560" w:lineRule="exact"/>
      <w:ind w:firstLine="480" w:firstLineChars="200"/>
    </w:pPr>
    <w:rPr>
      <w:rFonts w:ascii="Times New Roman" w:hAnsi="Times New Roman"/>
      <w:sz w:val="28"/>
    </w:rPr>
  </w:style>
  <w:style w:type="paragraph" w:styleId="7">
    <w:name w:val="Body Text Indent"/>
    <w:basedOn w:val="1"/>
    <w:next w:val="8"/>
    <w:semiHidden/>
    <w:unhideWhenUsed/>
    <w:qFormat/>
    <w:uiPriority w:val="99"/>
    <w:pPr>
      <w:spacing w:after="120"/>
      <w:ind w:left="420" w:leftChars="200"/>
    </w:pPr>
  </w:style>
  <w:style w:type="paragraph" w:styleId="8">
    <w:name w:val="envelope return"/>
    <w:basedOn w:val="1"/>
    <w:semiHidden/>
    <w:unhideWhenUsed/>
    <w:qFormat/>
    <w:uiPriority w:val="99"/>
    <w:pPr>
      <w:snapToGrid w:val="0"/>
    </w:pPr>
    <w:rPr>
      <w:rFonts w:ascii="Arial" w:hAnsi="Arial"/>
    </w:rPr>
  </w:style>
  <w:style w:type="paragraph" w:styleId="9">
    <w:name w:val="Date"/>
    <w:basedOn w:val="1"/>
    <w:next w:val="1"/>
    <w:link w:val="20"/>
    <w:semiHidden/>
    <w:unhideWhenUsed/>
    <w:qFormat/>
    <w:uiPriority w:val="99"/>
    <w:pPr>
      <w:ind w:left="100" w:leftChars="2500"/>
    </w:pPr>
  </w:style>
  <w:style w:type="paragraph" w:styleId="10">
    <w:name w:val="footer"/>
    <w:basedOn w:val="1"/>
    <w:link w:val="19"/>
    <w:unhideWhenUsed/>
    <w:qFormat/>
    <w:uiPriority w:val="99"/>
    <w:pPr>
      <w:tabs>
        <w:tab w:val="center" w:pos="4153"/>
        <w:tab w:val="right" w:pos="8306"/>
      </w:tabs>
      <w:snapToGrid w:val="0"/>
      <w:spacing w:line="240" w:lineRule="atLeast"/>
      <w:jc w:val="left"/>
    </w:pPr>
    <w:rPr>
      <w:sz w:val="18"/>
      <w:szCs w:val="18"/>
    </w:rPr>
  </w:style>
  <w:style w:type="paragraph" w:styleId="11">
    <w:name w:val="header"/>
    <w:basedOn w:val="1"/>
    <w:link w:val="18"/>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3">
    <w:name w:val="Body Text First Indent 2"/>
    <w:basedOn w:val="7"/>
    <w:semiHidden/>
    <w:unhideWhenUsed/>
    <w:qFormat/>
    <w:uiPriority w:val="99"/>
    <w:pPr>
      <w:ind w:firstLine="420" w:firstLineChars="200"/>
    </w:pPr>
  </w:style>
  <w:style w:type="table" w:styleId="15">
    <w:name w:val="Table Grid"/>
    <w:basedOn w:val="1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bCs/>
    </w:rPr>
  </w:style>
  <w:style w:type="character" w:customStyle="1" w:styleId="18">
    <w:name w:val="页眉 字符"/>
    <w:basedOn w:val="16"/>
    <w:link w:val="11"/>
    <w:qFormat/>
    <w:uiPriority w:val="99"/>
    <w:rPr>
      <w:rFonts w:asciiTheme="minorHAnsi" w:hAnsiTheme="minorHAnsi" w:eastAsiaTheme="minorEastAsia" w:cstheme="minorBidi"/>
      <w:kern w:val="2"/>
      <w:sz w:val="18"/>
      <w:szCs w:val="18"/>
    </w:rPr>
  </w:style>
  <w:style w:type="character" w:customStyle="1" w:styleId="19">
    <w:name w:val="页脚 字符"/>
    <w:basedOn w:val="16"/>
    <w:link w:val="10"/>
    <w:qFormat/>
    <w:uiPriority w:val="99"/>
    <w:rPr>
      <w:rFonts w:asciiTheme="minorHAnsi" w:hAnsiTheme="minorHAnsi" w:eastAsiaTheme="minorEastAsia" w:cstheme="minorBidi"/>
      <w:kern w:val="2"/>
      <w:sz w:val="18"/>
      <w:szCs w:val="18"/>
    </w:rPr>
  </w:style>
  <w:style w:type="character" w:customStyle="1" w:styleId="20">
    <w:name w:val="日期 字符"/>
    <w:basedOn w:val="16"/>
    <w:link w:val="9"/>
    <w:semiHidden/>
    <w:qFormat/>
    <w:uiPriority w:val="99"/>
    <w:rPr>
      <w:kern w:val="2"/>
      <w:sz w:val="21"/>
      <w:szCs w:val="22"/>
    </w:rPr>
  </w:style>
  <w:style w:type="character" w:customStyle="1" w:styleId="21">
    <w:name w:val="NormalCharacter"/>
    <w:link w:val="1"/>
    <w:semiHidden/>
    <w:qFormat/>
    <w:uiPriority w:val="0"/>
    <w:rPr>
      <w:rFonts w:asciiTheme="minorHAnsi" w:hAnsiTheme="minorHAnsi" w:eastAsiaTheme="minorEastAsia" w:cstheme="minorBidi"/>
      <w:kern w:val="2"/>
      <w:sz w:val="21"/>
      <w:szCs w:val="22"/>
      <w:lang w:val="en-US" w:eastAsia="zh-CN" w:bidi="ar-SA"/>
    </w:rPr>
  </w:style>
  <w:style w:type="table" w:customStyle="1" w:styleId="22">
    <w:name w:val="Table Normal"/>
    <w:semiHidden/>
    <w:unhideWhenUsed/>
    <w:qFormat/>
    <w:uiPriority w:val="0"/>
    <w:tblPr>
      <w:tblCellMar>
        <w:top w:w="0" w:type="dxa"/>
        <w:left w:w="0" w:type="dxa"/>
        <w:bottom w:w="0" w:type="dxa"/>
        <w:right w:w="0" w:type="dxa"/>
      </w:tblCellMar>
    </w:tblPr>
  </w:style>
  <w:style w:type="paragraph" w:customStyle="1" w:styleId="23">
    <w:name w:val="Table Text"/>
    <w:basedOn w:val="1"/>
    <w:semiHidden/>
    <w:qFormat/>
    <w:uiPriority w:val="0"/>
    <w:rPr>
      <w:rFonts w:ascii="Times New Roman" w:hAnsi="Times New Roman" w:eastAsia="Times New Roman" w:cs="Times New Roman"/>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WRGHO</Company>
  <Pages>8</Pages>
  <Words>1222</Words>
  <Characters>1311</Characters>
  <Lines>32</Lines>
  <Paragraphs>9</Paragraphs>
  <TotalTime>104</TotalTime>
  <ScaleCrop>false</ScaleCrop>
  <LinksUpToDate>false</LinksUpToDate>
  <CharactersWithSpaces>1443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2020-01-30T01:04:00Z</dcterms:created>
  <dc:creator>WRGHO</dc:creator>
  <cp:lastModifiedBy>WPS_1787884157</cp:lastModifiedBy>
  <cp:lastPrinted>2026-10-26T08:19:31Z</cp:lastPrinted>
  <dcterms:modified xsi:type="dcterms:W3CDTF">2026-10-26T08:30:20Z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7604F7930C0143D8A11172A042D82A64_13</vt:lpwstr>
  </property>
  <property fmtid="{D5CDD505-2E9C-101B-9397-08002B2CF9AE}" pid="4" name="KSOTemplateDocerSaveRecord">
    <vt:lpwstr>eyJoZGlkIjoiNzdmN2E2MWViMWNkZWJlMDU1MWE2YjU0ZTI3NzhiMmQiLCJ1c2VySWQiOiIxODkzMzcxNzcyIn0=</vt:lpwstr>
  </property>
</Properties>
</file>