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7A7C">
      <w:pPr>
        <w:pStyle w:val="2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附件1</w:t>
      </w:r>
    </w:p>
    <w:p w14:paraId="29642CA3">
      <w:pPr>
        <w:pStyle w:val="2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111111"/>
          <w:sz w:val="44"/>
          <w:szCs w:val="44"/>
        </w:rPr>
      </w:pPr>
      <w:bookmarkStart w:id="0" w:name="_Hlk135639275"/>
      <w:bookmarkEnd w:id="0"/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南京市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  <w:lang w:val="en-US" w:eastAsia="zh-CN"/>
        </w:rPr>
        <w:t>栖霞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区202</w:t>
      </w:r>
      <w:r>
        <w:rPr>
          <w:rFonts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5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年大宗商品消费补贴</w:t>
      </w:r>
    </w:p>
    <w:p w14:paraId="3998B270">
      <w:pPr>
        <w:pStyle w:val="2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1111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发放机构评选实施办法</w:t>
      </w:r>
    </w:p>
    <w:p w14:paraId="27C71ABC">
      <w:pPr>
        <w:pStyle w:val="2"/>
        <w:widowControl/>
        <w:spacing w:beforeAutospacing="0" w:afterAutospacing="0" w:line="560" w:lineRule="exact"/>
        <w:jc w:val="center"/>
        <w:rPr>
          <w:rFonts w:ascii="方正楷体_GBK" w:hAnsi="方正楷体_GBK" w:eastAsia="方正楷体_GBK" w:cs="方正楷体_GBK"/>
          <w:color w:val="111111"/>
          <w:sz w:val="32"/>
          <w:szCs w:val="32"/>
          <w:shd w:val="clear" w:color="auto" w:fill="FFFFFF"/>
        </w:rPr>
      </w:pPr>
    </w:p>
    <w:p w14:paraId="3D1D1D4E">
      <w:pPr>
        <w:pStyle w:val="2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 w14:paraId="379A07E1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根据相关要求，为公平、公正、公开反映各机构执行消费补贴发放的能力，确保发放工作有序有效，现结合实际，制定评选实施办法。</w:t>
      </w:r>
    </w:p>
    <w:p w14:paraId="2EE1F0B8">
      <w:pPr>
        <w:pStyle w:val="2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一、评选对象</w:t>
      </w:r>
    </w:p>
    <w:p w14:paraId="54CCD56F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参与南京市大宗商品消费补贴发放的机构。</w:t>
      </w:r>
    </w:p>
    <w:p w14:paraId="3422A756">
      <w:pPr>
        <w:pStyle w:val="2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二、指标体系</w:t>
      </w:r>
    </w:p>
    <w:p w14:paraId="61DD68A2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评选采用百分制，共包括机构资质（20分）、活动流程设计（50分）及活动配套资源（30分）三项评分因素，根据评分标准对机构方案进行量化评分。</w:t>
      </w:r>
    </w:p>
    <w:p w14:paraId="366CC119">
      <w:pPr>
        <w:pStyle w:val="2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三、评选方式</w:t>
      </w:r>
    </w:p>
    <w:p w14:paraId="34E243EE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拟由南京市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val="en-US" w:eastAsia="zh-CN"/>
        </w:rPr>
        <w:t>栖霞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商务局会同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区发改委、区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财政局、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市场监管局，根据各参与消费补贴发放机构的执行方案、现场陈述等进行综合打分；邀请南京市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val="en-US" w:eastAsia="zh-CN"/>
        </w:rPr>
        <w:t>栖霞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区纪委监委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全程监督评选。</w:t>
      </w:r>
    </w:p>
    <w:p w14:paraId="412FC994">
      <w:pPr>
        <w:pStyle w:val="2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color w:val="111111"/>
          <w:sz w:val="32"/>
          <w:szCs w:val="32"/>
          <w:shd w:val="clear" w:color="auto" w:fill="FFFFFF"/>
        </w:rPr>
        <w:t>四、结果运用</w:t>
      </w:r>
    </w:p>
    <w:p w14:paraId="68EA2712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bookmarkStart w:id="1" w:name="_Hlk81506421"/>
      <w:bookmarkEnd w:id="1"/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根据机构得分情况，研究确定汽车补贴发放机构。</w:t>
      </w:r>
    </w:p>
    <w:p w14:paraId="20E895D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441BD"/>
    <w:rsid w:val="091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2025-09-05T02:00:00Z</dcterms:created>
  <dc:creator>我心己乱</dc:creator>
  <cp:lastModifiedBy>我心己乱</cp:lastModifiedBy>
  <dcterms:modified xsi:type="dcterms:W3CDTF">2025-09-05T02:02:01Z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759EED0788794AC2ADC27D9771C9F743_11</vt:lpwstr>
  </property>
  <property fmtid="{D5CDD505-2E9C-101B-9397-08002B2CF9AE}" pid="4" name="KSOTemplateDocerSaveRecord">
    <vt:lpwstr>eyJoZGlkIjoiYzgyMzc5ZjFiOTBjZDc1MzJjYmVjOTcyYTkzMmZlMTkiLCJ1c2VySWQiOiIzNjg2MzM4MzgifQ==</vt:lpwstr>
  </property>
</Properties>
</file>