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南京市栖霞区发展和改革委员会</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研究并提出全区国民经济和社会发展的规划和宏观调控政策；编制并组织实施国民经济与社会发展中长期规划和年度计划；提出国民经济发展及优化经济结构的目标和政策；负责全区国民经济和社会发展奋斗目标监督、检查和考核；加强经济形势的监测分析，提出经济可持续发展的指导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负责拟订全区经济体制改革方案；统筹推进区供给侧结构性改革等专项改革方案的组织实施；指导推进全区其他各项经济体制改革工作；牵头推进区优化营商环境工作。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动落实“一带一路”建设、长江经济带发展、长三角区域一体化发展等国家重大战略；推进落实区域协调发展战略、新型城镇化战略等重大政策；统筹推进扬子江城市群、宁镇扬等跨区域合作与发展，负责拟订区域合作交流政策，组织区域合作交流；牵头协调推进东西部对口支援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协调全区三次产业发展重大问题并统筹衔接相关发展规划和重大政策；统筹规划全区重大产业项目和生产力布局；负责拟订产业融合、产城融合等政策建议，推进先进制造业与现代服务业融合发展；组织拟订并推动全区服务业战略规划和重大政策，负责现代服务业经济运行情况分析；负责服务业集聚区建设和服务业重大项目的指导、协调和服务；协调推进总部经济发展的相关工作，制订相关政策与措施；研究提出高新技术产业和新兴产业发展重点领域；牵头负责军民融合和国防经济动员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全区固定资产投资的综合管理。研究提出全区固定资产投资规模和投资结构的调控目标、政策和措施，大力引导民间投资。负责规划重大建设项目布局及全区重大项目研究、储备、推进和协调。会同相关部门提出年度政府投资建设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负责可持续发展战略实施的协调。拟订资源节约综合利用规划；负责全区能源、电力行业管理有关工作，强化能源发展状况监测及分析，做好能源资源等基础产业方面的对外合作。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负责区域范围内油气长输管道安全管理工作。加强对本行政区域管道保护工作的领导，督促、检查有关单位依法履行管道保护职责；组织排除管道的重大外部安全隐患；依法查处危害管道安全的违法行为。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规划和协调全区社会事业发展。组织拟定全区社会事业发展计划、目标；组织实施粮食等重要物资及应急储备物质收储、轮换和日常管理；协调全区社会事业发展中的重大问题，推进经济、社会可持续发展；研究和推进全区为民办实事、富民增收、城乡基本公共服务均等化等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统筹全区社会信用体系建设工作。承担区社会信用体系建设工作领导小组办公室日常工作；负责全区社会信用体系建设工作的任务部署、组织实施、考核考评；拟订全区社会信用体系建设的规定、标准和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统筹全区社会信用体系建设工作。承担区社会信用体系建设工作领导小组办公室日常工作；负责全区社会信用体系建设工作的任务部署、组织实施、考核考评；拟订全区社会信用体系建设的规定、标准和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统筹价格调控职能。贯彻执行国家、省、市价格法律、法规、规章，落实市价格总水平预期调控目标及相应的调控措施，实施特殊情况下价格干预措施方面的有关工作；加强价格监测公共信息服务，定期发布和开展价格公共信息服务工作。开展价格总水平、市场价格动态以及重要商品、服务价格和收费的监测、分析和预测，掌握相关成本与市场供求的变动情况，实施价格监测预警，提出调控管理及相关经济政策建议。协管国家和省、市价格主管部门管理的服务价格和行政事业性收费，提出价格和收费调整的建议，并组织具体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重大项目推进科、产业协调科、投资管理科、规划与发展科、社会事业科、体制改革与信用建设科、新经济科、重大战略推进科、油气长输管线保护科、资源节约与循环经济科、价格管理科、大数据规划管理科、大数据资源开发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本部门下属单位包括:南京市栖霞区发展和改革委员会价格认证中心。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南京市栖霞区发展和改革委员会（本级），南京市栖霞区发展和改革委员会价格认证中心。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1、强化经济分析，做好目标路径分解。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科学做好目标设置。全面梳理各部门、街道年度工作安排，统筹经济发展、改革开放、城乡建设、生态文明、社会治理等多个方面，谋划好全区经济社会发展目标，编制完善《栖霞区2022年国民经济和社会发展计划》；合理确定各项目标任务，分解下达相关指标及重点工作、项目，进一步强化目标导向，不断推进经济社会高质量发展。二是全面加强经济分析。准确把握经济和社会发展新常态，明确工作重点，聚焦重大项目、龙头企业跟踪监测，动态分析全区经济运行情况，进一步找准定位、找对抓手、细化措施，钻研目标实施路径，压实工作主体责任，提出有效对策建议，扩大监测分析成效。三是积极优化考核机制。准确把握市对区考核指标体系，加大对上衔接力度，充分理解考核办法、掌握考核动态，牵头指标责任部门排定分解计划，动态跟进工作开展情况，加强重点指标、薄弱指标梳理，牢牢把握考核工作主动权；持续完善区对街道、高新区考核办法，围绕市对区考核导向，结合街道、园区差异化发展实际，优化指标设置，谋划目标任务，努力形成重点突出、科学合理、客观真实的考核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2、强化项目建设，加快完善投资管理。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快编排项目计划。统筹兼顾体量规模和质量效益、产业主导和民生保障、责任落实和目标导向等多个方面，初排2022年市级重大项目46个，总投资755.2亿元，当年计划投资164.2亿元，坚持重大项目滚动发展机制，为全区高质量发展提供项目支撑。二是全力保障项目进展。加强三区统筹协调，对于新开工项目，牵头各相关部门做好前期论证，加快落实规划、用地、环保、资金等要素环节，及时推进各项手续办理，确保项目建设顺利开展，实现“上半年开工率达90%，三季度100%开工”建设目标；对于续建项目，准确做到年度计划投资与总投资合理匹配，持续做好全程跟踪服务，确保投资进度、形象进度“双达标”。三是持续放大投资效能。合理确定全社会固定资产投资增幅，科学分解目标任务，进一步加强项目储备，优化政府投资项目概算管理和立项审批程序，切实提高政府投资绩效和项目精细化管理水平；协助项目单位加强有效项目供给，积极争取中央预算内资金、专项债，多方合力推动全区产业园区REITs试点工作快速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3、强化企业培育，不断提升产业能级。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推动产业结构优化。围绕全区主导产业和产业链优势领域，进一步优化产业空间布局，着力推进强链补链，实现资源集约利用，有效提高配置效率；推动先进制造业和现代服务业深度融合发展，进一步扩大生产性服务业规模，推动生产性服务业向专业化和价值链高端延伸；突出创新驱动，助力产业转型，充分发挥政策示范作用，引导“产学研用”深度融合，布局产业技术创新平台，完善人工智能项目跟踪服务机制，切实提高受众精准度。二是加强企业项目建设。进一步突出招大引强，加快培育一批现代服务业领军企业，招引一批具有区域竞争力的总部企业和知名品牌，发展一批“两业融合”试点企业，打造“两业融合”试点区域，不断提升总部经济、楼宇经济和产业集聚发展水平；推动LG新能源电池、翔腾光电等制造业项目竣工投产，为经济发展提供增量贡献，加快中国（南京）智谷、燕子矶滨江商务区等园区和现代服务业项目建设，打造中高端商业中心和科创企业空间载体。三是促进JMRH发展。聚焦优势产业，突出地区发展特色，全力畅通省市JMRH资金申报渠道；强化军地对接，切合国家、省市JMRH发展政策，提振企业发展信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4、强化改革创新，持续优化营商环境。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推进社会信用体系建设。全面提升“双公示”质量，制定栖霞区“双公示”规范，持续开展诚信宣教活动，推广社会信用体系建设经验成果，全面营造“诚实守信”社会环境；全方位深化信用惠民便企服务，提升“信易贷”覆盖面和融资规模，在经费支持、孵化培育、资质评级等方面推动更多资源向诚信企业倾斜，突出企业信用建设成果；推广事前信用承诺，采取市场主体分级分类监管措施，加大政务、商务、社会、司法等多领域信用建设, 增强部门监管合力。二是提升营商便利度水平。积极落实市优化营商环境各项政策部署，制定2022年栖霞区优化营商环境政策，充分利用多媒体渠道广泛开展舆论宣传，打造栖霞工作特色；充分发挥牵头部门作用，定期监督考核营商环境工作成效，确保政策法规落到实处；坚持问题导向，切实做到问需于企、问效于企，加强企业沟通，及时回应解决问题，准确传递权威信息和政策意图，不断构建市场化、法治化、国际化的一流营商环境。三是强化改革工作督办。坚持问题导向、目标导向、结果导向，密切沟通相关部门，做好改革方案实施跟踪，配合开展改革实施效果评估，确保改革系统性、整体性、协同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5、强化顶层设计，着力建设智慧栖霞。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抓好重点信息化项目管理。按照“基础先行、急用先行、民生先行、量力而行”原则，编制《2022年度信息化建设计划》，明确责任单位、落实资金来源、制定时间进度、持续跟踪服务，确保计划内项目逐一落实。二是继续完善大数据平台架构。加快区、街两级城市数字治理中心建设，实时汇聚城市运行、社会民生、经济发展等动态指标，通过城市运行数据归集、治理和分析，强化管理决策和公众服务数据支撑；优化区级共享交换平台、业务中台等基础平台建设，初步建成人口、法人、宏观经济等七个基础信息资源库，以及部分主题资源库、部门资源库；加大信息系统整合力度，分步实施信息迁移，逐步实现机关部门现有信息系统统一管理、互联互通和数据共享。三是巩固数据网络安全。严格落实信息系统保护机制，加强数据中心网络边界防护，做好数据中心常态化运维管理；制定应用级数据实时备份容灾解决方案，做到数据实时连续性备份，确保数据平台信息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6、强化统筹协调，保障重大战略推进。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做好长江经济带相关工作。梳理全面推动长江经济带高质量发展座谈会一周年成果素材，集中展示地区特色亮点项目，举办《长江保护法》宣贯活动，加大长江大保护宣传力度；聚焦“一江两岸”地区建设，构建多元协调生态系统，围绕数字乡村、科技服务、功能农业三大发展方向，推动八卦洲绿色发展示范载体打造；深入调研全区生态产品价值实现相关点位，建立生态产品价值实现储备项目库，培育更多典型案例。二是创新能耗管控举措。探索建立绿色低碳技术成果转化平台，启动碳达峰、碳中和目标及路径研究，认真梳理全区低碳城市工作成效和存在问题，创新合同能源管理模式，持续提高资源综合利用效能，推进能源结构科学化、绿色化。三是压实安全生产责任。针对油气电力安全防范工作规律特点，毫不放松抓好安全生产专项整治；引入第三方安全监管机构，进一步完善智慧监管平台功能，着力打造高水平、专业化安全监管队伍；抓好主体责任落实工作，建立健全高后果区风险档案，指导属地街道建立油气管道风险清单，确保安全风险可视可控可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7、强化民生改善，全面发展社会事业。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力做好民生保障。大力推进全区教育、卫生、文旅、养老等各项社会事业工作目标，完善公共服务体系；高质高效办好市区民生实事项目，初排2022年区级民生实事项目30项；深化富民增收工作开展，完善多渠道、多层次就业平台架构，继续实施创业富民、科技富民、政策富民等项目工程，确保居民收入增长与经济增长基本同步；常态化做好防控救灾物资储备管理，提升全区应急能力水平。二是继续深化对口协作。加强总体规划编制，突出全年协作工作重点，针对资金援助、人才支持、劳务协作、产业合作、消费支撑等领域积极开展工作创新，拓展帮扶协作方式，增强区域协调发展效能，巩固对口地区协作成果。三是有效强化价格管控。全面落实价格调控和治乱减负目标责任要求，增强价格监测预警能力，规范价格收费行为，维护商品价格稳定；做好商品房销售价格、物业收费标准等申报备案，确保收费明码标价公示，同步提高事中事后监管水平，督促问题单位整改规范；继续做好12345等民生诉求接处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南京市栖霞区发展和改革委员会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南京市栖霞区发展和改革委员会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5,994.37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1,459.49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3,275.00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459.88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5,994.37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5,994.37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5,994.37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5,994.37</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5,994.37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5,994.37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5,994.37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南京市栖霞区发展和改革委员会</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5,994.37</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5,994.37</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5,994.37</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南京市栖霞区发展和改革委员会（机关）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5,956.36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5,956.36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5,956.36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南京市栖霞区发展和改革委员会价格认证中心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38.01</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1,609.37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4,385.00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1,149.49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1,149.49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战略规划与实施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日常经济运行调节</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社会事业发展规划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物价管理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南京市栖霞区发展和改革委员会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5,994.37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1,459.49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459.88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5,994.37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1,609.37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1,519.59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发展与改革事务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1,059.71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89.78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1,032.96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87.44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战略规划与实施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日常经济运行调节</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社会事业发展规划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物价管理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314.64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南京市栖霞区发展和改革委员会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1,609.37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5,994.37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1,609.37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1,519.59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1,149.49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1,459.49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1,149.49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89.78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战略规划与实施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日常经济运行调节</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社会事业发展规划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物价管理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其他发展与改革事务支出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1,609.37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1,519.59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1,323.28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87.44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南京市栖霞区发展和改革委员会</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南京市栖霞区发展和改革委员会（机关）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南京市栖霞区发展和改革委员会2022年度收入、支出预算总计5,994.37万元，与上年相比收、支预算总计各增加545.55万元，增长10.01%。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（一）收入预算总计5,994.37万元。包括：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1．本年收入合计5,994.37万元。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（1）一般公共预算拨款收入5,994.37万元，与上年相比增加545.55万元，增长10.01%。主要原因是信息化建设专项资金增加。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（二）支出预算总计5,994.37万元。包括：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1．本年支出合计5,994.37万元。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（1）一般公共服务支出（类）支出1,459.49万元，主要用于人员工资、公积金发放。与上年相比减少51.87万元，减少3.43%。主要原因是厉行节约。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（2）公共安全支出（类）支出800万元，主要用于大数据局公共安全支出。与上年预算数相同。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（3）科学技术支出（类）支出3,275万元，主要用于信息化建设资金。与上年相比增加475万元，增长16.96%。主要原因是信息化建设资金增加。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（4）住房保障支出（类）支出459.88万元，主要用于住房公积金、住房补贴发放。与上年相比增加22.42万元，增长5.13%。主要原因是人员增加及公积金、住房补贴基数调整。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南京市栖霞区发展和改革委员会2022年收入预算合计5,994.37万元，包括本年收入5,994.37万元，上年结转结余0万元。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本年一般公共预算收入5,994.37万元，占100%；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南京市栖霞区发展和改革委员会2022年支出预算合计5,994.37万元，其中：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基本支出1,609.37万元，占26.85%；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项目支出4,385万元，占73.15%；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南京市栖霞区发展和改革委员会2022年度财政拨款收、支总预算5,994.37万元。与上年相比，财政拨款收、支总计各增加545.55万元，增长10.01%。主要原因是人员增加及公积金、住房补贴基数调整。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财政拨款预算支出5,994.37万元，占本年支出合计的100%。与上年相比，财政拨款支出增加545.55万元，增长10.01%。主要原因是信息化建设专项资金增加；人员增加，人员工资、公积金、购房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1.发展与改革事务（款）行政运行（项）支出1,120.4万元，与上年相比减少33.18万元，减少2.88%。主要原因是厉行节约。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2.发展与改革事务（款）一般行政管理事务（项）支出26万元，与上年相比增加20万元，增长333.33%。主要原因是人员增加，人员工资等政策性调整。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3.发展与改革事务（款）战略规划与实施（项）支出30万元，与上年相比减少24万元，减少44.44%。主要原因是厉行节约。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发展与改革事务（款）日常经济运行调节（项）支出90万元，与上年相比增加40万元，增长80%。主要原因是政府投资项目委托评估费50万元由财政拨款安排，上年政府投资项目委托评估费由单位结余资金安排，财政拨款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5.发展与改革事务（款）社会事业发展规划（项）支出50万元，与上年相比增加13万元，增长35.14%。主要原因是疫情影响。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6.发展与改革事务（款）物价管理（项）支出113.09万元，与上年相比增加61.31万元，增长118.4%。主要原因是物价管理宣传工作任务增加。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7.发展与改革事务（款）其他发展与改革事务支出（项）支出30万元，与上年相比减少29万元，减少49.15%。主要原因是厉行节约。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其他公共安全支出（款）其他公共安全支出（项）支出800万元，与上年预算数相同。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其他科学技术支出（款）其他科学技术支出（项）支出3,275万元，与上年相比增加575万元，增长21.3%。主要原因是信息化建设专项资金增加。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1.住房改革支出（款）住房公积金（项）支出145.24万元，与上年相比增加7.09万元，增长5.13%。主要原因是人员增加以及住房公积金政策性调整。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2.住房改革支出（款）购房补贴（项）支出314.64万元，与上年相比增加15.33万元，增长5.12%。主要原因是人员增加以及购房补贴政策性调整。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南京市栖霞区发展和改革委员会2022年度财政拨款基本支出预算1,609.37万元，其中：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1,519.59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（二）公用经费89.78万元。主要包括：办公费、水费、电费、邮电费、差旅费、会议费、培训费、公务接待费、工会经费、其他交通费用、其他商品和服务支出。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一般公共预算财政拨款支出预算5,994.37万元，与上年相比增加545.55万元，增长10.01%。主要原因是信息化建设专项资金增加；人员增加，人员工资、公积金、购房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南京市栖霞区发展和改革委员会2022年度一般公共预算财政拨款基本支出预算1,609.37万元，其中：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1,519.59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（二）公用经费89.78万元。主要包括：办公费、水费、电费、邮电费、差旅费、会议费、培训费、公务接待费、工会经费、其他交通费用、其他商品和服务支出。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一般公共预算拨款安排的“三公”经费预算支出中，因公出国（境）费支出0万元，占“三公”经费的0%；公务用车购置及运行维护费支出0万元，占“三公”经费的0%；公务接待费支出8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3．公务接待费预算支出8万元，比上年预算增加2.87万元，主要原因是上级调研及对口扶贫单位来访。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南京市栖霞区发展和改革委员会2022年度一般公共预算拨款安排的会议费预算支出7万元，比上年预算增加0.16万元，主要原因是对口扶贫单位来访。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南京市栖霞区发展和改革委员会2022年度一般公共预算拨款安排的培训费预算支出30万元，比上年预算增加27.95万元，主要原因是碳达峰及营商环境等培训会增加。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南京市栖霞区发展和改革委员会2022年国有资本经营预算支出0万元。与上年预算数相同。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2022年本部门一般公共预算机关运行经费预算支出87.44万元。与上年相比增加1.18万元，增长1.37%。主要原因是部门人员增加，相应定额费用增加。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2022年度政府采购支出预算总额6万元，其中：拟采购货物支出6万元、拟采购工程支出0万元、拟购买服务支出0万元。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2022年度，本部门整体支出纳入绩效目标管理，涉及四本预算资金5,994.37万元；本部门共5个项目纳入绩效目标管理，涉及四本预算资金合计4,385万元，占四本预算资金(基本支出除外)总额的比例为100%。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九、一般公共服务支出(类)发展与改革事务(款)一般行政管理事务(项)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十、一般公共服务支出(类)发展与改革事务(款)战略规划与实施(项)</w:t>
      </w:r>
      <w:r>
        <w:rPr>
          <w:rFonts w:ascii="仿宋" w:hAnsi="仿宋" w:cs="仿宋" w:eastAsia="仿宋"/>
          <w:b w:val="true"/>
        </w:rPr>
        <w:t>：</w:t>
      </w:r>
      <w:r>
        <w:rPr>
          <w:rFonts w:hint="eastAsia" w:ascii="仿宋" w:hAnsi="仿宋" w:eastAsia="仿宋" w:cs="仿宋"/>
        </w:rPr>
        <w:t>反映拟订并组织实施国民经济和社会发展战略、中长期规划和年度计划，实施宏观管理与调控等方面的支出。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十一、一般公共服务支出(类)发展与改革事务(款)日常经济运行调节(项)</w:t>
      </w:r>
      <w:r>
        <w:rPr>
          <w:rFonts w:ascii="仿宋" w:hAnsi="仿宋" w:cs="仿宋" w:eastAsia="仿宋"/>
          <w:b w:val="true"/>
        </w:rPr>
        <w:t>：</w:t>
      </w:r>
      <w:r>
        <w:rPr>
          <w:rFonts w:hint="eastAsia" w:ascii="仿宋" w:hAnsi="仿宋" w:eastAsia="仿宋" w:cs="仿宋"/>
        </w:rPr>
        <w:t>反映日常经济运行调节方面的支出。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十二、一般公共服务支出(类)发展与改革事务(款)社会事业发展规划(项)</w:t>
      </w:r>
      <w:r>
        <w:rPr>
          <w:rFonts w:ascii="仿宋" w:hAnsi="仿宋" w:cs="仿宋" w:eastAsia="仿宋"/>
          <w:b w:val="true"/>
        </w:rPr>
        <w:t>：</w:t>
      </w:r>
      <w:r>
        <w:rPr>
          <w:rFonts w:hint="eastAsia" w:ascii="仿宋" w:hAnsi="仿宋" w:eastAsia="仿宋" w:cs="仿宋"/>
        </w:rPr>
        <w:t>反映社会事业发展规划方面的支出。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十三、一般公共服务支出(类)发展与改革事务(款)物价管理(项)</w:t>
      </w:r>
      <w:r>
        <w:rPr>
          <w:rFonts w:ascii="仿宋" w:hAnsi="仿宋" w:cs="仿宋" w:eastAsia="仿宋"/>
          <w:b w:val="true"/>
        </w:rPr>
        <w:t>：</w:t>
      </w:r>
      <w:r>
        <w:rPr>
          <w:rFonts w:hint="eastAsia" w:ascii="仿宋" w:hAnsi="仿宋" w:eastAsia="仿宋" w:cs="仿宋"/>
        </w:rPr>
        <w:t>反映物价管理方面的支出。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十四、一般公共服务支出(类)发展与改革事务(款)其他发展与改革事务支出(项)</w:t>
      </w:r>
      <w:r>
        <w:rPr>
          <w:rFonts w:ascii="仿宋" w:hAnsi="仿宋" w:cs="仿宋" w:eastAsia="仿宋"/>
          <w:b w:val="true"/>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南京市栖霞区发展和改革委员会</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