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南京市栖霞区农业农村局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 贯彻落实“三农”工作发展战略，统筹研究和组织实施“三农”工作发展战略、中长期规划、重大政策。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 统筹推动发展农村社会事业、农村公共服务、农村文化、农村基础设施和乡村治理。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 拟订深化农村经济体制改革和巩固完善农村基本经营制度的政策。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 指导乡村特色产业、农产品加工业、休闲农业发展工作。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 负责种植业、畜牧业、渔业、农业机械化等农业各产业工作的监督管理。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 负责农产品质量安全监督管理。组织开展农产品质量安全监测、追溯、风险评估。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 组织农业资源区划工作。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 负责有关农业生产资料和农业投入品的监督管理。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 负责农业防灾减灾、农作物重大病虫害防治、重大动物疾病防控。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 负责农业投资管理和农业领域投资促进工作。提出农业投融资体制机制改革建议。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 推动农业科技体制改革和农业科技创新体系建设。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 指导农业农村人才工作。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 负责全区森林资源保护发展监督管理工作。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 承办农业涉外事务工作，组织开展农业对外交流、农业利用外资；指导开放型农业发展，协助实施农业援外项目。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 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办公室、政策法规科、农村统筹发展科（农村集体资产管理科）、农村产业发展科、农业科、林业科（栖霞区绿化委员会办公室）、畜牧渔业科、农业装备科、农田建设管理科。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本部门下属单位包括:南京市栖霞区农业综合行政执法大队，南京市栖霞区农业综合服务中心，南京市栖霞区农业机械安全监理所。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南京市栖霞区农业农村局（本级），南京市栖霞区农业综合行政执法大队，南京市栖霞区农业综合服务中心，南京市栖霞区农业机械安全监理所。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用好考核指挥棒，推动“三农”事业发展高质量。一是做到心中有数。打好高质量发展考核收官战，确保完成各项指标，力争考出理想成绩。同时，加强考核结果运用，做好纵向和横向对比分析，研究差距有多大、路径在哪里。二是做到手里有招。坚持把考核工作融入日常、抓在经常，对完成较好的指标继续鼓劲加压、争先创优，着重在提高重大项目实施水平、美丽乡村建设质量和农业生产现代化水平等弱项方面深入调研、综合施策、紧追快赶，书写栖霞新答卷。三是做到肩上有责。认清栖霞农业体量较小、发展有差距这一长期存在的客观现实，以纳入郊区组考核为契机，夯实区街村三级书记抓乡村振兴的责任，强化统筹协调和督促指导，积极争取政策支持和资源倾斜，持续努力，久久为功，解决考核指标推进中的痛点难点，推动实现乡村全面振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立足都市现代农业，持续推进产业提质增效。一是抓实农业稳产增效。严守耕地保护红线，确保现有耕地应种尽种、种足种满。持续推进高产稳产、防病防灾和机械化生产措施，提高粮食等亩均效益。稳定生猪生产恢复势头，实行标准化生态健康养殖。将“品牌兴农”建设放在突出位置，扩大优质农产品种植规模，打造“两无化”核心示范基地2021亩，学习借鉴上海崇明岛技术管理和销售模式，进一步擦亮“两无化”品牌。优化提升“洲野天成”区域公用品牌，促进品牌统一化、运营专业化、渠道多元化发展。结合农民丰收节、农业嘉年华等，打造以“洲野天成”命名的系列节日专题营销活动；依托线上网店和自有平台，抢抓“618”“双 11”等契机，开展专题直播等，构建线上线下“双循环”，打造栖霞都市现代农业的“金字招牌”。二是促进产业聚合提升。在科技赋能、主体培育、项目招引、业态融合等关键环节上加大工作力度和资金投入，不断延伸优质蔬菜、特色花卉两大产业链。加快种源技术攻关，联合湖南杂交水稻研究中心开展芳草渡大米新品种试验选育。强化科技成果转化，全面推进芦蒿“机器换人”、“两无化”组培苗示范推广，做好“百合岛”“菊花园”产学研项目实体化运作，形成规模集聚效应。持续推动陌上花渡、“水一方”、桦墅村三大板块农旅联动发展，培育升级有特色接地气的农旅项目，加快推进产业融合用地项目手续办理与后期落地。三是做强重大项目。强化“项目为王”理念，建好2022年农业农村重大项目库。积极对接区发改委、住建等部门，加强梳理摸排，整合资源要素，聚焦涉农重点领域项目建设要求，强化项目精准招引，加快项目前期工作推进进度，完善项目开工条件，细化推进措施，全面增强乡村振兴项目驱动。前期已梳理出农口 2022年重大项目储备15个、计划总投资3.5亿元、当年计划总投资2.8亿元，主要涉及农业基础设施、全产业链建设等。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践行绿色发展理念，着力营造乡村良好环境。一是实施美丽乡村建设。探索利用区内国资平台投资美丽乡村建设，全面提升建设档次和覆盖面。新建美丽乡村宜居村18个。发挥外沙村、太平村人居环境长效自主管护示范引领作用，在全区范围推广实施，完善相关政策体系，加强对街村一线政策支持和资金保障，落实落细长效管护措施，统一管护标准，强化监督考核，切实巩固和提升农村人居环境成效，让农村居民畅享环境持久“绿净美”。二是加强乡村生态保护。加强农业面源污染监测治理，全力打造沿江化肥农药“两减”示范带。严格落实长江“十年禁渔”长效管控措施，全面压实落细岸线长制度，在试点基础上全面推进渔政委托街道执法，形成护渔队员日常“巡”与行政执法集中“治”有效打击机制。有序开展水生生物增殖放流行动，长效保护长江生态和物种多样性。三是全面推进林长制。全面完善区、街、村（社区）三级林长制体系，着力构建党政同责、属地负责、部门协同、源头治理、全域覆盖的长效机制。加快森林资源智能化管理信息平台建设，为林长制全面开展提供数据信息支撑。持续推进森林、湿地资源保护和质量提升，完成森林抚育2000亩、林相改造500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农村民生福祉，全力挖掘富民增收渠道。一是培育新型农业经营主体。加强乡村“双创”支持力度，积极推荐符合条件的农业产业龙头企业申报国家级和省级龙头企业，全面推动示范合作社整区推进和空壳社清理行动，开展家庭农场、合作社示范认定，促进经营主体梯次健康发展，突出区级家庭农场联盟、产业化联合体等联结机制作用，引导更多小农户迈入现代产业发展。二是发展乡村特色旅游经济。进一步推进乡村旅游业态发展，聚焦农民增收瓶颈，引入社会资本，打造接地气有吸引力的休闲农业项目，带动乡村旅游发展、促进富民增收。同时，重点把发展特色民宿作为农民增收的突破点和增长点，发挥桦墅村、外沙村示范引领作用，深入探索“工疗惠农”新路，进一步承接会议、研学、团建等业务，激发周边农户参与积极性，扩大民宿集聚区影响力，带动农民就业和农产品销售。三是壮大农村集体经济。持续巩固提升“两不愁、三保障”脱贫攻坚成效，接续推进经济薄弱。</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南京市栖霞区农业农村局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南京市栖霞区农业农村局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4,614.98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4,087.40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527.58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4,614.98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4,614.98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4,614.98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4,614.98</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4,614.98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4,614.98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4,614.98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南京市栖霞区农业农村局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4,614.98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4,614.98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4,614.98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326001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南京市栖霞区农业农村局（机关）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3,528.01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3,528.01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3,528.01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326002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南京市栖霞区农业综合行政执法大队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621.62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621.62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621.62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326003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南京市栖霞区农业综合服务中心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239.83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239.83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239.83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326004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南京市栖霞区农业机械安全监理所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225.52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225.52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225.52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1,965.12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2,649.86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1,437.54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3,809.24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1,437.54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2,371.70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执法监管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对外交流与合作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农业资源保护修复与利用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2130148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渔业发展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2130153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农田建设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1,072.10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1,072.10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林业和草原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南京市栖霞区农业农村局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4,614.98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4,087.40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527.58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4,614.98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1,965.12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1,850.56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114.56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2,649.86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1,437.54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2,649.86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3,809.24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1,437.54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2,371.70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793.13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733.35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执法监管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对外交流与合作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农业资源保护修复与利用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2130148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渔业发展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2130153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农田建设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1,072.10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1,072.10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林业和草原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南京市栖霞区农业农村局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1,965.12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4,614.98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1,965.12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1,850.56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114.56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1,437.54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3,809.24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1,437.54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2,371.70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733.35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执法监管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对外交流与合作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农业资源保护修复与利用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2130148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渔业发展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2130153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农田建设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1,072.10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1,072.10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林业和草原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2130209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1,965.12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1,630.51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南京市栖霞区农业农村局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南京市栖霞区农业农村局（机关）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木制台、桌类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木骨架为主的椅凳类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木骨架沙发类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南京市栖霞区农业农村局2022年度收入、支出预算总计4,614.98万元，与上年相比收、支预算总计各减少2,093.72万元，减少31.21%。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（一）收入预算总计4,614.98万元。包括：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1．本年收入合计4,614.98万元。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（1）一般公共预算拨款收入4,614.98万元，与上年相比减少2,093.72万元，减少31.21%。主要原因是农田耕地保护项目减少，预算外安排部分林业项目资金。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（二）支出预算总计4,614.98万元。包括：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1．本年支出合计4,614.98万元。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（1）农林水支出（类）支出4,087.4万元，主要用于主要用于基本支出和项目支出。与上年相比减少2,105.26万元，减少34%。主要原因是农田耕地保护项目减少，预算外安排部分林业项目资金。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（2）住房保障支出（类）支出527.58万元，主要用于职工住房公积金和住房补贴。与上年相比增加11.54万元，增长2.24%。主要原因是公积金和住房补贴汇缴基数调整。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南京市栖霞区农业农村局2022年收入预算合计4,614.98万元，包括本年收入4,614.98万元，上年结转结余0万元。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本年一般公共预算收入4,614.98万元，占100%；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南京市栖霞区农业农村局2022年支出预算合计4,614.98万元，其中：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基本支出1,965.12万元，占42.58%；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项目支出2,649.86万元，占57.42%；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南京市栖霞区农业农村局2022年度财政拨款收、支总预算4,614.98万元。与上年相比，财政拨款收、支总计各减少2,093.72万元，减少31.21%。主要原因是农田耕地保护项目减少，预算外安排部分林业项目资金。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南京市栖霞区农业农村局2022年财政拨款预算支出4,614.98万元，占本年支出合计的100%。与上年相比，财政拨款支出减少2,093.72万元，减少31.21%。主要原因是农田耕地保护项目减少，预算外安排部分林业项目资金。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1.农业农村（款）行政运行（项）支出644.41万元，与上年相比减少37.9万元，减少5.55%。主要原因是在职人员减少。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2.农业农村（款）机关服务（项）支出4.2万元，与上年相比减少1.31万元，减少23.77%。主要原因是办公经费减少。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3.农业农村（款）事业运行（项）支出981.13万元，与上年相比减少1,829.99万元，减少65.1%。主要原因是科目调整，项目减少。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4.农业农村（款）执法监管（项）支出16.5万元，与上年相比减少30.3万元，减少64.74%。主要原因是项目支出减少。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5.农业农村（款）对外交流与合作（项）支出10万元，与上年相比减少30万元，减少75%。主要原因是项目支出减少。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6.农业农村（款）农业资源保护修复与利用（项）支出762.9万元，与上年相比增加142.3万元，增长22.93%。主要原因是农业资源保护项目增加。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7.农业农村（款）渔业发展（项）支出164万元，与上年相比增加164万元（去年预算数为0万元，无法计算增减比率）。主要原因是长江禁渔项目增加经费。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8.农业农村（款）农田建设（项）支出154万元，与上年相比增加154万元（去年预算数为0万元，无法计算增减比率）。主要原因是科目调整。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9.农业农村（款）其他农业农村支出（项）支出1,072.1万元，与上年相比增加15.2万元，增长1.44%。主要原因是项目经费增加。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10.林业和草原（款）森林生态效益补偿（项）支出278.16万元，与上年相比减少302.04万元，减少52.06%。主要原因是科目调整，预算外安排部分林业项目资金。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1.住房改革支出（款）住房公积金（项）支出166.35万元，与上年相比增加2.53万元，增长1.54%。主要原因是公积金基数增加。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2.住房改革支出（款）购房补贴（项）支出361.23万元，与上年相比增加9.01万元，增长2.56%。主要原因是住房补贴基数增加。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南京市栖霞区农业农村局2022年度财政拨款基本支出预算1,965.12万元，其中：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1,850.56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（二）公用经费114.56万元。主要包括：办公费、邮电费、差旅费、培训费、公务接待费、工会经费、公务用车运行维护费、其他交通费用、其他商品和服务支出。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南京市栖霞区农业农村局2022年一般公共预算财政拨款支出预算4,614.98万元，与上年相比减少2,093.72万元，减少31.21%。主要原因是项目减少，预算外安排部分林业项目。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南京市栖霞区农业农村局2022年度一般公共预算财政拨款基本支出预算1,965.12万元，其中：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1,850.56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（二）公用经费114.56万元。主要包括：办公费、邮电费、差旅费、培训费、公务接待费、工会经费、公务用车运行维护费、其他交通费用、其他商品和服务支出。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一般公共预算拨款安排的“三公”经费预算支出中，因公出国（境）费支出0万元，占“三公”经费的0%；公务用车购置及运行维护费支出18.4万元，占“三公”经费的63.56%；公务接待费支出10.55万元，占“三公”经费的36.44%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1．因公出国（境）费预算支出0万元，比上年预算减少5万元，主要原因是厉行节约。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（2）公务用车运行维护费预算支出18.4万元，比上年预算减少2万元，主要原因是厉行节约。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3．公务接待费预算支出10.55万元，比上年预算减少4.52万元，主要原因是厉行节约。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南京市栖霞区农业农村局2022年度一般公共预算拨款安排的会议费预算支出0万元，比上年预算减少5.28万元，主要原因是科目调整。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南京市栖霞区农业农村局2022年度一般公共预算拨款安排的培训费预算支出6.5万元，比上年预算减少6.27万元，主要原因是农民职业培训从市拨经费列支。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南京市栖霞区农业农村局2022年国有资本经营预算支出0万元。与上年预算数相同。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2022年本部门一般公共预算机关运行经费预算支出69.51万元。与上年相比减少3.26万元，减少4.48%。主要原因是厉行节约。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2022年度政府采购支出预算总额4.21万元，其中：拟采购货物支出4.21万元、拟采购工程支出0万元、拟购买服务支出0万元。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6辆，其中，一般公务用车3辆、执法执勤用车2辆、特种专业技术用车1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2022年度，本部门整体支出纳入绩效目标管理，涉及四本预算资金4,614.98万元；本部门共5个项目纳入绩效目标管理，涉及四本预算资金合计2,649.86万元，占四本预算资金(基本支出除外)总额的比例为100%。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八、农林水支出(类)农业农村(款)行政运行(项)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九、农林水支出(类)农业农村(款)机关服务(项)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十一、农林水支出(类)农业农村(款)执法监管(项)</w:t>
      </w:r>
      <w:r>
        <w:rPr>
          <w:rFonts w:ascii="仿宋" w:hAnsi="仿宋" w:cs="仿宋" w:eastAsia="仿宋"/>
          <w:b w:val="true"/>
        </w:rPr>
        <w:t>：</w:t>
      </w:r>
      <w:r>
        <w:rPr>
          <w:rFonts w:hint="eastAsia" w:ascii="仿宋" w:hAnsi="仿宋" w:eastAsia="仿宋" w:cs="仿宋"/>
        </w:rPr>
        <w:t>反映用于农业农村法制建设、行政执法、行政复议、行政诉讼等方面的支出。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十二、农林水支出(类)农业农村(款)对外交流与合作(项)</w:t>
      </w:r>
      <w:r>
        <w:rPr>
          <w:rFonts w:ascii="仿宋" w:hAnsi="仿宋" w:cs="仿宋" w:eastAsia="仿宋"/>
          <w:b w:val="true"/>
        </w:rPr>
        <w:t>：</w:t>
      </w:r>
      <w:r>
        <w:rPr>
          <w:rFonts w:hint="eastAsia" w:ascii="仿宋" w:hAnsi="仿宋" w:eastAsia="仿宋" w:cs="仿宋"/>
        </w:rPr>
        <w:t>反映对外农业交流合作活动，领导人出访后续项目，招待来访、参观以及来华参加各项国际活动的外国代表团、对外联络等方面的支出。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十三、农林水支出(类)农业农村(款)农业资源保护修复与利用(项)</w:t>
      </w:r>
      <w:r>
        <w:rPr>
          <w:rFonts w:ascii="仿宋" w:hAnsi="仿宋" w:cs="仿宋" w:eastAsia="仿宋"/>
          <w:b w:val="true"/>
        </w:rPr>
        <w:t>：</w:t>
      </w:r>
      <w:r>
        <w:rPr>
          <w:rFonts w:hint="eastAsia" w:ascii="仿宋" w:hAnsi="仿宋" w:eastAsia="仿宋" w:cs="仿宋"/>
        </w:rPr>
        <w:t>反映用于耕地质量保护、草原草场利用，渔业水域资源环境保护，农业品种改良提升，以及农业生物资源调查收集、鉴定评价、保存利用等方面的支出。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十四、农林水支出(类)农业农村(款)渔业发展(项)</w:t>
      </w:r>
      <w:r>
        <w:rPr>
          <w:rFonts w:ascii="仿宋" w:hAnsi="仿宋" w:cs="仿宋" w:eastAsia="仿宋"/>
          <w:b w:val="true"/>
        </w:rPr>
        <w:t>：</w:t>
      </w:r>
      <w:r>
        <w:rPr>
          <w:rFonts w:hint="eastAsia" w:ascii="仿宋" w:hAnsi="仿宋" w:eastAsia="仿宋" w:cs="仿宋"/>
        </w:rPr>
        <w:t>反映用于海洋牧场、现代渔业装备设施、渔业基础公共设施、渔业绿色循环发展、渔业资源调查养护和国际履约能力提升等方面的支出。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十五、农林水支出(类)农业农村(款)农田建设(项)</w:t>
      </w:r>
      <w:r>
        <w:rPr>
          <w:rFonts w:ascii="仿宋" w:hAnsi="仿宋" w:cs="仿宋" w:eastAsia="仿宋"/>
          <w:b w:val="true"/>
        </w:rPr>
        <w:t>：</w:t>
      </w:r>
      <w:r>
        <w:rPr>
          <w:rFonts w:hint="eastAsia" w:ascii="仿宋" w:hAnsi="仿宋" w:eastAsia="仿宋" w:cs="仿宋"/>
        </w:rPr>
        <w:t>反映用于农田建设和田间水利相关工程建设的支出。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十七、农林水支出(类)林业和草原(款)森林生态效益补偿(项)</w:t>
      </w:r>
      <w:r>
        <w:rPr>
          <w:rFonts w:ascii="仿宋" w:hAnsi="仿宋" w:cs="仿宋" w:eastAsia="仿宋"/>
          <w:b w:val="true"/>
        </w:rPr>
        <w:t>：</w:t>
      </w:r>
      <w:r>
        <w:rPr>
          <w:rFonts w:hint="eastAsia" w:ascii="仿宋" w:hAnsi="仿宋" w:eastAsia="仿宋" w:cs="仿宋"/>
        </w:rPr>
        <w:t>反映用于公益林保护和管理方面的支出。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南京市栖霞区农业农村局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