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南京市八卦洲都市现代农业产业示范园区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一期建设项目实施方案立项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情况</w:t>
      </w:r>
      <w:r>
        <w:rPr>
          <w:rFonts w:hint="eastAsia" w:ascii="方正小标宋简体" w:hAnsi="仿宋" w:eastAsia="方正小标宋简体"/>
          <w:sz w:val="36"/>
          <w:szCs w:val="36"/>
        </w:rPr>
        <w:t>公示</w:t>
      </w: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/>
        <w:jc w:val="left"/>
        <w:textAlignment w:val="auto"/>
        <w:outlineLvl w:val="9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根据市农业农村局、市财政局《关于下达2</w:t>
      </w:r>
      <w:r>
        <w:rPr>
          <w:rFonts w:hint="eastAsia"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第四批市级农业专项</w:t>
      </w:r>
      <w:r>
        <w:rPr>
          <w:rFonts w:ascii="仿宋" w:hAnsi="仿宋" w:eastAsia="仿宋"/>
          <w:sz w:val="32"/>
          <w:szCs w:val="32"/>
        </w:rPr>
        <w:t>资</w:t>
      </w:r>
      <w:r>
        <w:rPr>
          <w:rFonts w:hint="eastAsia" w:ascii="仿宋" w:hAnsi="仿宋" w:eastAsia="仿宋"/>
          <w:sz w:val="32"/>
          <w:szCs w:val="32"/>
        </w:rPr>
        <w:t>金计划的</w:t>
      </w:r>
      <w:r>
        <w:rPr>
          <w:rFonts w:ascii="仿宋" w:hAnsi="仿宋" w:eastAsia="仿宋"/>
          <w:sz w:val="32"/>
          <w:szCs w:val="32"/>
        </w:rPr>
        <w:t>通知》（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宁农计〔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47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）和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区农业农村局、区财政局《关于做好栖霞区2022年第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四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批市级农业专项资金项目申报工作及部分资金下达的通知》（宁栖农字〔2022〕13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4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号）文件要求，区农业农村局组织专家组于2023年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1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日对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南京市八卦洲都市现代农业产业示范园区一期建设项目实施方案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进行立项评审，专家组经问询和讨论，认为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建设标准高，实用性强，方案科学合理，具有较强的可操作性，资金预算合理。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通过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eastAsia="zh-CN"/>
        </w:rPr>
        <w:t>栖霞区农业农村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局办公会研究，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同意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给予立项。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/>
        <w:jc w:val="left"/>
        <w:textAlignment w:val="auto"/>
        <w:outlineLvl w:val="9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>现将立项情况予以公示（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eastAsia="zh-CN"/>
        </w:rPr>
        <w:t>详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见附件）。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/>
        <w:jc w:val="left"/>
        <w:textAlignment w:val="auto"/>
        <w:outlineLvl w:val="9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>公示时间：2023年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3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14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日——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3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 xml:space="preserve">20 </w:t>
      </w:r>
      <w:bookmarkStart w:id="0" w:name="_GoBack"/>
      <w:bookmarkEnd w:id="0"/>
      <w:r>
        <w:rPr>
          <w:rFonts w:ascii="仿宋" w:hAnsi="仿宋" w:eastAsia="仿宋" w:cs="Arial"/>
          <w:color w:val="111111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/>
        <w:jc w:val="left"/>
        <w:textAlignment w:val="auto"/>
        <w:outlineLvl w:val="9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>对以上公示如有异议的，请以书面方式向南京市栖霞区农业农村局反映，并提供必要的证据材料，以便核实查证。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毛焕胜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</w:t>
      </w:r>
      <w:r>
        <w:rPr>
          <w:rFonts w:ascii="仿宋" w:hAnsi="Arial" w:eastAsia="仿宋" w:cs="Arial"/>
          <w:color w:val="111111"/>
          <w:kern w:val="0"/>
          <w:sz w:val="32"/>
          <w:szCs w:val="32"/>
        </w:rPr>
        <w:t>           </w:t>
      </w:r>
      <w:r>
        <w:rPr>
          <w:rFonts w:ascii="仿宋" w:hAnsi="仿宋" w:eastAsia="仿宋" w:cs="Arial"/>
          <w:color w:val="111111"/>
          <w:kern w:val="0"/>
          <w:sz w:val="32"/>
          <w:szCs w:val="32"/>
        </w:rPr>
        <w:t>联系电话：8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5571023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b w:val="0"/>
          <w:bCs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>附件：</w:t>
      </w:r>
      <w:r>
        <w:rPr>
          <w:rFonts w:hint="eastAsia" w:ascii="仿宋" w:hAnsi="仿宋" w:eastAsia="仿宋" w:cs="Arial"/>
          <w:b w:val="0"/>
          <w:bCs/>
          <w:color w:val="111111"/>
          <w:kern w:val="0"/>
          <w:sz w:val="32"/>
          <w:szCs w:val="32"/>
        </w:rPr>
        <w:t>南京市八卦洲都市现代农业产业示范园区一期建设项目实施方案</w:t>
      </w:r>
      <w:r>
        <w:rPr>
          <w:rFonts w:hint="eastAsia" w:ascii="仿宋" w:hAnsi="仿宋" w:eastAsia="仿宋" w:cs="Arial"/>
          <w:b w:val="0"/>
          <w:bCs/>
          <w:color w:val="111111"/>
          <w:kern w:val="0"/>
          <w:sz w:val="32"/>
          <w:szCs w:val="32"/>
          <w:lang w:eastAsia="zh-CN"/>
        </w:rPr>
        <w:t>立项</w:t>
      </w:r>
      <w:r>
        <w:rPr>
          <w:rFonts w:hint="eastAsia" w:ascii="仿宋" w:hAnsi="仿宋" w:eastAsia="仿宋" w:cs="Arial"/>
          <w:b w:val="0"/>
          <w:bCs/>
          <w:color w:val="111111"/>
          <w:kern w:val="0"/>
          <w:sz w:val="32"/>
          <w:szCs w:val="32"/>
        </w:rPr>
        <w:t>情况表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80"/>
        <w:jc w:val="left"/>
        <w:textAlignment w:val="auto"/>
        <w:outlineLvl w:val="9"/>
        <w:rPr>
          <w:rFonts w:ascii="仿宋" w:hAnsi="仿宋" w:eastAsia="仿宋" w:cs="Arial"/>
          <w:b w:val="0"/>
          <w:bCs/>
          <w:color w:val="111111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_GB2312" w:hAnsi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附件：</w:t>
      </w: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 w:cs="Arial"/>
          <w:b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111111"/>
          <w:kern w:val="0"/>
          <w:sz w:val="32"/>
          <w:szCs w:val="32"/>
        </w:rPr>
        <w:t>南京市八卦洲都市现代农业产业示范园区一期建设</w:t>
      </w: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 w:cs="Arial"/>
          <w:b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111111"/>
          <w:kern w:val="0"/>
          <w:sz w:val="32"/>
          <w:szCs w:val="32"/>
        </w:rPr>
        <w:t>项目实施方案</w:t>
      </w:r>
      <w:r>
        <w:rPr>
          <w:rFonts w:hint="eastAsia" w:ascii="仿宋" w:hAnsi="仿宋" w:eastAsia="仿宋" w:cs="Arial"/>
          <w:b/>
          <w:color w:val="111111"/>
          <w:kern w:val="0"/>
          <w:sz w:val="32"/>
          <w:szCs w:val="32"/>
          <w:lang w:eastAsia="zh-CN"/>
        </w:rPr>
        <w:t>立项</w:t>
      </w:r>
      <w:r>
        <w:rPr>
          <w:rFonts w:hint="eastAsia" w:ascii="仿宋" w:hAnsi="仿宋" w:eastAsia="仿宋" w:cs="Arial"/>
          <w:b/>
          <w:color w:val="111111"/>
          <w:kern w:val="0"/>
          <w:sz w:val="32"/>
          <w:szCs w:val="32"/>
        </w:rPr>
        <w:t>情况表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Arial"/>
          <w:b/>
          <w:color w:val="111111"/>
          <w:kern w:val="0"/>
          <w:sz w:val="32"/>
          <w:szCs w:val="32"/>
        </w:rPr>
      </w:pPr>
    </w:p>
    <w:tbl>
      <w:tblPr>
        <w:tblStyle w:val="4"/>
        <w:tblW w:w="10668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81"/>
        <w:gridCol w:w="937"/>
        <w:gridCol w:w="4125"/>
        <w:gridCol w:w="963"/>
        <w:gridCol w:w="1112"/>
        <w:gridCol w:w="1063"/>
        <w:gridCol w:w="7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方正仿宋_GBK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方正仿宋_GBK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项目实施主体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方正仿宋_GBK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方正仿宋_GBK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总投资   （万元）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方正仿宋_GBK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申请市级资金（万元）</w:t>
            </w:r>
          </w:p>
        </w:tc>
        <w:tc>
          <w:tcPr>
            <w:tcW w:w="10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自筹资金（万元）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7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</w:rPr>
              <w:t>南京市八卦洲都市现代农业产业示范园区一期建设项目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南京鹂岛现代农业发展有限公司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380" w:firstLineChars="200"/>
              <w:jc w:val="lef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1"/>
                <w:szCs w:val="21"/>
                <w:lang w:val="en-US" w:eastAsia="zh-CN" w:bidi="ar"/>
              </w:rPr>
              <w:t>项目建设内容为三大项：一是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园区农业数智信息服务中心。建设面积420平方米，预计总投资357万元，全部为市级财政资金。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通过图片+文字+多媒体，结合先进的展示技术，以全景式、体系化方式打造5-6个模块，呈现园区概况、园区规划、数智农业信息、园区特色产业及产品、创新创业主体及科技成果等内容。突出打造“数智”亮点，构建园区数字化农业信息系统，集园区物联网大数据、农业信息管理系统、区块链溯源、生产管理、农情信息决策与管理等功能于一体，全方位了解核心区农业生产情况，建立专家远程指导。二是种苗繁育与种质资源保护基地一区项目。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预计总投资496.71万元，其中市级财政资金493万元，自筹资金3.71万元。主要建设内容包括：6720平方米文洛型全开窗薄膜温室一座，与传统连栋薄膜温室相比，具有结构更加稳定、透光率更高、内部空间更大、通风效果更好、夏季散热效果更好等优点。温室内综合配套移动苗床5170平方米。通过基地建设探索芦蒿+草莓育苗种植等多种套种模式，实现育苗温室周年化生产，过程中采用基质化栽培，生物防控，提升标准化绿色化水平，带动园区种苗产业发展。三是八卦洲冷链以及精粗加工中心一期。预计总投资426.87万元，其中市级财政资金424万元，自筹资金2.87万元。主要建设内容包括：开展冷链以及精粗加工中心设计、地勘及水电开户等前期工作，建设1438.4平方米加工中心，用于提升农产品产后冷藏保鲜服务能力,延伸园区加工配送产业链。其余30万元用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监理、审计等，其中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市级财政资金26万元，自筹资金4万元。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1310.58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1300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10.58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同意立项</w:t>
            </w:r>
          </w:p>
        </w:tc>
      </w:tr>
    </w:tbl>
    <w:p>
      <w:pPr>
        <w:spacing w:line="52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3751"/>
    <w:rsid w:val="000F2B5A"/>
    <w:rsid w:val="001E3751"/>
    <w:rsid w:val="009E264F"/>
    <w:rsid w:val="00B15579"/>
    <w:rsid w:val="00FE1130"/>
    <w:rsid w:val="034E6A1D"/>
    <w:rsid w:val="04EB75CC"/>
    <w:rsid w:val="0E9F5C48"/>
    <w:rsid w:val="17B479C7"/>
    <w:rsid w:val="1D0F5DCD"/>
    <w:rsid w:val="27CC353F"/>
    <w:rsid w:val="314425DC"/>
    <w:rsid w:val="327004F2"/>
    <w:rsid w:val="3BC02FDC"/>
    <w:rsid w:val="3E5877EE"/>
    <w:rsid w:val="481B7E29"/>
    <w:rsid w:val="52623D54"/>
    <w:rsid w:val="5F884BEE"/>
    <w:rsid w:val="635128B6"/>
    <w:rsid w:val="68B25778"/>
    <w:rsid w:val="72D61E1D"/>
    <w:rsid w:val="73AA1DD9"/>
    <w:rsid w:val="76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190</Words>
  <Characters>1085</Characters>
  <Lines>9</Lines>
  <Paragraphs>2</Paragraphs>
  <ScaleCrop>false</ScaleCrop>
  <LinksUpToDate>false</LinksUpToDate>
  <CharactersWithSpaces>1273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2023-03-08T01:35:00Z</dcterms:created>
  <dc:creator>Dell</dc:creator>
  <cp:lastModifiedBy>Dell</cp:lastModifiedBy>
  <dcterms:modified xsi:type="dcterms:W3CDTF">2023-03-14T03:56:49Z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