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E387F7">
      <w:pPr>
        <w:keepNext w:val="0"/>
        <w:keepLines w:val="0"/>
        <w:pageBreakBefore w:val="0"/>
        <w:kinsoku/>
        <w:wordWrap/>
        <w:overflowPunct/>
        <w:topLinePunct w:val="0"/>
        <w:autoSpaceDE/>
        <w:autoSpaceDN/>
        <w:bidi w:val="0"/>
        <w:spacing w:line="520" w:lineRule="exact"/>
        <w:textAlignment w:val="auto"/>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附件1：</w:t>
      </w:r>
    </w:p>
    <w:p w14:paraId="6263563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方正小标宋_GBK"/>
          <w:sz w:val="44"/>
          <w:szCs w:val="44"/>
          <w:lang w:val="en-US" w:eastAsia="zh-CN"/>
        </w:rPr>
      </w:pPr>
      <w:bookmarkStart w:id="0" w:name="_GoBack"/>
      <w:r>
        <w:rPr>
          <w:rFonts w:hint="eastAsia" w:ascii="Times New Roman" w:hAnsi="Times New Roman" w:eastAsia="方正小标宋_GBK" w:cs="方正小标宋_GBK"/>
          <w:sz w:val="44"/>
          <w:szCs w:val="44"/>
          <w:lang w:val="en-US" w:eastAsia="zh-CN"/>
        </w:rPr>
        <w:t>栖霞区2025年第二批市级农业专项资金项目申报指南及实施意见</w:t>
      </w:r>
    </w:p>
    <w:bookmarkEnd w:id="0"/>
    <w:p w14:paraId="37EFFFC2">
      <w:pPr>
        <w:pStyle w:val="2"/>
        <w:rPr>
          <w:rFonts w:ascii="Times New Roman" w:hAnsi="Times New Roman" w:eastAsia="黑体" w:cs="Times New Roman"/>
          <w:color w:val="auto"/>
          <w:sz w:val="32"/>
          <w:szCs w:val="32"/>
        </w:rPr>
      </w:pPr>
    </w:p>
    <w:p w14:paraId="3BF67B4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方正小标宋_GBK"/>
          <w:sz w:val="36"/>
          <w:szCs w:val="36"/>
          <w:lang w:val="en-US" w:eastAsia="zh-CN"/>
        </w:rPr>
      </w:pPr>
      <w:r>
        <w:rPr>
          <w:rFonts w:hint="eastAsia" w:ascii="Times New Roman" w:hAnsi="Times New Roman" w:eastAsia="方正小标宋_GBK" w:cs="方正小标宋_GBK"/>
          <w:sz w:val="36"/>
          <w:szCs w:val="36"/>
          <w:lang w:val="en-US" w:eastAsia="zh-CN"/>
        </w:rPr>
        <w:t>现代农业发展专项农业品牌建设项目申报指南</w:t>
      </w:r>
    </w:p>
    <w:p w14:paraId="119F12C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方正仿宋_GBK"/>
          <w:sz w:val="32"/>
          <w:szCs w:val="32"/>
        </w:rPr>
      </w:pPr>
    </w:p>
    <w:p w14:paraId="788F3C0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rPr>
        <w:t>一、</w:t>
      </w:r>
      <w:r>
        <w:rPr>
          <w:rFonts w:hint="eastAsia" w:ascii="Times New Roman" w:hAnsi="Times New Roman" w:eastAsia="黑体" w:cs="黑体"/>
          <w:sz w:val="32"/>
          <w:szCs w:val="32"/>
          <w:lang w:val="en-US" w:eastAsia="zh-CN"/>
        </w:rPr>
        <w:t>工作目标</w:t>
      </w:r>
    </w:p>
    <w:p w14:paraId="18A1EBB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为进一步强化农业品牌打造和品质提升，着力打造农产品区域公用品牌，重点支持农业品牌运营、管理、服务、带动等方面，统筹协调发展，完善运营机制，促进农业品牌可持续发展。</w:t>
      </w:r>
    </w:p>
    <w:p w14:paraId="18B5542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二、</w:t>
      </w:r>
      <w:r>
        <w:rPr>
          <w:rFonts w:hint="eastAsia" w:ascii="Times New Roman" w:hAnsi="Times New Roman" w:eastAsia="黑体" w:cs="黑体"/>
          <w:sz w:val="32"/>
          <w:szCs w:val="32"/>
          <w:lang w:val="en-US" w:eastAsia="zh-CN"/>
        </w:rPr>
        <w:t>项目</w:t>
      </w:r>
      <w:r>
        <w:rPr>
          <w:rFonts w:hint="eastAsia" w:ascii="Times New Roman" w:hAnsi="Times New Roman" w:eastAsia="黑体" w:cs="黑体"/>
          <w:sz w:val="32"/>
          <w:szCs w:val="32"/>
        </w:rPr>
        <w:t>内容</w:t>
      </w:r>
    </w:p>
    <w:p w14:paraId="7C69954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开展区级</w:t>
      </w:r>
      <w:r>
        <w:rPr>
          <w:rFonts w:hint="eastAsia" w:ascii="Times New Roman" w:hAnsi="Times New Roman" w:eastAsia="方正仿宋_GBK" w:cs="方正仿宋_GBK"/>
          <w:sz w:val="32"/>
          <w:szCs w:val="32"/>
        </w:rPr>
        <w:t>全品类区域公用品牌</w:t>
      </w:r>
      <w:r>
        <w:rPr>
          <w:rFonts w:hint="eastAsia" w:ascii="Times New Roman" w:hAnsi="Times New Roman" w:eastAsia="方正仿宋_GBK" w:cs="方正仿宋_GBK"/>
          <w:sz w:val="32"/>
          <w:szCs w:val="32"/>
          <w:lang w:val="en-US" w:eastAsia="zh-CN"/>
        </w:rPr>
        <w:t>建设</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在一个具有特定自然生态环境、历史人文因素的区域内，由相关组织所有，并由若干农业生产经营者共同使用的，涵盖多种农产品类别的品牌。通常不局限于某一特定农产品，而是覆盖该区域内的多种农产品，通过统一的品牌形象和营销策略，提升整个区域的农产品知名度和市场竞争力。重点支持全品类农产品区域公用品牌培塑提升，按照平台化服务、实体化运营、生态化发展定位，聚焦服务功能提升和平台自身建设两个维度，扎实推进品牌全市域、全品类、全渠道、全产业链运营。</w:t>
      </w:r>
    </w:p>
    <w:p w14:paraId="153C905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三、申报要求</w:t>
      </w:r>
    </w:p>
    <w:p w14:paraId="374B65B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一</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实施主体</w:t>
      </w:r>
      <w:r>
        <w:rPr>
          <w:rFonts w:hint="eastAsia" w:ascii="Times New Roman" w:hAnsi="Times New Roman" w:eastAsia="方正仿宋_GBK" w:cs="方正仿宋_GBK"/>
          <w:sz w:val="32"/>
          <w:szCs w:val="32"/>
          <w:lang w:val="en-US" w:eastAsia="zh-CN"/>
        </w:rPr>
        <w:t>为</w:t>
      </w:r>
      <w:r>
        <w:rPr>
          <w:rFonts w:hint="eastAsia" w:ascii="Times New Roman" w:hAnsi="Times New Roman" w:eastAsia="方正仿宋_GBK" w:cs="方正仿宋_GBK"/>
          <w:sz w:val="32"/>
          <w:szCs w:val="32"/>
        </w:rPr>
        <w:t>事业单位、国有企业、学会（协会）等。</w:t>
      </w:r>
    </w:p>
    <w:p w14:paraId="20ECED1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二</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申报单位存在严重失信或未整改重大安全生产隐患的，不得申报项目；凡近三年内有农业项目未通过项目验收、项目审计及绩效评价较差的、有举报且经查实存在重大问题的、存在失信行为的单位不得申报。</w:t>
      </w:r>
    </w:p>
    <w:p w14:paraId="75DF55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三</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申报建设内容不得与中央、省、市、区农业其他项目建设内容重复。</w:t>
      </w:r>
    </w:p>
    <w:p w14:paraId="0E8317D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四、补助标准</w:t>
      </w:r>
    </w:p>
    <w:p w14:paraId="027CC2E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区级全品类区域公用品牌单个项目扶持资金不超过</w:t>
      </w:r>
      <w:r>
        <w:rPr>
          <w:rFonts w:hint="eastAsia" w:ascii="Times New Roman" w:hAnsi="Times New Roman" w:eastAsia="方正仿宋_GBK" w:cs="方正仿宋_GBK"/>
          <w:sz w:val="32"/>
          <w:szCs w:val="32"/>
          <w:lang w:val="en-US" w:eastAsia="zh-CN"/>
        </w:rPr>
        <w:t>30</w:t>
      </w:r>
      <w:r>
        <w:rPr>
          <w:rFonts w:hint="eastAsia" w:ascii="Times New Roman" w:hAnsi="Times New Roman" w:eastAsia="方正仿宋_GBK" w:cs="方正仿宋_GBK"/>
          <w:sz w:val="32"/>
          <w:szCs w:val="32"/>
        </w:rPr>
        <w:t>万元。</w:t>
      </w:r>
    </w:p>
    <w:p w14:paraId="6918AEA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br w:type="page"/>
      </w:r>
    </w:p>
    <w:p w14:paraId="0B81460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方正小标宋_GBK"/>
          <w:sz w:val="36"/>
          <w:szCs w:val="36"/>
          <w:lang w:val="en-US" w:eastAsia="zh-CN"/>
        </w:rPr>
      </w:pPr>
      <w:r>
        <w:rPr>
          <w:rFonts w:hint="eastAsia" w:ascii="Times New Roman" w:hAnsi="Times New Roman" w:eastAsia="方正小标宋_GBK" w:cs="方正小标宋_GBK"/>
          <w:sz w:val="36"/>
          <w:szCs w:val="36"/>
          <w:lang w:val="en-US" w:eastAsia="zh-CN"/>
        </w:rPr>
        <w:t>现代农业发展专项农业产业化项目申报指南</w:t>
      </w:r>
    </w:p>
    <w:p w14:paraId="6A54B5F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仿宋_GBK" w:cs="方正仿宋_GBK"/>
          <w:sz w:val="32"/>
          <w:szCs w:val="32"/>
        </w:rPr>
      </w:pPr>
    </w:p>
    <w:p w14:paraId="1852A99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rPr>
        <w:t>一、</w:t>
      </w:r>
      <w:r>
        <w:rPr>
          <w:rFonts w:hint="eastAsia" w:ascii="Times New Roman" w:hAnsi="Times New Roman" w:eastAsia="黑体" w:cs="黑体"/>
          <w:sz w:val="32"/>
          <w:szCs w:val="32"/>
          <w:lang w:val="en-US" w:eastAsia="zh-CN"/>
        </w:rPr>
        <w:t>工作目标</w:t>
      </w:r>
    </w:p>
    <w:p w14:paraId="5F1E858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支持农业企业、农民专业合作社、家庭农场、农业重大项目主体建设农产品加工设施、农产品产地仓储保鲜设施，项目为竞争类项目。</w:t>
      </w:r>
    </w:p>
    <w:p w14:paraId="0A245CD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二、申报要求</w:t>
      </w:r>
    </w:p>
    <w:p w14:paraId="2083430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一）申报主体农业企业、农民专业合作社、家庭农场，农业重大项目实施主体。所有申报主体要有专人负责项目申报、实施、验收等各项环节的材料收集、整理及上报等工作。申报主体要进入省级农产品质量安全追溯平台，实现产品质量可追溯且无失信行为。</w:t>
      </w:r>
    </w:p>
    <w:p w14:paraId="39B7F49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（二）申报条件项目建设优先考虑示范带动作用较好区级以上农业龙头企业，示范性强、带动性好的农民合作社、家庭农场。</w:t>
      </w:r>
    </w:p>
    <w:p w14:paraId="3A56752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1. 申报的项目必须为2025年新建项目，开工时间为2024年10月31日以后的项目视同为2025年新建。</w:t>
      </w:r>
    </w:p>
    <w:p w14:paraId="0274D83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 依法需要办理国土、规划、环保等审批的，项目建设单位须取得相关用地手续。</w:t>
      </w:r>
    </w:p>
    <w:p w14:paraId="0F0D2ED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3. 申报主体要进入省级农产品质量安全追溯平台，实现产品质量可追溯且无失信行为。</w:t>
      </w:r>
    </w:p>
    <w:p w14:paraId="7D42D1D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4. 凡享受过政府财助资金补助，并完成建设内容的项目不得重复申报。</w:t>
      </w:r>
    </w:p>
    <w:p w14:paraId="13E56C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三、扶持内容</w:t>
      </w:r>
    </w:p>
    <w:p w14:paraId="796D0FD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建设农产品加工设施和农产品产地仓储保鲜设施。</w:t>
      </w:r>
    </w:p>
    <w:p w14:paraId="57399F5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四、补助标准</w:t>
      </w:r>
    </w:p>
    <w:p w14:paraId="0913606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项目实行先建后补，</w:t>
      </w:r>
      <w:r>
        <w:rPr>
          <w:rFonts w:hint="eastAsia" w:ascii="Times New Roman" w:hAnsi="Times New Roman" w:eastAsia="方正仿宋_GBK" w:cs="方正仿宋_GBK"/>
          <w:sz w:val="32"/>
          <w:szCs w:val="32"/>
          <w:lang w:val="en-US" w:eastAsia="zh-CN"/>
        </w:rPr>
        <w:t>每个</w:t>
      </w:r>
      <w:r>
        <w:rPr>
          <w:rFonts w:hint="eastAsia" w:ascii="Times New Roman" w:hAnsi="Times New Roman" w:eastAsia="方正仿宋_GBK" w:cs="方正仿宋_GBK"/>
          <w:sz w:val="32"/>
          <w:szCs w:val="32"/>
        </w:rPr>
        <w:t>项目</w:t>
      </w:r>
      <w:r>
        <w:rPr>
          <w:rFonts w:hint="eastAsia" w:ascii="Times New Roman" w:hAnsi="Times New Roman" w:eastAsia="方正仿宋_GBK" w:cs="方正仿宋_GBK"/>
          <w:sz w:val="32"/>
          <w:szCs w:val="32"/>
          <w:lang w:val="en-US" w:eastAsia="zh-CN"/>
        </w:rPr>
        <w:t>财政</w:t>
      </w:r>
      <w:r>
        <w:rPr>
          <w:rFonts w:hint="eastAsia" w:ascii="Times New Roman" w:hAnsi="Times New Roman" w:eastAsia="方正仿宋_GBK" w:cs="方正仿宋_GBK"/>
          <w:sz w:val="32"/>
          <w:szCs w:val="32"/>
        </w:rPr>
        <w:t>补助</w:t>
      </w:r>
      <w:r>
        <w:rPr>
          <w:rFonts w:hint="eastAsia" w:ascii="Times New Roman" w:hAnsi="Times New Roman" w:eastAsia="方正仿宋_GBK" w:cs="方正仿宋_GBK"/>
          <w:sz w:val="32"/>
          <w:szCs w:val="32"/>
          <w:lang w:val="en-US" w:eastAsia="zh-CN"/>
        </w:rPr>
        <w:t>金额</w:t>
      </w:r>
      <w:r>
        <w:rPr>
          <w:rFonts w:hint="eastAsia" w:ascii="Times New Roman" w:hAnsi="Times New Roman" w:eastAsia="方正仿宋_GBK" w:cs="方正仿宋_GBK"/>
          <w:sz w:val="32"/>
          <w:szCs w:val="32"/>
        </w:rPr>
        <w:t>最高不超过</w:t>
      </w:r>
      <w:r>
        <w:rPr>
          <w:rFonts w:hint="eastAsia" w:ascii="Times New Roman" w:hAnsi="Times New Roman" w:eastAsia="方正仿宋_GBK" w:cs="方正仿宋_GBK"/>
          <w:sz w:val="32"/>
          <w:szCs w:val="32"/>
          <w:lang w:val="en-US" w:eastAsia="zh-CN"/>
        </w:rPr>
        <w:t>项目总投资</w:t>
      </w:r>
      <w:r>
        <w:rPr>
          <w:rFonts w:hint="eastAsia" w:ascii="Times New Roman" w:hAnsi="Times New Roman" w:eastAsia="方正仿宋_GBK" w:cs="方正仿宋_GBK"/>
          <w:sz w:val="32"/>
          <w:szCs w:val="32"/>
        </w:rPr>
        <w:t>50％</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该项目统筹使用2024年市级农业产业化项目资金</w:t>
      </w:r>
      <w:r>
        <w:rPr>
          <w:rFonts w:hint="eastAsia" w:ascii="Times New Roman" w:hAnsi="Times New Roman" w:eastAsia="方正仿宋_GBK" w:cs="方正仿宋_GBK"/>
          <w:sz w:val="32"/>
          <w:szCs w:val="32"/>
        </w:rPr>
        <w:t>。</w:t>
      </w:r>
    </w:p>
    <w:p w14:paraId="0B5D936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br w:type="page"/>
      </w:r>
    </w:p>
    <w:p w14:paraId="3DC281B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方正小标宋_GBK"/>
          <w:sz w:val="36"/>
          <w:szCs w:val="36"/>
          <w:lang w:val="en-US" w:eastAsia="zh-CN"/>
        </w:rPr>
      </w:pPr>
      <w:r>
        <w:rPr>
          <w:rFonts w:hint="eastAsia" w:ascii="Times New Roman" w:hAnsi="Times New Roman" w:eastAsia="方正小标宋_GBK" w:cs="方正小标宋_GBK"/>
          <w:sz w:val="36"/>
          <w:szCs w:val="36"/>
          <w:lang w:val="en-US" w:eastAsia="zh-CN"/>
        </w:rPr>
        <w:t>2025年农业农村重点项目奖补资金使用</w:t>
      </w:r>
    </w:p>
    <w:p w14:paraId="17C900C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方正小标宋_GBK"/>
          <w:sz w:val="36"/>
          <w:szCs w:val="36"/>
          <w:lang w:val="en-US" w:eastAsia="zh-CN"/>
        </w:rPr>
      </w:pPr>
      <w:r>
        <w:rPr>
          <w:rFonts w:hint="eastAsia" w:ascii="Times New Roman" w:hAnsi="Times New Roman" w:eastAsia="方正小标宋_GBK" w:cs="方正小标宋_GBK"/>
          <w:sz w:val="36"/>
          <w:szCs w:val="36"/>
          <w:lang w:val="en-US" w:eastAsia="zh-CN"/>
        </w:rPr>
        <w:t>指导意见</w:t>
      </w:r>
    </w:p>
    <w:p w14:paraId="5B00362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Times New Roman" w:hAnsi="Times New Roman" w:eastAsia="方正小标宋简体" w:cs="Times New Roman"/>
          <w:color w:val="auto"/>
          <w:sz w:val="36"/>
          <w:szCs w:val="36"/>
        </w:rPr>
      </w:pPr>
    </w:p>
    <w:p w14:paraId="745E620C">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638" w:leftChars="304"/>
        <w:textAlignment w:val="auto"/>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指导性任务</w:t>
      </w:r>
    </w:p>
    <w:p w14:paraId="1A4C2E0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根据市级工作要求，支持推进农业农村重</w:t>
      </w:r>
      <w:r>
        <w:rPr>
          <w:rFonts w:hint="eastAsia" w:ascii="Times New Roman" w:hAnsi="Times New Roman" w:eastAsia="方正仿宋_GBK" w:cs="方正仿宋_GBK"/>
          <w:sz w:val="32"/>
          <w:szCs w:val="32"/>
          <w:lang w:val="en-US" w:eastAsia="zh-CN"/>
        </w:rPr>
        <w:t>点</w:t>
      </w:r>
      <w:r>
        <w:rPr>
          <w:rFonts w:hint="eastAsia" w:ascii="Times New Roman" w:hAnsi="Times New Roman" w:eastAsia="方正仿宋_GBK" w:cs="方正仿宋_GBK"/>
          <w:sz w:val="32"/>
          <w:szCs w:val="32"/>
        </w:rPr>
        <w:t>项目建设</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农业主导产业</w:t>
      </w:r>
      <w:r>
        <w:rPr>
          <w:rFonts w:hint="eastAsia" w:ascii="Times New Roman" w:hAnsi="Times New Roman" w:eastAsia="方正仿宋_GBK" w:cs="方正仿宋_GBK"/>
          <w:sz w:val="32"/>
          <w:szCs w:val="32"/>
          <w:lang w:val="en-US" w:eastAsia="zh-CN"/>
        </w:rPr>
        <w:t>和特色产业</w:t>
      </w:r>
      <w:r>
        <w:rPr>
          <w:rFonts w:hint="eastAsia" w:ascii="Times New Roman" w:hAnsi="Times New Roman" w:eastAsia="方正仿宋_GBK" w:cs="方正仿宋_GBK"/>
          <w:sz w:val="32"/>
          <w:szCs w:val="32"/>
        </w:rPr>
        <w:t>发展。</w:t>
      </w:r>
    </w:p>
    <w:p w14:paraId="586965ED">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638" w:leftChars="304"/>
        <w:textAlignment w:val="auto"/>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工作目标</w:t>
      </w:r>
    </w:p>
    <w:p w14:paraId="7998B01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有效推动农业农村重点项目建设，推进全区农业农村高质量发展，强化奖补资金规范管理及资金使用效益提升，充分发挥财政撬动引导作用，鼓励扩大农业农村有效投资。</w:t>
      </w:r>
    </w:p>
    <w:p w14:paraId="16C50A4E">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638" w:leftChars="304"/>
        <w:textAlignment w:val="auto"/>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工作内容</w:t>
      </w:r>
    </w:p>
    <w:p w14:paraId="62DABF4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推动</w:t>
      </w:r>
      <w:r>
        <w:rPr>
          <w:rFonts w:ascii="Times New Roman" w:hAnsi="Times New Roman" w:eastAsia="方正仿宋_GBK" w:cs="Times New Roman"/>
          <w:color w:val="auto"/>
          <w:sz w:val="32"/>
          <w:szCs w:val="32"/>
        </w:rPr>
        <w:t>农业农村重</w:t>
      </w:r>
      <w:r>
        <w:rPr>
          <w:rFonts w:hint="eastAsia" w:ascii="Times New Roman" w:hAnsi="Times New Roman" w:eastAsia="方正仿宋_GBK" w:cs="Times New Roman"/>
          <w:color w:val="auto"/>
          <w:sz w:val="32"/>
          <w:szCs w:val="32"/>
          <w:lang w:val="en-US" w:eastAsia="zh-CN"/>
        </w:rPr>
        <w:t>点</w:t>
      </w:r>
      <w:r>
        <w:rPr>
          <w:rFonts w:ascii="Times New Roman" w:hAnsi="Times New Roman" w:eastAsia="方正仿宋_GBK" w:cs="Times New Roman"/>
          <w:color w:val="auto"/>
          <w:sz w:val="32"/>
          <w:szCs w:val="32"/>
        </w:rPr>
        <w:t>项目建设</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做强做大农业主导产业</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特色产业等</w:t>
      </w:r>
      <w:r>
        <w:rPr>
          <w:rFonts w:ascii="Times New Roman" w:hAnsi="Times New Roman" w:eastAsia="方正仿宋_GBK" w:cs="Times New Roman"/>
          <w:color w:val="auto"/>
          <w:sz w:val="32"/>
          <w:szCs w:val="32"/>
        </w:rPr>
        <w:t>。</w:t>
      </w:r>
    </w:p>
    <w:p w14:paraId="2496486A">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638" w:leftChars="304"/>
        <w:textAlignment w:val="auto"/>
        <w:rPr>
          <w:rFonts w:hint="eastAsia"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支出范围及奖补标准</w:t>
      </w:r>
    </w:p>
    <w:p w14:paraId="70D909BD">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对重点项目建设主体实施奖补。通过项目审核认定等方式，将奖补资金直接分配至重点项目投资主体，主要对已建成项目、</w:t>
      </w:r>
      <w:r>
        <w:rPr>
          <w:rFonts w:hint="eastAsia" w:ascii="Times New Roman" w:hAnsi="Times New Roman" w:eastAsia="方正仿宋_GBK" w:cs="方正仿宋_GBK"/>
          <w:sz w:val="32"/>
          <w:szCs w:val="32"/>
        </w:rPr>
        <w:t>完成年度投资的项目，按其在年度内纳入统计部门一产固定资产投资总额不超过3%的比例给予奖补，且不与其他财政补助资金重复享受。</w:t>
      </w:r>
    </w:p>
    <w:p w14:paraId="0005E461">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对主导产业发展类、特色产业类项目进行扶持。通过项目竞争立项的方式确定项目建设主体，补助标准不超过总投资的50%，着力培育农业农村重点项目。</w:t>
      </w:r>
    </w:p>
    <w:p w14:paraId="76098843">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对</w:t>
      </w:r>
      <w:r>
        <w:rPr>
          <w:rFonts w:hint="eastAsia" w:ascii="Times New Roman" w:hAnsi="Times New Roman" w:eastAsia="方正仿宋_GBK" w:cs="方正仿宋_GBK"/>
          <w:color w:val="0000FF"/>
          <w:sz w:val="32"/>
          <w:szCs w:val="32"/>
          <w:lang w:val="en-US" w:eastAsia="zh-CN"/>
        </w:rPr>
        <w:t>街道</w:t>
      </w:r>
      <w:r>
        <w:rPr>
          <w:rFonts w:hint="eastAsia" w:ascii="Times New Roman" w:hAnsi="Times New Roman" w:eastAsia="方正仿宋_GBK" w:cs="方正仿宋_GBK"/>
          <w:sz w:val="32"/>
          <w:szCs w:val="32"/>
        </w:rPr>
        <w:t>、园区平台实施奖补扶持。资金可分配至镇街和园区，由镇街和园区用于农业农村重点项目建设、推进等工作，</w:t>
      </w:r>
      <w:r>
        <w:rPr>
          <w:rFonts w:hint="eastAsia" w:ascii="Times New Roman" w:hAnsi="Times New Roman" w:eastAsia="方正仿宋_GBK" w:cs="方正仿宋_GBK"/>
          <w:sz w:val="32"/>
          <w:szCs w:val="32"/>
          <w:lang w:val="en-US" w:eastAsia="zh-CN"/>
        </w:rPr>
        <w:t>其</w:t>
      </w:r>
      <w:r>
        <w:rPr>
          <w:rFonts w:hint="eastAsia" w:ascii="Times New Roman" w:hAnsi="Times New Roman" w:eastAsia="方正仿宋_GBK" w:cs="方正仿宋_GBK"/>
          <w:sz w:val="32"/>
          <w:szCs w:val="32"/>
        </w:rPr>
        <w:t>中用于项目推进服务有关的工作经费不得高于10%。</w:t>
      </w:r>
    </w:p>
    <w:p w14:paraId="284298C3">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对其他与重点项目相关的工作进行补助，包括区级用于重点项目服务推进、招商推进等相关工作，安排比例不得高于专项经费总额10%，且不得用于与项目推进建设无关的支出。资金使用过程中，实行负面清单管理，不得用于兴建和农业无关的办公用房，不得建设非农业设施，不得用于超标准建设农业设施，不得用于与农业生产经营无关的投资，不得用于弥补经营性亏损等，不得用于发放工资补贴、考察旅游、购置机关办公设备、“三公一会”支出以及弥补行政性管理支出等。</w:t>
      </w:r>
    </w:p>
    <w:p w14:paraId="1AAEBAE6">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638" w:leftChars="304"/>
        <w:textAlignment w:val="auto"/>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资金补助标准</w:t>
      </w:r>
    </w:p>
    <w:p w14:paraId="735CEA8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全区共计2</w:t>
      </w:r>
      <w:r>
        <w:rPr>
          <w:rFonts w:hint="eastAsia" w:ascii="Times New Roman" w:hAnsi="Times New Roman" w:eastAsia="方正仿宋_GBK" w:cs="方正仿宋_GBK"/>
          <w:sz w:val="32"/>
          <w:szCs w:val="32"/>
          <w:lang w:val="en-US" w:eastAsia="zh-CN"/>
        </w:rPr>
        <w:t>50</w:t>
      </w:r>
      <w:r>
        <w:rPr>
          <w:rFonts w:hint="eastAsia" w:ascii="Times New Roman" w:hAnsi="Times New Roman" w:eastAsia="方正仿宋_GBK" w:cs="方正仿宋_GBK"/>
          <w:sz w:val="32"/>
          <w:szCs w:val="32"/>
        </w:rPr>
        <w:t>万元。</w:t>
      </w:r>
    </w:p>
    <w:p w14:paraId="3508DAF1">
      <w:pPr>
        <w:spacing w:line="660" w:lineRule="exact"/>
        <w:rPr>
          <w:rFonts w:ascii="Times New Roman" w:hAnsi="Times New Roman" w:eastAsia="方正小标宋简体" w:cs="Times New Roman"/>
          <w:color w:val="auto"/>
          <w:sz w:val="44"/>
          <w:szCs w:val="44"/>
        </w:rPr>
      </w:pPr>
    </w:p>
    <w:p w14:paraId="0602106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br w:type="page"/>
      </w:r>
    </w:p>
    <w:p w14:paraId="780DADA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方正小标宋_GBK"/>
          <w:sz w:val="36"/>
          <w:szCs w:val="36"/>
          <w:lang w:val="en-US" w:eastAsia="zh-CN"/>
        </w:rPr>
      </w:pPr>
      <w:r>
        <w:rPr>
          <w:rFonts w:hint="default" w:ascii="Times New Roman" w:hAnsi="Times New Roman" w:eastAsia="方正小标宋_GBK" w:cs="方正小标宋_GBK"/>
          <w:sz w:val="36"/>
          <w:szCs w:val="36"/>
          <w:lang w:val="en-US" w:eastAsia="zh-CN"/>
        </w:rPr>
        <w:t>202</w:t>
      </w:r>
      <w:r>
        <w:rPr>
          <w:rFonts w:hint="eastAsia" w:ascii="Times New Roman" w:hAnsi="Times New Roman" w:eastAsia="方正小标宋_GBK" w:cs="方正小标宋_GBK"/>
          <w:sz w:val="36"/>
          <w:szCs w:val="36"/>
          <w:lang w:val="en-US" w:eastAsia="zh-CN"/>
        </w:rPr>
        <w:t>5年农业农村公共服务专项——农业科技成果示范基地项目实施指导意见</w:t>
      </w:r>
    </w:p>
    <w:p w14:paraId="1F8EB0D6">
      <w:pPr>
        <w:spacing w:line="500" w:lineRule="exact"/>
        <w:ind w:firstLine="640" w:firstLineChars="200"/>
        <w:rPr>
          <w:rFonts w:ascii="Times New Roman" w:hAnsi="Times New Roman" w:eastAsia="方正仿宋_GBK" w:cs="方正仿宋_GBK"/>
          <w:color w:val="0000FF"/>
          <w:sz w:val="32"/>
          <w:szCs w:val="32"/>
        </w:rPr>
      </w:pPr>
    </w:p>
    <w:p w14:paraId="415BAA46">
      <w:pPr>
        <w:numPr>
          <w:ilvl w:val="0"/>
          <w:numId w:val="3"/>
        </w:numPr>
        <w:spacing w:line="520" w:lineRule="exact"/>
        <w:ind w:left="638" w:leftChars="304"/>
        <w:rPr>
          <w:rFonts w:ascii="Times New Roman" w:hAnsi="Times New Roman" w:eastAsia="黑体" w:cs="黑体"/>
          <w:sz w:val="32"/>
          <w:szCs w:val="32"/>
        </w:rPr>
      </w:pPr>
      <w:r>
        <w:rPr>
          <w:rFonts w:hint="eastAsia" w:ascii="Times New Roman" w:hAnsi="Times New Roman" w:eastAsia="黑体" w:cs="黑体"/>
          <w:sz w:val="32"/>
          <w:szCs w:val="32"/>
        </w:rPr>
        <w:t>指导</w:t>
      </w:r>
      <w:r>
        <w:rPr>
          <w:rFonts w:hint="eastAsia" w:ascii="Times New Roman" w:hAnsi="Times New Roman" w:eastAsia="黑体" w:cs="黑体"/>
          <w:sz w:val="32"/>
          <w:szCs w:val="32"/>
          <w:lang w:eastAsia="zh-CN"/>
        </w:rPr>
        <w:t>思想</w:t>
      </w:r>
    </w:p>
    <w:p w14:paraId="5493006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贯彻落实部、省、市文件精神，以涉农科教资源赋能农业特色产业全产业链发展为引领，推动农业科技成果应用研究和示范推广，加快技术、资金、人才、信息等要素高效配置和有机聚合，促进农业提质增效和农民增收，助力乡村全面振兴。</w:t>
      </w:r>
    </w:p>
    <w:p w14:paraId="5ACC2887">
      <w:pPr>
        <w:numPr>
          <w:ilvl w:val="0"/>
          <w:numId w:val="3"/>
        </w:numPr>
        <w:spacing w:line="520" w:lineRule="exact"/>
        <w:ind w:left="638" w:leftChars="304"/>
        <w:rPr>
          <w:rFonts w:ascii="Times New Roman" w:hAnsi="Times New Roman" w:eastAsia="黑体" w:cs="黑体"/>
          <w:sz w:val="32"/>
          <w:szCs w:val="32"/>
        </w:rPr>
      </w:pPr>
      <w:r>
        <w:rPr>
          <w:rFonts w:hint="eastAsia" w:ascii="Times New Roman" w:hAnsi="Times New Roman" w:eastAsia="黑体" w:cs="黑体"/>
          <w:sz w:val="32"/>
          <w:szCs w:val="32"/>
          <w:lang w:eastAsia="zh-CN"/>
        </w:rPr>
        <w:t>申报要求</w:t>
      </w:r>
    </w:p>
    <w:p w14:paraId="13C81D2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eastAsia="zh-CN"/>
        </w:rPr>
        <w:t>参照南京市农业农村局《关于组织申报2025年农业科技产学研合作项目的通知》文件要求。</w:t>
      </w:r>
    </w:p>
    <w:p w14:paraId="2EDFAF6D">
      <w:pPr>
        <w:numPr>
          <w:ilvl w:val="0"/>
          <w:numId w:val="3"/>
        </w:numPr>
        <w:spacing w:line="520" w:lineRule="exact"/>
        <w:ind w:left="638" w:leftChars="304"/>
        <w:rPr>
          <w:rFonts w:ascii="Times New Roman" w:hAnsi="Times New Roman" w:eastAsia="黑体" w:cs="黑体"/>
          <w:sz w:val="32"/>
          <w:szCs w:val="32"/>
        </w:rPr>
      </w:pPr>
      <w:r>
        <w:rPr>
          <w:rFonts w:hint="eastAsia" w:ascii="Times New Roman" w:hAnsi="Times New Roman" w:eastAsia="黑体" w:cs="黑体"/>
          <w:sz w:val="32"/>
          <w:szCs w:val="32"/>
          <w:lang w:eastAsia="zh-CN"/>
        </w:rPr>
        <w:t>补助标准</w:t>
      </w:r>
    </w:p>
    <w:p w14:paraId="4D98A8E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val="en-US" w:eastAsia="zh-CN"/>
        </w:rPr>
        <w:t>2025年农业农村公共服务专项——农业科技产学研——农业科技成果示范基地项目资金总计20万</w:t>
      </w:r>
      <w:r>
        <w:rPr>
          <w:rFonts w:hint="eastAsia" w:ascii="Times New Roman" w:hAnsi="Times New Roman" w:eastAsia="方正仿宋_GBK" w:cs="方正仿宋_GBK"/>
          <w:sz w:val="32"/>
          <w:szCs w:val="32"/>
          <w:lang w:eastAsia="zh-CN"/>
        </w:rPr>
        <w:t>。项目实行先建后补，补助资金不超过项目总投资的</w:t>
      </w:r>
      <w:r>
        <w:rPr>
          <w:rFonts w:hint="eastAsia" w:ascii="Times New Roman" w:hAnsi="Times New Roman" w:eastAsia="方正仿宋_GBK" w:cs="方正仿宋_GBK"/>
          <w:sz w:val="32"/>
          <w:szCs w:val="32"/>
          <w:lang w:val="en-US" w:eastAsia="zh-CN"/>
        </w:rPr>
        <w:t>50%。</w:t>
      </w:r>
    </w:p>
    <w:p w14:paraId="37168569">
      <w:pPr>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br w:type="page"/>
      </w:r>
    </w:p>
    <w:p w14:paraId="675D395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方正小标宋_GBK"/>
          <w:sz w:val="36"/>
          <w:szCs w:val="36"/>
          <w:lang w:val="en-US" w:eastAsia="zh-CN"/>
        </w:rPr>
      </w:pPr>
      <w:r>
        <w:rPr>
          <w:rFonts w:hint="eastAsia" w:ascii="Times New Roman" w:hAnsi="Times New Roman" w:eastAsia="方正小标宋_GBK" w:cs="方正小标宋_GBK"/>
          <w:sz w:val="36"/>
          <w:szCs w:val="36"/>
          <w:lang w:val="en-US" w:eastAsia="zh-CN"/>
        </w:rPr>
        <w:t>2025年农业绿色发展专项——</w:t>
      </w:r>
    </w:p>
    <w:p w14:paraId="6EE372E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方正小标宋_GBK"/>
          <w:sz w:val="36"/>
          <w:szCs w:val="36"/>
          <w:lang w:val="en-US" w:eastAsia="zh-CN"/>
        </w:rPr>
      </w:pPr>
      <w:r>
        <w:rPr>
          <w:rFonts w:hint="eastAsia" w:ascii="Times New Roman" w:hAnsi="Times New Roman" w:eastAsia="方正小标宋_GBK" w:cs="方正小标宋_GBK"/>
          <w:sz w:val="36"/>
          <w:szCs w:val="36"/>
          <w:lang w:val="en-US" w:eastAsia="zh-CN"/>
        </w:rPr>
        <w:t>栖霞区2025年度市、区水稻生态补偿资金使用指导意见</w:t>
      </w:r>
    </w:p>
    <w:p w14:paraId="16979D93">
      <w:pPr>
        <w:rPr>
          <w:rFonts w:ascii="Times New Roman" w:hAnsi="Times New Roman" w:cs="Times New Roman"/>
        </w:rPr>
      </w:pPr>
    </w:p>
    <w:p w14:paraId="11F33A9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一、补偿范围</w:t>
      </w:r>
    </w:p>
    <w:p w14:paraId="7D90A07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eastAsia="zh-CN"/>
        </w:rPr>
        <w:t>补偿范围为全区行政区域内的龙潭、八卦洲等主要水稻种植区。</w:t>
      </w:r>
    </w:p>
    <w:p w14:paraId="1DC4307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二、补偿对象</w:t>
      </w:r>
    </w:p>
    <w:p w14:paraId="1F9C0A6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eastAsia="zh-CN"/>
        </w:rPr>
        <w:t>补偿对象为各水稻种植街、村（社区）。</w:t>
      </w:r>
    </w:p>
    <w:p w14:paraId="07AAF13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三、补偿标准</w:t>
      </w:r>
    </w:p>
    <w:p w14:paraId="083B540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补偿标准为120元/亩年。</w:t>
      </w:r>
    </w:p>
    <w:p w14:paraId="6843E35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四、补偿面积和资金</w:t>
      </w:r>
    </w:p>
    <w:p w14:paraId="0835EDB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按照统计部门公布的2024年水稻实际种植面积核定补偿资金。</w:t>
      </w:r>
    </w:p>
    <w:p w14:paraId="6B4FCE7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五、资金的筹集与拨付</w:t>
      </w:r>
    </w:p>
    <w:p w14:paraId="032FF5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水稻生态补偿资金按照市核定的补偿资金，</w:t>
      </w:r>
      <w:r>
        <w:rPr>
          <w:rFonts w:hint="eastAsia" w:ascii="Times New Roman" w:hAnsi="Times New Roman" w:eastAsia="方正仿宋_GBK" w:cs="Times New Roman"/>
          <w:sz w:val="32"/>
          <w:szCs w:val="32"/>
        </w:rPr>
        <w:t>资金总</w:t>
      </w:r>
      <w:r>
        <w:rPr>
          <w:rFonts w:ascii="Times New Roman" w:hAnsi="Times New Roman" w:eastAsia="方正仿宋_GBK" w:cs="Times New Roman"/>
          <w:sz w:val="32"/>
          <w:szCs w:val="32"/>
        </w:rPr>
        <w:t>288.576</w:t>
      </w:r>
      <w:r>
        <w:rPr>
          <w:rFonts w:hint="eastAsia" w:ascii="Times New Roman" w:hAnsi="Times New Roman" w:eastAsia="方正仿宋_GBK" w:cs="Times New Roman"/>
          <w:sz w:val="32"/>
          <w:szCs w:val="32"/>
        </w:rPr>
        <w:t>万元，</w:t>
      </w:r>
      <w:r>
        <w:rPr>
          <w:rFonts w:ascii="Times New Roman" w:hAnsi="Times New Roman" w:eastAsia="方正仿宋_GBK" w:cs="Times New Roman"/>
          <w:sz w:val="32"/>
          <w:szCs w:val="32"/>
        </w:rPr>
        <w:t>市、区两级财政各按50%承担。</w:t>
      </w:r>
    </w:p>
    <w:p w14:paraId="1C28008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六、资金的使用与管理</w:t>
      </w:r>
    </w:p>
    <w:p w14:paraId="774954F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水稻生态保护补偿资金主要用于农田基础设施建设、水稻生产环境保护和修复、农业面源污染治理、水稻农业保险补贴、土地流转补贴、轮作休耕、绿色防控等。相关街道在收到市、区级补偿资金后，根据文件要求及时拟定资金分配和使用方案，报区农业农村局和区财政局批复后组织实施。街道农业、财政部门要指导各相关村（社区）做好水稻生态补偿资金使用的过程监督、规范会计核算和档案管理等工作。各单位要严格按照有关法律法规的规定，实行专款专用，不得挪用，不得用于发放工资、奖金、补贴，不得用于考察、旅游、接待及购置交通工具等“三公”行政管理经费支出。</w:t>
      </w:r>
    </w:p>
    <w:p w14:paraId="4BC5366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街道农业、财政部门要加强对水稻生态补偿资金监督管理，对水稻生态补偿资金使用进度、建设成效和组织管理情况等进行监督检查。在工作结束后区农业农村局、区财政局将委托第三方进行审计核查，如有资金结余，收回区级财政。</w:t>
      </w:r>
    </w:p>
    <w:p w14:paraId="080578C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cs="方正仿宋_GBK"/>
          <w:sz w:val="32"/>
          <w:szCs w:val="32"/>
        </w:rPr>
      </w:pPr>
    </w:p>
    <w:p w14:paraId="50E527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sz w:val="32"/>
          <w:szCs w:val="32"/>
        </w:rPr>
      </w:pPr>
    </w:p>
    <w:p w14:paraId="14114701"/>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0743F"/>
    <w:multiLevelType w:val="singleLevel"/>
    <w:tmpl w:val="9550743F"/>
    <w:lvl w:ilvl="0" w:tentative="0">
      <w:start w:val="1"/>
      <w:numFmt w:val="chineseCounting"/>
      <w:suff w:val="nothing"/>
      <w:lvlText w:val="%1、"/>
      <w:lvlJc w:val="left"/>
      <w:rPr>
        <w:rFonts w:hint="eastAsia"/>
      </w:rPr>
    </w:lvl>
  </w:abstractNum>
  <w:abstractNum w:abstractNumId="1">
    <w:nsid w:val="BA7C08F8"/>
    <w:multiLevelType w:val="singleLevel"/>
    <w:tmpl w:val="BA7C08F8"/>
    <w:lvl w:ilvl="0" w:tentative="0">
      <w:start w:val="1"/>
      <w:numFmt w:val="decimal"/>
      <w:suff w:val="space"/>
      <w:lvlText w:val="%1."/>
      <w:lvlJc w:val="left"/>
    </w:lvl>
  </w:abstractNum>
  <w:abstractNum w:abstractNumId="2">
    <w:nsid w:val="06D367AA"/>
    <w:multiLevelType w:val="singleLevel"/>
    <w:tmpl w:val="06D367AA"/>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A37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unhideWhenUsed/>
    <w:qFormat/>
    <w:uiPriority w:val="99"/>
    <w:pPr>
      <w:spacing w:line="560" w:lineRule="exact"/>
      <w:ind w:firstLine="480" w:firstLineChars="200"/>
    </w:pPr>
    <w:rPr>
      <w:rFonts w:ascii="Times New Roman" w:hAnsi="Times New Roman"/>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2025-11-21T08:30:27Z</dcterms:created>
  <dc:creator>Administrator</dc:creator>
  <cp:lastModifiedBy>陈琳</cp:lastModifiedBy>
  <dcterms:modified xsi:type="dcterms:W3CDTF">2025-11-21T08:30:42Z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eyJoZGlkIjoiMzMwZTk5MWJmMjVjZGU4ODdjNTA0MmRhYzAxYzJiNDEiLCJ1c2VySWQiOiIyNjU1Njc1NDUifQ==</vt:lpwstr>
  </property>
  <property fmtid="{D5CDD505-2E9C-101B-9397-08002B2CF9AE}" pid="4" name="ICV">
    <vt:lpwstr>0B94D39CE7644C0592E093360F5D7656_12</vt:lpwstr>
  </property>
</Properties>
</file>