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87F7">
      <w:pPr>
        <w:keepNext w:val="0"/>
        <w:keepLines w:val="0"/>
        <w:pageBreakBefore w:val="0"/>
        <w:kinsoku/>
        <w:wordWrap/>
        <w:overflowPunct/>
        <w:topLinePunct w:val="0"/>
        <w:autoSpaceDE/>
        <w:autoSpaceDN/>
        <w:bidi w:val="0"/>
        <w:spacing w:line="520" w:lineRule="exac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62635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栖霞区2025年第三批批市级农业专项资金项目实施意见</w:t>
      </w:r>
    </w:p>
    <w:p w14:paraId="37EFFFC2">
      <w:pPr>
        <w:pStyle w:val="2"/>
        <w:rPr>
          <w:rFonts w:ascii="Times New Roman" w:hAnsi="Times New Roman" w:eastAsia="黑体" w:cs="Times New Roman"/>
          <w:color w:val="auto"/>
          <w:sz w:val="32"/>
          <w:szCs w:val="32"/>
        </w:rPr>
      </w:pPr>
    </w:p>
    <w:p w14:paraId="6D17B93F">
      <w:pPr>
        <w:spacing w:line="660" w:lineRule="exact"/>
        <w:jc w:val="center"/>
        <w:rPr>
          <w:rFonts w:hint="eastAsia" w:ascii="Times New Roman" w:hAnsi="Times New Roman" w:eastAsia="方正小标宋_GBK"/>
          <w:sz w:val="36"/>
          <w:szCs w:val="36"/>
          <w:lang w:val="en-US" w:eastAsia="zh-CN"/>
        </w:rPr>
      </w:pPr>
      <w:r>
        <w:rPr>
          <w:rFonts w:hint="eastAsia" w:ascii="Times New Roman" w:hAnsi="Times New Roman" w:eastAsia="方正小标宋_GBK"/>
          <w:sz w:val="36"/>
          <w:szCs w:val="36"/>
        </w:rPr>
        <w:t>202</w:t>
      </w:r>
      <w:r>
        <w:rPr>
          <w:rFonts w:hint="eastAsia" w:ascii="Times New Roman" w:hAnsi="Times New Roman" w:eastAsia="方正小标宋_GBK"/>
          <w:sz w:val="36"/>
          <w:szCs w:val="36"/>
          <w:lang w:val="en-US" w:eastAsia="zh-CN"/>
        </w:rPr>
        <w:t>5</w:t>
      </w:r>
      <w:r>
        <w:rPr>
          <w:rFonts w:hint="eastAsia" w:ascii="Times New Roman" w:hAnsi="Times New Roman" w:eastAsia="方正小标宋_GBK"/>
          <w:sz w:val="36"/>
          <w:szCs w:val="36"/>
        </w:rPr>
        <w:t>年市级</w:t>
      </w:r>
      <w:r>
        <w:rPr>
          <w:rFonts w:hint="eastAsia" w:ascii="Times New Roman" w:hAnsi="Times New Roman" w:eastAsia="方正小标宋_GBK"/>
          <w:sz w:val="36"/>
          <w:szCs w:val="36"/>
          <w:lang w:val="en-US" w:eastAsia="zh-CN"/>
        </w:rPr>
        <w:t>农业农村公共服务</w:t>
      </w:r>
      <w:r>
        <w:rPr>
          <w:rFonts w:hint="eastAsia" w:ascii="Times New Roman" w:hAnsi="Times New Roman" w:eastAsia="方正小标宋_GBK"/>
          <w:sz w:val="36"/>
          <w:szCs w:val="36"/>
        </w:rPr>
        <w:t>专项——</w:t>
      </w:r>
      <w:bookmarkStart w:id="0" w:name="OLE_LINK1"/>
      <w:r>
        <w:rPr>
          <w:rFonts w:hint="eastAsia" w:ascii="Times New Roman" w:hAnsi="Times New Roman" w:eastAsia="方正小标宋_GBK"/>
          <w:sz w:val="36"/>
          <w:szCs w:val="36"/>
          <w:lang w:val="en-US" w:eastAsia="zh-CN"/>
        </w:rPr>
        <w:t>省级特色</w:t>
      </w:r>
    </w:p>
    <w:p w14:paraId="010134C0">
      <w:pPr>
        <w:spacing w:line="660" w:lineRule="exact"/>
        <w:jc w:val="center"/>
        <w:rPr>
          <w:rFonts w:hint="eastAsia" w:ascii="Times New Roman" w:hAnsi="Times New Roman" w:eastAsia="方正小标宋_GBK"/>
          <w:sz w:val="36"/>
          <w:szCs w:val="36"/>
        </w:rPr>
      </w:pPr>
      <w:r>
        <w:rPr>
          <w:rFonts w:hint="eastAsia" w:ascii="Times New Roman" w:hAnsi="Times New Roman" w:eastAsia="方正小标宋_GBK"/>
          <w:sz w:val="36"/>
          <w:szCs w:val="36"/>
          <w:lang w:val="en-US" w:eastAsia="zh-CN"/>
        </w:rPr>
        <w:t>田园乡村</w:t>
      </w:r>
      <w:bookmarkEnd w:id="0"/>
      <w:r>
        <w:rPr>
          <w:rFonts w:hint="eastAsia" w:ascii="Times New Roman" w:hAnsi="Times New Roman" w:eastAsia="方正小标宋_GBK"/>
          <w:sz w:val="36"/>
          <w:szCs w:val="36"/>
          <w:lang w:val="en-US" w:eastAsia="zh-CN"/>
        </w:rPr>
        <w:t>奖补</w:t>
      </w:r>
      <w:r>
        <w:rPr>
          <w:rFonts w:hint="eastAsia" w:ascii="Times New Roman" w:hAnsi="Times New Roman" w:eastAsia="方正小标宋_GBK"/>
          <w:sz w:val="36"/>
          <w:szCs w:val="36"/>
        </w:rPr>
        <w:t>实施指导意见</w:t>
      </w:r>
    </w:p>
    <w:p w14:paraId="4BB641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为进一步改善农村人居环境，加快生态宜居美丽乡村建设步伐，扎实推进特色田园乡村培育工作。</w:t>
      </w:r>
    </w:p>
    <w:p w14:paraId="6EAC50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一、奖补对象及资金</w:t>
      </w:r>
    </w:p>
    <w:p w14:paraId="555FD52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奖补对象为纳入南京市首批市特色田园乡村入库（宁田园办发〔2022〕1号）的村庄，并被省级评为特色田园乡村奖补工作村庄。奖补资金共计480万元（其中，省市各240万元）。</w:t>
      </w:r>
    </w:p>
    <w:p w14:paraId="1BEBEE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二、资金使用范围</w:t>
      </w:r>
    </w:p>
    <w:p w14:paraId="0AE7F97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5"/>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据《江苏省特色田园乡村评价命名标准》、《江苏省特色田园乡村创建工作方案》要求，奖补资金用于创建省级特色田园乡村公益性项目支出包括建设基础设施、完善公共服务配套、改善产业发展环境、支持村级集体经济发展、村庄管护等，体现现代文明的宜居宜业和美乡村。</w:t>
      </w:r>
    </w:p>
    <w:p w14:paraId="33062A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三、资金使用管理</w:t>
      </w:r>
    </w:p>
    <w:p w14:paraId="0EC1550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加强财政奖补资金管理，规范使用资金，提高资金使用效益。奖补资金实行专款专用、专账核算，不得挤占、截留、挪用，不得用于发放工资和考察旅游。</w:t>
      </w:r>
    </w:p>
    <w:p w14:paraId="5A86B9E2">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br w:type="page"/>
      </w:r>
    </w:p>
    <w:p w14:paraId="60D84FB9">
      <w:pPr>
        <w:spacing w:line="660" w:lineRule="exact"/>
        <w:jc w:val="center"/>
        <w:rPr>
          <w:rFonts w:ascii="Times New Roman" w:hAnsi="Times New Roman" w:eastAsia="方正小标宋_GBK"/>
          <w:sz w:val="36"/>
          <w:szCs w:val="36"/>
        </w:rPr>
      </w:pPr>
      <w:r>
        <w:rPr>
          <w:rFonts w:ascii="Times New Roman" w:hAnsi="Times New Roman" w:eastAsia="方正小标宋_GBK"/>
          <w:sz w:val="36"/>
          <w:szCs w:val="36"/>
        </w:rPr>
        <w:t>202</w:t>
      </w:r>
      <w:r>
        <w:rPr>
          <w:rFonts w:hint="eastAsia" w:ascii="Times New Roman" w:hAnsi="Times New Roman" w:eastAsia="方正小标宋_GBK"/>
          <w:sz w:val="36"/>
          <w:szCs w:val="36"/>
          <w:lang w:val="en-US" w:eastAsia="zh-CN"/>
        </w:rPr>
        <w:t>5</w:t>
      </w:r>
      <w:r>
        <w:rPr>
          <w:rFonts w:ascii="Times New Roman" w:hAnsi="Times New Roman" w:eastAsia="方正小标宋_GBK"/>
          <w:sz w:val="36"/>
          <w:szCs w:val="36"/>
        </w:rPr>
        <w:t>年农业绿色发展专项—</w:t>
      </w:r>
    </w:p>
    <w:p w14:paraId="33FB8640">
      <w:pPr>
        <w:spacing w:line="660" w:lineRule="exact"/>
        <w:jc w:val="center"/>
        <w:rPr>
          <w:rFonts w:hint="eastAsia" w:ascii="Times New Roman" w:hAnsi="Times New Roman" w:eastAsia="方正小标宋_GBK"/>
          <w:sz w:val="36"/>
          <w:szCs w:val="36"/>
        </w:rPr>
      </w:pPr>
      <w:r>
        <w:rPr>
          <w:rFonts w:ascii="Times New Roman" w:hAnsi="Times New Roman" w:eastAsia="方正小标宋_GBK"/>
          <w:sz w:val="36"/>
          <w:szCs w:val="36"/>
        </w:rPr>
        <w:t>栖霞区农药包装废弃物回收</w:t>
      </w:r>
      <w:r>
        <w:rPr>
          <w:rFonts w:hint="eastAsia" w:ascii="Times New Roman" w:hAnsi="Times New Roman" w:eastAsia="方正小标宋_GBK"/>
          <w:sz w:val="36"/>
          <w:szCs w:val="36"/>
        </w:rPr>
        <w:t>处置</w:t>
      </w:r>
      <w:r>
        <w:rPr>
          <w:rFonts w:ascii="Times New Roman" w:hAnsi="Times New Roman" w:eastAsia="方正小标宋_GBK"/>
          <w:sz w:val="36"/>
          <w:szCs w:val="36"/>
        </w:rPr>
        <w:t>、废旧农膜回收</w:t>
      </w:r>
      <w:r>
        <w:rPr>
          <w:rFonts w:hint="eastAsia" w:ascii="Times New Roman" w:hAnsi="Times New Roman" w:eastAsia="方正小标宋_GBK"/>
          <w:sz w:val="36"/>
          <w:szCs w:val="36"/>
        </w:rPr>
        <w:t>处置</w:t>
      </w:r>
    </w:p>
    <w:p w14:paraId="7F3ACB0F">
      <w:pPr>
        <w:spacing w:line="660" w:lineRule="exact"/>
        <w:jc w:val="center"/>
        <w:rPr>
          <w:rFonts w:ascii="Times New Roman" w:hAnsi="Times New Roman" w:eastAsia="方正小标宋_GBK"/>
          <w:sz w:val="36"/>
          <w:szCs w:val="36"/>
        </w:rPr>
      </w:pPr>
      <w:r>
        <w:rPr>
          <w:rFonts w:ascii="Times New Roman" w:hAnsi="Times New Roman" w:eastAsia="方正小标宋_GBK"/>
          <w:sz w:val="36"/>
          <w:szCs w:val="36"/>
        </w:rPr>
        <w:t>项目实施指导意见</w:t>
      </w:r>
    </w:p>
    <w:p w14:paraId="64FFC901">
      <w:pPr>
        <w:spacing w:line="600" w:lineRule="exact"/>
        <w:rPr>
          <w:rFonts w:ascii="Times New Roman" w:hAnsi="Times New Roman" w:eastAsia="仿宋_GB2312"/>
          <w:sz w:val="32"/>
          <w:szCs w:val="32"/>
        </w:rPr>
      </w:pPr>
    </w:p>
    <w:p w14:paraId="4C3A76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为推行农业绿色生产方式，加快推进农药包装废弃物和废旧地膜回收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工作的实施，根据南京市农业农村局、南京市财政局《关于下达202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年第三批市级农业专项资金计划的通知》</w:t>
      </w:r>
      <w:r>
        <w:rPr>
          <w:rFonts w:hint="eastAsia" w:ascii="Times New Roman" w:hAnsi="Times New Roman" w:eastAsia="方正仿宋_GBK"/>
          <w:sz w:val="32"/>
          <w:szCs w:val="32"/>
        </w:rPr>
        <w:t>（</w:t>
      </w:r>
      <w:r>
        <w:rPr>
          <w:rFonts w:ascii="Times New Roman" w:hAnsi="Times New Roman" w:eastAsia="方正仿宋_GBK"/>
          <w:sz w:val="32"/>
          <w:szCs w:val="32"/>
        </w:rPr>
        <w:t>宁农计〔202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4</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ascii="Times New Roman" w:hAnsi="Times New Roman" w:eastAsia="方正仿宋_GBK"/>
          <w:sz w:val="32"/>
          <w:szCs w:val="32"/>
        </w:rPr>
        <w:t>文件精神，根据本区实际情况全区涉农街道范围内开展农业农村农药包装废弃物回收</w:t>
      </w:r>
      <w:r>
        <w:rPr>
          <w:rFonts w:hint="eastAsia" w:ascii="Times New Roman" w:hAnsi="Times New Roman" w:eastAsia="方正仿宋_GBK"/>
          <w:sz w:val="32"/>
          <w:szCs w:val="32"/>
        </w:rPr>
        <w:t>处置</w:t>
      </w:r>
      <w:r>
        <w:rPr>
          <w:rFonts w:ascii="Times New Roman" w:hAnsi="Times New Roman" w:eastAsia="方正仿宋_GBK"/>
          <w:sz w:val="32"/>
          <w:szCs w:val="32"/>
        </w:rPr>
        <w:t>、废旧农膜回收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w:t>
      </w:r>
    </w:p>
    <w:p w14:paraId="7333F5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支持开展地膜、农药包装废弃物集中回收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加强废弃物回收。储存、转运、处置再利用，增强农户地膜、农药包装废弃物使用主体环保意识，减轻农药包装废弃物、地膜乱扔乱弃现象，实现废旧农药包装废弃物、农膜基本回收利用、处置。</w:t>
      </w:r>
    </w:p>
    <w:p w14:paraId="58D3FB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一、实施要求</w:t>
      </w:r>
    </w:p>
    <w:p w14:paraId="5138E7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实施主体</w:t>
      </w:r>
      <w:r>
        <w:rPr>
          <w:rFonts w:hint="eastAsia" w:ascii="Times New Roman" w:hAnsi="Times New Roman" w:eastAsia="方正仿宋_GBK"/>
          <w:sz w:val="32"/>
          <w:szCs w:val="32"/>
        </w:rPr>
        <w:t>：</w:t>
      </w:r>
      <w:r>
        <w:rPr>
          <w:rFonts w:ascii="Times New Roman" w:hAnsi="Times New Roman" w:eastAsia="方正仿宋_GBK"/>
          <w:sz w:val="32"/>
          <w:szCs w:val="32"/>
        </w:rPr>
        <w:t>所有实施主体必须要有专人负责项目制定、实施、验收等各项环节的材料收集、整理及上报等工作。</w:t>
      </w:r>
    </w:p>
    <w:p w14:paraId="2BD227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实施条件</w:t>
      </w:r>
      <w:r>
        <w:rPr>
          <w:rFonts w:hint="eastAsia" w:ascii="Times New Roman" w:hAnsi="Times New Roman" w:eastAsia="方正仿宋_GBK"/>
          <w:sz w:val="32"/>
          <w:szCs w:val="32"/>
        </w:rPr>
        <w:t>：</w:t>
      </w:r>
      <w:r>
        <w:rPr>
          <w:rFonts w:ascii="Times New Roman" w:hAnsi="Times New Roman" w:eastAsia="方正仿宋_GBK"/>
          <w:sz w:val="32"/>
          <w:szCs w:val="32"/>
        </w:rPr>
        <w:t>项目单位涉及用地、用电等相关事项行政审批的，必须先行取得行政审批。回收的农膜、农药包装废弃物有稳定的处理或利用渠道。</w:t>
      </w:r>
    </w:p>
    <w:p w14:paraId="6C974C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二、工作内容及要求</w:t>
      </w:r>
    </w:p>
    <w:p w14:paraId="42A86C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支持开展药包装废弃物回收</w:t>
      </w:r>
      <w:r>
        <w:rPr>
          <w:rFonts w:hint="eastAsia" w:ascii="Times New Roman" w:hAnsi="Times New Roman" w:eastAsia="方正仿宋_GBK"/>
          <w:sz w:val="32"/>
          <w:szCs w:val="32"/>
        </w:rPr>
        <w:t>处置</w:t>
      </w:r>
      <w:r>
        <w:rPr>
          <w:rFonts w:ascii="Times New Roman" w:hAnsi="Times New Roman" w:eastAsia="方正仿宋_GBK"/>
          <w:sz w:val="32"/>
          <w:szCs w:val="32"/>
        </w:rPr>
        <w:t>工作，用于农药包装废弃物收储运体系建设、定点回收站</w:t>
      </w:r>
      <w:r>
        <w:rPr>
          <w:rFonts w:hint="eastAsia" w:ascii="Times New Roman" w:hAnsi="Times New Roman" w:eastAsia="方正仿宋_GBK"/>
          <w:sz w:val="32"/>
          <w:szCs w:val="32"/>
        </w:rPr>
        <w:t>（</w:t>
      </w:r>
      <w:r>
        <w:rPr>
          <w:rFonts w:ascii="Times New Roman" w:hAnsi="Times New Roman" w:eastAsia="方正仿宋_GBK"/>
          <w:sz w:val="32"/>
          <w:szCs w:val="32"/>
        </w:rPr>
        <w:t>点</w:t>
      </w:r>
      <w:r>
        <w:rPr>
          <w:rFonts w:hint="eastAsia" w:ascii="Times New Roman" w:hAnsi="Times New Roman" w:eastAsia="方正仿宋_GBK"/>
          <w:sz w:val="32"/>
          <w:szCs w:val="32"/>
        </w:rPr>
        <w:t>）</w:t>
      </w:r>
      <w:r>
        <w:rPr>
          <w:rFonts w:ascii="Times New Roman" w:hAnsi="Times New Roman" w:eastAsia="方正仿宋_GBK"/>
          <w:sz w:val="32"/>
          <w:szCs w:val="32"/>
        </w:rPr>
        <w:t>建设等方面，开展回收后的农药包装废弃物分类整理、转运归集、无害化处理、跟踪审计等任务。涉农乡镇农药包装废弃物回收覆盖</w:t>
      </w:r>
      <w:r>
        <w:rPr>
          <w:rFonts w:hint="eastAsia" w:ascii="Times New Roman" w:hAnsi="Times New Roman" w:eastAsia="方正仿宋_GBK"/>
          <w:sz w:val="32"/>
          <w:szCs w:val="32"/>
        </w:rPr>
        <w:t>率90%以上，</w:t>
      </w:r>
      <w:r>
        <w:rPr>
          <w:rFonts w:ascii="Times New Roman" w:hAnsi="Times New Roman" w:eastAsia="方正仿宋_GBK"/>
          <w:sz w:val="32"/>
          <w:szCs w:val="32"/>
        </w:rPr>
        <w:t>无害化处理率达 100%。支持开展废旧农膜回收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工作，用于废旧农膜回收网络建设回收处置废旧地膜、试验示范新型地膜、建立残膜监测点、跟踪审计等任务。废旧农膜回收率大于等于 90%。</w:t>
      </w:r>
    </w:p>
    <w:p w14:paraId="62AA6C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三、补助标准</w:t>
      </w:r>
    </w:p>
    <w:p w14:paraId="58E73D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项目建设补助资金，需完成工作内容及要求，按照实施方案内容确定补助资金，项目</w:t>
      </w:r>
      <w:r>
        <w:rPr>
          <w:rFonts w:hint="eastAsia" w:ascii="Times New Roman" w:hAnsi="Times New Roman" w:eastAsia="方正仿宋_GBK"/>
          <w:sz w:val="32"/>
          <w:szCs w:val="32"/>
          <w:lang w:val="en-US" w:eastAsia="zh-CN"/>
        </w:rPr>
        <w:t>补助</w:t>
      </w:r>
      <w:r>
        <w:rPr>
          <w:rFonts w:ascii="Times New Roman" w:hAnsi="Times New Roman" w:eastAsia="方正仿宋_GBK"/>
          <w:sz w:val="32"/>
          <w:szCs w:val="32"/>
        </w:rPr>
        <w:t>资金不超过</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万。</w:t>
      </w:r>
    </w:p>
    <w:p w14:paraId="52A4B727">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E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480" w:firstLineChars="200"/>
    </w:pPr>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2025-11-21T08:15:42Z</dcterms:created>
  <dc:creator>Administrator</dc:creator>
  <cp:lastModifiedBy>陈琳</cp:lastModifiedBy>
  <dcterms:modified xsi:type="dcterms:W3CDTF">2025-11-21T08:15:57Z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eyJoZGlkIjoiMzMwZTk5MWJmMjVjZGU4ODdjNTA0MmRhYzAxYzJiNDEiLCJ1c2VySWQiOiIyNjU1Njc1NDUifQ==</vt:lpwstr>
  </property>
  <property fmtid="{D5CDD505-2E9C-101B-9397-08002B2CF9AE}" pid="4" name="ICV">
    <vt:lpwstr>8D5389376A5145E096BDAF856232CE94_12</vt:lpwstr>
  </property>
</Properties>
</file>