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387F7">
      <w:pPr>
        <w:keepNext w:val="0"/>
        <w:keepLines w:val="0"/>
        <w:pageBreakBefore w:val="0"/>
        <w:kinsoku/>
        <w:wordWrap/>
        <w:overflowPunct/>
        <w:topLinePunct w:val="0"/>
        <w:autoSpaceDE/>
        <w:autoSpaceDN/>
        <w:bidi w:val="0"/>
        <w:spacing w:line="520" w:lineRule="exact"/>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附件1：</w:t>
      </w:r>
    </w:p>
    <w:p w14:paraId="6263563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栖霞区2025年第一批市级农业专项资金项目申报指南及实施意见</w:t>
      </w:r>
    </w:p>
    <w:p w14:paraId="37EFFFC2">
      <w:pPr>
        <w:pStyle w:val="2"/>
        <w:rPr>
          <w:rFonts w:ascii="Times New Roman" w:hAnsi="Times New Roman" w:eastAsia="黑体" w:cs="Times New Roman"/>
          <w:color w:val="auto"/>
          <w:sz w:val="32"/>
          <w:szCs w:val="32"/>
        </w:rPr>
      </w:pPr>
      <w:bookmarkStart w:id="14" w:name="_GoBack"/>
      <w:bookmarkEnd w:id="14"/>
    </w:p>
    <w:p w14:paraId="70D7C2F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栖霞区</w:t>
      </w:r>
      <w:r>
        <w:rPr>
          <w:rFonts w:hint="eastAsia" w:ascii="Times New Roman" w:hAnsi="Times New Roman" w:eastAsia="方正小标宋简体" w:cs="方正小标宋简体"/>
          <w:sz w:val="44"/>
          <w:szCs w:val="44"/>
        </w:rPr>
        <w:t>202</w:t>
      </w:r>
      <w:r>
        <w:rPr>
          <w:rFonts w:hint="eastAsia" w:ascii="Times New Roman" w:hAnsi="Times New Roman"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年现代蔬菜园艺高质量发展项目</w:t>
      </w:r>
    </w:p>
    <w:p w14:paraId="04EC20EF">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──设施蔬菜园艺项目申报指南</w:t>
      </w:r>
    </w:p>
    <w:p w14:paraId="71C148AA">
      <w:pPr>
        <w:spacing w:line="520" w:lineRule="exact"/>
        <w:ind w:firstLine="880" w:firstLineChars="200"/>
        <w:jc w:val="center"/>
        <w:rPr>
          <w:rFonts w:eastAsia="黑体"/>
          <w:sz w:val="44"/>
          <w:szCs w:val="44"/>
        </w:rPr>
      </w:pPr>
    </w:p>
    <w:p w14:paraId="65651F5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一、约束性任务</w:t>
      </w:r>
    </w:p>
    <w:p w14:paraId="3FF0368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方正仿宋_GBK" w:cs="方正仿宋_GBK"/>
          <w:b/>
          <w:color w:val="000000"/>
          <w:sz w:val="32"/>
          <w:szCs w:val="32"/>
        </w:rPr>
      </w:pPr>
      <w:r>
        <w:rPr>
          <w:rFonts w:hint="eastAsia" w:ascii="Times New Roman" w:hAnsi="Times New Roman" w:eastAsia="方正仿宋_GBK" w:cs="方正仿宋_GBK"/>
          <w:color w:val="000000"/>
          <w:sz w:val="32"/>
          <w:szCs w:val="32"/>
        </w:rPr>
        <w:t>全区设施蔬菜园艺项目</w:t>
      </w:r>
      <w:r>
        <w:rPr>
          <w:rFonts w:hint="eastAsia" w:ascii="Times New Roman" w:hAnsi="Times New Roman" w:eastAsia="方正仿宋_GBK" w:cs="方正仿宋_GBK"/>
          <w:color w:val="000000"/>
          <w:sz w:val="32"/>
          <w:szCs w:val="32"/>
          <w:lang w:val="en-US" w:eastAsia="zh-CN"/>
        </w:rPr>
        <w:t>6</w:t>
      </w:r>
      <w:r>
        <w:rPr>
          <w:rFonts w:hint="eastAsia" w:ascii="Times New Roman" w:hAnsi="Times New Roman" w:eastAsia="方正仿宋_GBK" w:cs="方正仿宋_GBK"/>
          <w:color w:val="000000"/>
          <w:sz w:val="32"/>
          <w:szCs w:val="32"/>
        </w:rPr>
        <w:t>个及以上。</w:t>
      </w:r>
    </w:p>
    <w:p w14:paraId="69EEB2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二、申报要求</w:t>
      </w:r>
    </w:p>
    <w:p w14:paraId="05F2F5F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（一）申报主体</w:t>
      </w:r>
    </w:p>
    <w:p w14:paraId="0291209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街道办事处、社区（村委会）、农业专业合作社、家庭农场、大户、园区平台公司、从事农业生产的企业、事业单位等蔬菜园艺生产经营主体。所有申报主体必须要有专人负责项目申报、实施、验收等各项环节的材料收集、整理及上报等工作。</w:t>
      </w:r>
    </w:p>
    <w:p w14:paraId="0B49A2A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（二）申报条件</w:t>
      </w:r>
    </w:p>
    <w:p w14:paraId="6F76916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1、申报的项目必须为当年新建项目，开工时间为上年度同类项目申报结束后的项目视同为当年新建。</w:t>
      </w:r>
    </w:p>
    <w:p w14:paraId="7726C3E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2、依法需要办理国土、规划、环保、设施农用地备案手续等审批的，项目建设单位应当办理相关审批手续。项目建设不得硬化耕地、破坏耕作层。</w:t>
      </w:r>
    </w:p>
    <w:p w14:paraId="015A7A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3</w:t>
      </w:r>
      <w:r>
        <w:rPr>
          <w:rFonts w:hint="eastAsia" w:ascii="Times New Roman" w:hAnsi="Times New Roman" w:eastAsia="方正仿宋_GBK" w:cs="方正仿宋_GBK"/>
          <w:color w:val="000000"/>
          <w:sz w:val="32"/>
          <w:szCs w:val="32"/>
        </w:rPr>
        <w:t>、凡享受过蔬菜园艺、发改、财政等系统财政补助资金扶持并完成建设内容的项目不得重复支持。</w:t>
      </w:r>
      <w:r>
        <w:rPr>
          <w:rFonts w:hint="eastAsia" w:ascii="Times New Roman" w:hAnsi="Times New Roman" w:eastAsia="方正仿宋_GBK" w:cs="方正仿宋_GBK"/>
          <w:color w:val="000000"/>
          <w:sz w:val="32"/>
          <w:szCs w:val="32"/>
          <w:lang w:val="en-US" w:eastAsia="zh-CN"/>
        </w:rPr>
        <w:t>同等条件下，优先扶持“菜篮子”产品应急保供生产基地。</w:t>
      </w:r>
    </w:p>
    <w:p w14:paraId="49FBE2F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4、</w:t>
      </w:r>
      <w:r>
        <w:rPr>
          <w:rFonts w:hint="eastAsia" w:ascii="Times New Roman" w:hAnsi="Times New Roman" w:eastAsia="方正仿宋_GBK" w:cs="方正仿宋_GBK"/>
          <w:color w:val="000000" w:themeColor="text1"/>
          <w:sz w:val="32"/>
          <w:szCs w:val="32"/>
          <w14:textFill>
            <w14:solidFill>
              <w14:schemeClr w14:val="tx1"/>
            </w14:solidFill>
          </w14:textFill>
        </w:rPr>
        <w:t>进入省级农产品质量安全追溯平台</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的主体优先申报；对严重失信、存在未整改重大安全生产隐患、以及发生农产品质量安全事件的主体，不得承担项目；凡近三年内有未通过项目验收、项目审计及绩效评价较差的、有举报</w:t>
      </w:r>
      <w:r>
        <w:rPr>
          <w:rFonts w:hint="eastAsia" w:ascii="Times New Roman" w:hAnsi="Times New Roman" w:eastAsia="方正仿宋_GBK" w:cs="方正仿宋_GBK"/>
          <w:color w:val="000000"/>
          <w:sz w:val="32"/>
          <w:szCs w:val="32"/>
          <w:lang w:val="en-US" w:eastAsia="zh-CN"/>
        </w:rPr>
        <w:t>且经查实存在重大问题的、存在失信行为的单位不得申报。</w:t>
      </w:r>
    </w:p>
    <w:p w14:paraId="4AE6BD4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三、扶持目录</w:t>
      </w:r>
    </w:p>
    <w:p w14:paraId="2CAF4E7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支持新建标准设施蔬菜园艺，主要支持</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rPr>
        <w:t>8332</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rPr>
        <w:t>单体大棚、宽体大棚、连栋塑料薄膜温室、钢架避雨大棚、“两网一灌”等类型，支持建设水肥一体化、环境调控、育苗生产环节智能控制等设施装备，其中蔬菜类设施建设需配套棚内喷滴灌或水肥一体化设施。支持对超过设计使用年限、存在安全隐患、不能满足正常生产需求、不能满足宜机化作业等要求的老旧设施棚室进行主体结构改造提升以及水肥一体化、环境调控和育苗等设施装备的智能化改造提升。</w:t>
      </w:r>
      <w:r>
        <w:rPr>
          <w:rFonts w:hint="eastAsia" w:ascii="Times New Roman" w:hAnsi="Times New Roman" w:eastAsia="方正仿宋_GBK" w:cs="方正仿宋_GBK"/>
          <w:color w:val="000000"/>
          <w:sz w:val="32"/>
          <w:szCs w:val="32"/>
          <w:lang w:val="en-US" w:eastAsia="zh-CN"/>
        </w:rPr>
        <w:t>部分</w:t>
      </w:r>
      <w:r>
        <w:rPr>
          <w:rFonts w:hint="eastAsia" w:ascii="Times New Roman" w:hAnsi="Times New Roman" w:eastAsia="方正仿宋_GBK" w:cs="方正仿宋_GBK"/>
          <w:color w:val="000000"/>
          <w:sz w:val="32"/>
          <w:szCs w:val="32"/>
        </w:rPr>
        <w:t>建设标准和要求见表1。</w:t>
      </w:r>
    </w:p>
    <w:p w14:paraId="7DC3B835">
      <w:pPr>
        <w:adjustRightInd w:val="0"/>
        <w:snapToGrid w:val="0"/>
        <w:spacing w:line="520" w:lineRule="exact"/>
        <w:ind w:firstLine="562" w:firstLineChars="200"/>
        <w:jc w:val="center"/>
        <w:rPr>
          <w:rFonts w:ascii="Times New Roman" w:hAnsi="Times New Roman" w:eastAsia="仿宋_GB2312"/>
          <w:b/>
          <w:kern w:val="0"/>
          <w:sz w:val="28"/>
          <w:szCs w:val="28"/>
        </w:rPr>
      </w:pPr>
      <w:r>
        <w:rPr>
          <w:rFonts w:hint="eastAsia" w:ascii="Times New Roman" w:hAnsi="Times New Roman" w:eastAsia="仿宋_GB2312"/>
          <w:b/>
          <w:kern w:val="0"/>
          <w:sz w:val="28"/>
          <w:szCs w:val="28"/>
        </w:rPr>
        <w:t>表1：202</w:t>
      </w:r>
      <w:r>
        <w:rPr>
          <w:rFonts w:hint="eastAsia" w:ascii="Times New Roman" w:hAnsi="Times New Roman" w:eastAsia="仿宋_GB2312"/>
          <w:b/>
          <w:kern w:val="0"/>
          <w:sz w:val="28"/>
          <w:szCs w:val="28"/>
          <w:lang w:val="en-US" w:eastAsia="zh-CN"/>
        </w:rPr>
        <w:t>5</w:t>
      </w:r>
      <w:r>
        <w:rPr>
          <w:rFonts w:hint="eastAsia" w:ascii="Times New Roman" w:hAnsi="Times New Roman" w:eastAsia="仿宋_GB2312"/>
          <w:b/>
          <w:kern w:val="0"/>
          <w:sz w:val="28"/>
          <w:szCs w:val="28"/>
        </w:rPr>
        <w:t>年现代蔬菜园艺高质量发展</w:t>
      </w:r>
      <w:r>
        <w:rPr>
          <w:rFonts w:hint="eastAsia" w:ascii="Times New Roman" w:hAnsi="Times New Roman" w:eastAsia="仿宋_GB2312"/>
          <w:b/>
          <w:kern w:val="0"/>
          <w:sz w:val="28"/>
          <w:szCs w:val="28"/>
          <w:lang w:eastAsia="zh-CN"/>
        </w:rPr>
        <w:t>部分</w:t>
      </w:r>
      <w:r>
        <w:rPr>
          <w:rFonts w:hint="eastAsia" w:ascii="Times New Roman" w:hAnsi="Times New Roman" w:eastAsia="仿宋_GB2312"/>
          <w:b/>
          <w:kern w:val="0"/>
          <w:sz w:val="28"/>
          <w:szCs w:val="28"/>
        </w:rPr>
        <w:t>设施扶持目录</w:t>
      </w:r>
    </w:p>
    <w:tbl>
      <w:tblPr>
        <w:tblStyle w:val="3"/>
        <w:tblW w:w="8984" w:type="dxa"/>
        <w:tblInd w:w="88" w:type="dxa"/>
        <w:tblLayout w:type="fixed"/>
        <w:tblCellMar>
          <w:top w:w="0" w:type="dxa"/>
          <w:left w:w="108" w:type="dxa"/>
          <w:bottom w:w="0" w:type="dxa"/>
          <w:right w:w="108" w:type="dxa"/>
        </w:tblCellMar>
      </w:tblPr>
      <w:tblGrid>
        <w:gridCol w:w="1900"/>
        <w:gridCol w:w="7084"/>
      </w:tblGrid>
      <w:tr w14:paraId="276DB10E">
        <w:tblPrEx>
          <w:tblCellMar>
            <w:top w:w="0" w:type="dxa"/>
            <w:left w:w="108" w:type="dxa"/>
            <w:bottom w:w="0" w:type="dxa"/>
            <w:right w:w="108" w:type="dxa"/>
          </w:tblCellMar>
        </w:tblPrEx>
        <w:trPr>
          <w:trHeight w:val="360" w:hRule="atLeast"/>
        </w:trPr>
        <w:tc>
          <w:tcPr>
            <w:tcW w:w="1900" w:type="dxa"/>
            <w:tcBorders>
              <w:top w:val="single" w:color="auto" w:sz="4" w:space="0"/>
              <w:left w:val="single" w:color="auto" w:sz="4" w:space="0"/>
              <w:bottom w:val="single" w:color="auto" w:sz="4" w:space="0"/>
              <w:right w:val="single" w:color="auto" w:sz="4" w:space="0"/>
            </w:tcBorders>
            <w:shd w:val="clear" w:color="auto" w:fill="auto"/>
            <w:vAlign w:val="center"/>
          </w:tcPr>
          <w:p w14:paraId="1A0C768C">
            <w:pPr>
              <w:jc w:val="center"/>
              <w:rPr>
                <w:rFonts w:ascii="Times New Roman" w:hAnsi="Times New Roman" w:cs="宋体"/>
                <w:sz w:val="24"/>
              </w:rPr>
            </w:pPr>
            <w:r>
              <w:rPr>
                <w:rFonts w:hint="eastAsia" w:ascii="Times New Roman" w:hAnsi="Times New Roman"/>
              </w:rPr>
              <w:t>类别</w:t>
            </w:r>
          </w:p>
        </w:tc>
        <w:tc>
          <w:tcPr>
            <w:tcW w:w="7084" w:type="dxa"/>
            <w:tcBorders>
              <w:top w:val="single" w:color="auto" w:sz="4" w:space="0"/>
              <w:left w:val="nil"/>
              <w:bottom w:val="single" w:color="auto" w:sz="4" w:space="0"/>
              <w:right w:val="single" w:color="auto" w:sz="4" w:space="0"/>
            </w:tcBorders>
            <w:shd w:val="clear" w:color="auto" w:fill="auto"/>
            <w:vAlign w:val="center"/>
          </w:tcPr>
          <w:p w14:paraId="66FB72CC">
            <w:pPr>
              <w:jc w:val="center"/>
              <w:rPr>
                <w:rFonts w:ascii="Times New Roman" w:hAnsi="Times New Roman" w:cs="宋体"/>
                <w:sz w:val="24"/>
              </w:rPr>
            </w:pPr>
            <w:r>
              <w:rPr>
                <w:rFonts w:hint="eastAsia" w:ascii="Times New Roman" w:hAnsi="Times New Roman"/>
              </w:rPr>
              <w:t>参考技术标准和要求</w:t>
            </w:r>
          </w:p>
        </w:tc>
      </w:tr>
      <w:tr w14:paraId="2BA0E683">
        <w:tblPrEx>
          <w:tblCellMar>
            <w:top w:w="0" w:type="dxa"/>
            <w:left w:w="108" w:type="dxa"/>
            <w:bottom w:w="0" w:type="dxa"/>
            <w:right w:w="108" w:type="dxa"/>
          </w:tblCellMar>
        </w:tblPrEx>
        <w:trPr>
          <w:trHeight w:val="285" w:hRule="atLeast"/>
        </w:trPr>
        <w:tc>
          <w:tcPr>
            <w:tcW w:w="1900" w:type="dxa"/>
            <w:tcBorders>
              <w:top w:val="nil"/>
              <w:left w:val="single" w:color="auto" w:sz="4" w:space="0"/>
              <w:bottom w:val="single" w:color="auto" w:sz="4" w:space="0"/>
              <w:right w:val="single" w:color="auto" w:sz="4" w:space="0"/>
            </w:tcBorders>
            <w:shd w:val="clear" w:color="auto" w:fill="auto"/>
            <w:vAlign w:val="center"/>
          </w:tcPr>
          <w:p w14:paraId="2793844E">
            <w:pPr>
              <w:rPr>
                <w:rFonts w:ascii="Times New Roman" w:hAnsi="Times New Roman" w:cs="宋体"/>
                <w:sz w:val="22"/>
                <w:szCs w:val="22"/>
              </w:rPr>
            </w:pPr>
            <w:r>
              <w:rPr>
                <w:rFonts w:hint="eastAsia" w:ascii="Times New Roman" w:hAnsi="Times New Roman"/>
                <w:sz w:val="22"/>
                <w:szCs w:val="22"/>
              </w:rPr>
              <w:t>　</w:t>
            </w:r>
          </w:p>
        </w:tc>
        <w:tc>
          <w:tcPr>
            <w:tcW w:w="7084" w:type="dxa"/>
            <w:tcBorders>
              <w:top w:val="nil"/>
              <w:left w:val="nil"/>
              <w:bottom w:val="single" w:color="auto" w:sz="4" w:space="0"/>
              <w:right w:val="single" w:color="auto" w:sz="4" w:space="0"/>
            </w:tcBorders>
            <w:shd w:val="clear" w:color="auto" w:fill="auto"/>
            <w:vAlign w:val="center"/>
          </w:tcPr>
          <w:p w14:paraId="5699320A">
            <w:pPr>
              <w:rPr>
                <w:rFonts w:ascii="Times New Roman" w:hAnsi="Times New Roman" w:cs="宋体"/>
                <w:sz w:val="22"/>
                <w:szCs w:val="22"/>
              </w:rPr>
            </w:pPr>
            <w:r>
              <w:rPr>
                <w:rFonts w:hint="eastAsia" w:ascii="Times New Roman" w:hAnsi="Times New Roman"/>
                <w:sz w:val="22"/>
                <w:szCs w:val="22"/>
              </w:rPr>
              <w:t>注：仅供参考，有国标或省标的设施类型以国标或省标为准。</w:t>
            </w:r>
          </w:p>
        </w:tc>
      </w:tr>
      <w:tr w14:paraId="7DAAFFA0">
        <w:tblPrEx>
          <w:tblCellMar>
            <w:top w:w="0" w:type="dxa"/>
            <w:left w:w="108" w:type="dxa"/>
            <w:bottom w:w="0" w:type="dxa"/>
            <w:right w:w="108" w:type="dxa"/>
          </w:tblCellMar>
        </w:tblPrEx>
        <w:trPr>
          <w:trHeight w:val="570" w:hRule="atLeast"/>
        </w:trPr>
        <w:tc>
          <w:tcPr>
            <w:tcW w:w="1900" w:type="dxa"/>
            <w:tcBorders>
              <w:top w:val="nil"/>
              <w:left w:val="single" w:color="auto" w:sz="4" w:space="0"/>
              <w:bottom w:val="single" w:color="auto" w:sz="4" w:space="0"/>
              <w:right w:val="single" w:color="auto" w:sz="4" w:space="0"/>
            </w:tcBorders>
            <w:shd w:val="clear" w:color="auto" w:fill="auto"/>
            <w:vAlign w:val="center"/>
          </w:tcPr>
          <w:p w14:paraId="4363E737">
            <w:pPr>
              <w:rPr>
                <w:rFonts w:hint="eastAsia" w:ascii="Times New Roman" w:hAnsi="Times New Roman"/>
                <w:sz w:val="22"/>
                <w:szCs w:val="22"/>
              </w:rPr>
            </w:pPr>
            <w:r>
              <w:rPr>
                <w:rFonts w:hint="eastAsia" w:ascii="Times New Roman" w:hAnsi="Times New Roman"/>
                <w:sz w:val="22"/>
                <w:szCs w:val="22"/>
              </w:rPr>
              <w:t>单体钢架大棚</w:t>
            </w:r>
          </w:p>
        </w:tc>
        <w:tc>
          <w:tcPr>
            <w:tcW w:w="7084" w:type="dxa"/>
            <w:tcBorders>
              <w:top w:val="nil"/>
              <w:left w:val="nil"/>
              <w:bottom w:val="single" w:color="auto" w:sz="4" w:space="0"/>
              <w:right w:val="single" w:color="auto" w:sz="4" w:space="0"/>
            </w:tcBorders>
            <w:shd w:val="clear" w:color="auto" w:fill="auto"/>
            <w:vAlign w:val="center"/>
          </w:tcPr>
          <w:p w14:paraId="0DAD708E">
            <w:pPr>
              <w:rPr>
                <w:rFonts w:hint="eastAsia" w:ascii="Times New Roman" w:hAnsi="Times New Roman"/>
                <w:sz w:val="22"/>
                <w:szCs w:val="22"/>
              </w:rPr>
            </w:pPr>
            <w:r>
              <w:rPr>
                <w:rFonts w:hint="eastAsia" w:ascii="Times New Roman" w:hAnsi="Times New Roman"/>
                <w:sz w:val="22"/>
                <w:szCs w:val="22"/>
              </w:rPr>
              <w:t>参考《适合机械化作业的单体钢架塑料大棚技术规范》（DB32/T 3129-2016）、《钢管塑料大棚（单体）通用技术要求》（DB32/T 1590-2010）等相关规范文件中的主要标准要求</w:t>
            </w:r>
            <w:r>
              <w:rPr>
                <w:rFonts w:hint="eastAsia" w:ascii="Times New Roman" w:hAnsi="Times New Roman"/>
                <w:sz w:val="22"/>
                <w:szCs w:val="22"/>
                <w:lang w:eastAsia="zh-CN"/>
              </w:rPr>
              <w:t>。</w:t>
            </w:r>
          </w:p>
        </w:tc>
      </w:tr>
      <w:tr w14:paraId="57558334">
        <w:tblPrEx>
          <w:tblCellMar>
            <w:top w:w="0" w:type="dxa"/>
            <w:left w:w="108" w:type="dxa"/>
            <w:bottom w:w="0" w:type="dxa"/>
            <w:right w:w="108" w:type="dxa"/>
          </w:tblCellMar>
        </w:tblPrEx>
        <w:trPr>
          <w:trHeight w:val="540" w:hRule="atLeast"/>
        </w:trPr>
        <w:tc>
          <w:tcPr>
            <w:tcW w:w="1900" w:type="dxa"/>
            <w:tcBorders>
              <w:top w:val="nil"/>
              <w:left w:val="single" w:color="auto" w:sz="4" w:space="0"/>
              <w:bottom w:val="single" w:color="auto" w:sz="4" w:space="0"/>
              <w:right w:val="single" w:color="auto" w:sz="4" w:space="0"/>
            </w:tcBorders>
            <w:shd w:val="clear" w:color="auto" w:fill="auto"/>
            <w:vAlign w:val="center"/>
          </w:tcPr>
          <w:p w14:paraId="7E443A3B">
            <w:pPr>
              <w:rPr>
                <w:rFonts w:ascii="Times New Roman" w:hAnsi="Times New Roman" w:cs="宋体"/>
                <w:sz w:val="22"/>
                <w:szCs w:val="22"/>
              </w:rPr>
            </w:pPr>
            <w:r>
              <w:rPr>
                <w:rFonts w:hint="eastAsia" w:ascii="Times New Roman" w:hAnsi="Times New Roman"/>
                <w:sz w:val="22"/>
                <w:szCs w:val="22"/>
              </w:rPr>
              <w:t>钢架避雨设施</w:t>
            </w:r>
          </w:p>
        </w:tc>
        <w:tc>
          <w:tcPr>
            <w:tcW w:w="7084" w:type="dxa"/>
            <w:tcBorders>
              <w:top w:val="nil"/>
              <w:left w:val="nil"/>
              <w:bottom w:val="single" w:color="auto" w:sz="4" w:space="0"/>
              <w:right w:val="single" w:color="auto" w:sz="4" w:space="0"/>
            </w:tcBorders>
            <w:shd w:val="clear" w:color="auto" w:fill="auto"/>
            <w:vAlign w:val="center"/>
          </w:tcPr>
          <w:p w14:paraId="4CA2E6A3">
            <w:pPr>
              <w:rPr>
                <w:rFonts w:ascii="Times New Roman" w:hAnsi="Times New Roman" w:cs="宋体"/>
                <w:sz w:val="22"/>
                <w:szCs w:val="22"/>
              </w:rPr>
            </w:pPr>
            <w:r>
              <w:rPr>
                <w:rFonts w:hint="eastAsia" w:ascii="Times New Roman" w:hAnsi="Times New Roman"/>
                <w:sz w:val="22"/>
                <w:szCs w:val="22"/>
              </w:rPr>
              <w:t>以壁厚2mm，管径25mm钢管为支柱（或100 mm *100 mm水泥柱），高2.1m，埋深60-100cm，管径25mm热镀锌钢管为主拱，拱管间距80cm，6米开间的钢架避雨设施。</w:t>
            </w:r>
          </w:p>
        </w:tc>
      </w:tr>
      <w:tr w14:paraId="55CA8AD3">
        <w:tblPrEx>
          <w:tblCellMar>
            <w:top w:w="0" w:type="dxa"/>
            <w:left w:w="108" w:type="dxa"/>
            <w:bottom w:w="0" w:type="dxa"/>
            <w:right w:w="108" w:type="dxa"/>
          </w:tblCellMar>
        </w:tblPrEx>
        <w:trPr>
          <w:trHeight w:val="1410" w:hRule="atLeast"/>
        </w:trPr>
        <w:tc>
          <w:tcPr>
            <w:tcW w:w="1900" w:type="dxa"/>
            <w:tcBorders>
              <w:top w:val="nil"/>
              <w:left w:val="single" w:color="auto" w:sz="4" w:space="0"/>
              <w:bottom w:val="single" w:color="auto" w:sz="4" w:space="0"/>
              <w:right w:val="single" w:color="auto" w:sz="4" w:space="0"/>
            </w:tcBorders>
            <w:shd w:val="clear" w:color="auto" w:fill="auto"/>
            <w:vAlign w:val="center"/>
          </w:tcPr>
          <w:p w14:paraId="15C03124">
            <w:pPr>
              <w:rPr>
                <w:rFonts w:ascii="Times New Roman" w:hAnsi="Times New Roman" w:cs="宋体"/>
                <w:sz w:val="22"/>
                <w:szCs w:val="22"/>
              </w:rPr>
            </w:pPr>
            <w:r>
              <w:rPr>
                <w:rFonts w:hint="eastAsia" w:ascii="Times New Roman" w:hAnsi="Times New Roman"/>
                <w:sz w:val="22"/>
                <w:szCs w:val="22"/>
              </w:rPr>
              <w:t>防鸟网</w:t>
            </w:r>
          </w:p>
        </w:tc>
        <w:tc>
          <w:tcPr>
            <w:tcW w:w="7084" w:type="dxa"/>
            <w:tcBorders>
              <w:top w:val="nil"/>
              <w:left w:val="nil"/>
              <w:bottom w:val="single" w:color="auto" w:sz="4" w:space="0"/>
              <w:right w:val="single" w:color="auto" w:sz="4" w:space="0"/>
            </w:tcBorders>
            <w:shd w:val="clear" w:color="auto" w:fill="auto"/>
            <w:vAlign w:val="center"/>
          </w:tcPr>
          <w:p w14:paraId="4BE94DFE">
            <w:pPr>
              <w:rPr>
                <w:rFonts w:ascii="Times New Roman" w:hAnsi="Times New Roman" w:cs="宋体"/>
                <w:sz w:val="22"/>
                <w:szCs w:val="22"/>
              </w:rPr>
            </w:pPr>
            <w:r>
              <w:rPr>
                <w:rFonts w:hint="eastAsia" w:ascii="Times New Roman" w:hAnsi="Times New Roman"/>
                <w:sz w:val="22"/>
                <w:szCs w:val="22"/>
              </w:rPr>
              <w:t>采用钢管或水泥柱作支撑架，高3-4m，埋深60-100cm，间隔5m左右。四角的钢管直径75mm以上，壁厚3.2mm以上，借助水泥墩生根，并用钢索斜拉固定。四边的钢管直径50mm以上，壁厚3mm以上，用钢索斜拉固定。中间支撑钢管直径40mm以上，壁厚2.5mm以上。水泥立柱（100 mm *100 mm）内置4根直径6 mm钢筋，4道钢筋扎箍，四角水泥柱借助水泥墩生根，四边水泥柱用钢索斜拉固定。顶端用直径8-10mm的多股钢索拉紧形成整体框架。根据生产实际需要上覆尼龙浸塑或聚乙烯单丝防鸟网，网眼4*4cm以内。单个田块面积20亩左右为宜。</w:t>
            </w:r>
          </w:p>
        </w:tc>
      </w:tr>
      <w:tr w14:paraId="5C483F0C">
        <w:tblPrEx>
          <w:tblCellMar>
            <w:top w:w="0" w:type="dxa"/>
            <w:left w:w="108" w:type="dxa"/>
            <w:bottom w:w="0" w:type="dxa"/>
            <w:right w:w="108" w:type="dxa"/>
          </w:tblCellMar>
        </w:tblPrEx>
        <w:trPr>
          <w:trHeight w:val="750" w:hRule="atLeast"/>
        </w:trPr>
        <w:tc>
          <w:tcPr>
            <w:tcW w:w="1900" w:type="dxa"/>
            <w:tcBorders>
              <w:top w:val="nil"/>
              <w:left w:val="single" w:color="auto" w:sz="4" w:space="0"/>
              <w:bottom w:val="single" w:color="auto" w:sz="4" w:space="0"/>
              <w:right w:val="single" w:color="auto" w:sz="4" w:space="0"/>
            </w:tcBorders>
            <w:shd w:val="clear" w:color="auto" w:fill="auto"/>
            <w:vAlign w:val="center"/>
          </w:tcPr>
          <w:p w14:paraId="694E0BE4">
            <w:pPr>
              <w:widowControl/>
              <w:jc w:val="left"/>
              <w:rPr>
                <w:rFonts w:ascii="Times New Roman" w:hAnsi="Times New Roman" w:cs="宋体"/>
                <w:kern w:val="0"/>
                <w:sz w:val="22"/>
              </w:rPr>
            </w:pPr>
            <w:r>
              <w:rPr>
                <w:rFonts w:hint="eastAsia" w:ascii="Times New Roman" w:hAnsi="Times New Roman" w:cs="宋体"/>
                <w:kern w:val="0"/>
                <w:sz w:val="22"/>
              </w:rPr>
              <w:t>连</w:t>
            </w:r>
            <w:r>
              <w:rPr>
                <w:rFonts w:hint="eastAsia" w:ascii="Times New Roman" w:hAnsi="Times New Roman" w:cs="宋体"/>
                <w:kern w:val="0"/>
                <w:sz w:val="22"/>
                <w:lang w:val="en-US" w:eastAsia="zh-CN"/>
              </w:rPr>
              <w:t>栋</w:t>
            </w:r>
            <w:r>
              <w:rPr>
                <w:rFonts w:hint="eastAsia" w:ascii="Times New Roman" w:hAnsi="Times New Roman" w:cs="宋体"/>
                <w:kern w:val="0"/>
                <w:sz w:val="22"/>
              </w:rPr>
              <w:t>塑料温室</w:t>
            </w:r>
          </w:p>
        </w:tc>
        <w:tc>
          <w:tcPr>
            <w:tcW w:w="7084" w:type="dxa"/>
            <w:tcBorders>
              <w:top w:val="nil"/>
              <w:left w:val="nil"/>
              <w:bottom w:val="single" w:color="auto" w:sz="4" w:space="0"/>
              <w:right w:val="single" w:color="auto" w:sz="4" w:space="0"/>
            </w:tcBorders>
            <w:shd w:val="clear" w:color="auto" w:fill="auto"/>
            <w:vAlign w:val="center"/>
          </w:tcPr>
          <w:p w14:paraId="3446C14D">
            <w:pPr>
              <w:widowControl/>
              <w:jc w:val="left"/>
              <w:rPr>
                <w:rFonts w:hint="eastAsia" w:ascii="Times New Roman" w:hAnsi="Times New Roman" w:eastAsia="宋体" w:cs="宋体"/>
                <w:kern w:val="0"/>
                <w:sz w:val="22"/>
                <w:lang w:eastAsia="zh-CN"/>
              </w:rPr>
            </w:pPr>
            <w:r>
              <w:rPr>
                <w:rFonts w:hint="eastAsia" w:ascii="Times New Roman" w:hAnsi="Times New Roman" w:cs="宋体"/>
                <w:kern w:val="0"/>
                <w:sz w:val="22"/>
                <w:lang w:val="en-US" w:eastAsia="zh-CN"/>
              </w:rPr>
              <w:t>参照</w:t>
            </w:r>
            <w:bookmarkStart w:id="0" w:name="OLE_LINK3"/>
            <w:r>
              <w:rPr>
                <w:rFonts w:hint="eastAsia" w:ascii="Times New Roman" w:hAnsi="Times New Roman"/>
                <w:sz w:val="22"/>
                <w:szCs w:val="22"/>
              </w:rPr>
              <w:t>《连栋温室建设标准》（NY/T 2970-2016）、《连栋塑料薄膜温室建造技术规范》（DB32/T 4757-2024）</w:t>
            </w:r>
            <w:bookmarkEnd w:id="0"/>
            <w:r>
              <w:rPr>
                <w:rFonts w:hint="eastAsia" w:ascii="Times New Roman" w:hAnsi="Times New Roman"/>
                <w:sz w:val="22"/>
                <w:szCs w:val="22"/>
              </w:rPr>
              <w:t>等相关规范文件中的主要标准要求</w:t>
            </w:r>
          </w:p>
        </w:tc>
      </w:tr>
      <w:tr w14:paraId="7E7B5DDE">
        <w:tblPrEx>
          <w:tblCellMar>
            <w:top w:w="0" w:type="dxa"/>
            <w:left w:w="108" w:type="dxa"/>
            <w:bottom w:w="0" w:type="dxa"/>
            <w:right w:w="108" w:type="dxa"/>
          </w:tblCellMar>
        </w:tblPrEx>
        <w:trPr>
          <w:trHeight w:val="1305" w:hRule="atLeast"/>
        </w:trPr>
        <w:tc>
          <w:tcPr>
            <w:tcW w:w="1900" w:type="dxa"/>
            <w:tcBorders>
              <w:top w:val="nil"/>
              <w:left w:val="single" w:color="auto" w:sz="4" w:space="0"/>
              <w:bottom w:val="single" w:color="auto" w:sz="4" w:space="0"/>
              <w:right w:val="single" w:color="auto" w:sz="4" w:space="0"/>
            </w:tcBorders>
            <w:shd w:val="clear" w:color="auto" w:fill="auto"/>
            <w:vAlign w:val="center"/>
          </w:tcPr>
          <w:p w14:paraId="5AD4E895">
            <w:pPr>
              <w:rPr>
                <w:rFonts w:ascii="Times New Roman" w:hAnsi="Times New Roman" w:cs="宋体"/>
                <w:sz w:val="22"/>
                <w:szCs w:val="22"/>
              </w:rPr>
            </w:pPr>
            <w:r>
              <w:rPr>
                <w:rFonts w:hint="eastAsia" w:ascii="Times New Roman" w:hAnsi="Times New Roman"/>
                <w:sz w:val="22"/>
                <w:szCs w:val="22"/>
              </w:rPr>
              <w:t>高架式水平防虫网</w:t>
            </w:r>
          </w:p>
        </w:tc>
        <w:tc>
          <w:tcPr>
            <w:tcW w:w="7084" w:type="dxa"/>
            <w:tcBorders>
              <w:top w:val="nil"/>
              <w:left w:val="nil"/>
              <w:bottom w:val="single" w:color="auto" w:sz="4" w:space="0"/>
              <w:right w:val="single" w:color="auto" w:sz="4" w:space="0"/>
            </w:tcBorders>
            <w:shd w:val="clear" w:color="auto" w:fill="auto"/>
            <w:vAlign w:val="center"/>
          </w:tcPr>
          <w:p w14:paraId="695D2B89">
            <w:pPr>
              <w:rPr>
                <w:rFonts w:ascii="Times New Roman" w:hAnsi="Times New Roman" w:cs="宋体"/>
                <w:sz w:val="22"/>
                <w:szCs w:val="22"/>
              </w:rPr>
            </w:pPr>
            <w:r>
              <w:rPr>
                <w:rFonts w:hint="eastAsia" w:ascii="Times New Roman" w:hAnsi="Times New Roman"/>
                <w:sz w:val="22"/>
                <w:szCs w:val="22"/>
              </w:rPr>
              <w:t>采用60mm *60mm方钢管或100mm *100mm水泥柱作支撑架。立柱高2.6-3米，埋深60-80厘米，间距8米，四周立柱用钢索斜拉固定；顶部用钢索或</w:t>
            </w:r>
            <w:r>
              <w:rPr>
                <w:rFonts w:hint="eastAsia" w:ascii="Times New Roman" w:hAnsi="Times New Roman"/>
                <w:sz w:val="22"/>
                <w:szCs w:val="22"/>
                <w:lang w:eastAsia="zh-CN"/>
              </w:rPr>
              <w:t>桁架</w:t>
            </w:r>
            <w:r>
              <w:rPr>
                <w:rFonts w:hint="eastAsia" w:ascii="Times New Roman" w:hAnsi="Times New Roman"/>
                <w:sz w:val="22"/>
                <w:szCs w:val="22"/>
              </w:rPr>
              <w:t>连接并固定。顶部和四周分别根据生产实际需要覆盖防虫网，成棚面积以3亩左右为宜。防虫网目数范围在18—22目之间。水泥柱内置4根直径5.5mm钢筋，4道钢筋扎箍，上端用橡胶皮包扎。</w:t>
            </w:r>
          </w:p>
        </w:tc>
      </w:tr>
      <w:tr w14:paraId="07474587">
        <w:tblPrEx>
          <w:tblCellMar>
            <w:top w:w="0" w:type="dxa"/>
            <w:left w:w="108" w:type="dxa"/>
            <w:bottom w:w="0" w:type="dxa"/>
            <w:right w:w="108" w:type="dxa"/>
          </w:tblCellMar>
        </w:tblPrEx>
        <w:trPr>
          <w:trHeight w:val="1020" w:hRule="atLeast"/>
        </w:trPr>
        <w:tc>
          <w:tcPr>
            <w:tcW w:w="1900" w:type="dxa"/>
            <w:tcBorders>
              <w:top w:val="single" w:color="auto" w:sz="4" w:space="0"/>
              <w:left w:val="single" w:color="auto" w:sz="4" w:space="0"/>
              <w:bottom w:val="single" w:color="auto" w:sz="4" w:space="0"/>
              <w:right w:val="single" w:color="auto" w:sz="4" w:space="0"/>
            </w:tcBorders>
            <w:shd w:val="clear" w:color="auto" w:fill="auto"/>
            <w:vAlign w:val="center"/>
          </w:tcPr>
          <w:p w14:paraId="40CE1C19">
            <w:pPr>
              <w:rPr>
                <w:rFonts w:ascii="Times New Roman" w:hAnsi="Times New Roman" w:cs="宋体"/>
                <w:sz w:val="22"/>
                <w:szCs w:val="22"/>
              </w:rPr>
            </w:pPr>
            <w:r>
              <w:rPr>
                <w:rFonts w:hint="eastAsia" w:ascii="Times New Roman" w:hAnsi="Times New Roman"/>
                <w:sz w:val="22"/>
                <w:szCs w:val="22"/>
              </w:rPr>
              <w:t>喷滴灌系统</w:t>
            </w:r>
          </w:p>
        </w:tc>
        <w:tc>
          <w:tcPr>
            <w:tcW w:w="7084" w:type="dxa"/>
            <w:tcBorders>
              <w:top w:val="single" w:color="auto" w:sz="4" w:space="0"/>
              <w:left w:val="single" w:color="auto" w:sz="4" w:space="0"/>
              <w:bottom w:val="single" w:color="auto" w:sz="4" w:space="0"/>
              <w:right w:val="single" w:color="auto" w:sz="4" w:space="0"/>
            </w:tcBorders>
            <w:shd w:val="clear" w:color="auto" w:fill="auto"/>
            <w:vAlign w:val="center"/>
          </w:tcPr>
          <w:p w14:paraId="49E53225">
            <w:pPr>
              <w:rPr>
                <w:rFonts w:ascii="Times New Roman" w:hAnsi="Times New Roman" w:cs="宋体"/>
                <w:sz w:val="22"/>
                <w:szCs w:val="22"/>
              </w:rPr>
            </w:pPr>
            <w:r>
              <w:rPr>
                <w:rFonts w:hint="eastAsia" w:ascii="Times New Roman" w:hAnsi="Times New Roman"/>
                <w:sz w:val="22"/>
                <w:szCs w:val="22"/>
              </w:rPr>
              <w:t>每亩配置各类滴灌带200米以上，或各类管上滴头50个以上，或各类微喷头20个以上，或各类大田喷头8个以上；田间地埋PVC主管20米以上；配置首部系统（包括5kw以上水泵1台、控制柜、过滤器等）。根据需要配套泵站、蓄水池、主灌溉渠道等附属设施。</w:t>
            </w:r>
          </w:p>
        </w:tc>
      </w:tr>
      <w:tr w14:paraId="1F108805">
        <w:tblPrEx>
          <w:tblCellMar>
            <w:top w:w="0" w:type="dxa"/>
            <w:left w:w="108" w:type="dxa"/>
            <w:bottom w:w="0" w:type="dxa"/>
            <w:right w:w="108" w:type="dxa"/>
          </w:tblCellMar>
        </w:tblPrEx>
        <w:trPr>
          <w:trHeight w:val="1020" w:hRule="atLeast"/>
        </w:trPr>
        <w:tc>
          <w:tcPr>
            <w:tcW w:w="1900" w:type="dxa"/>
            <w:tcBorders>
              <w:top w:val="single" w:color="auto" w:sz="4" w:space="0"/>
              <w:left w:val="single" w:color="auto" w:sz="4" w:space="0"/>
              <w:bottom w:val="single" w:color="auto" w:sz="4" w:space="0"/>
              <w:right w:val="single" w:color="auto" w:sz="4" w:space="0"/>
            </w:tcBorders>
            <w:shd w:val="clear" w:color="auto" w:fill="auto"/>
            <w:vAlign w:val="center"/>
          </w:tcPr>
          <w:p w14:paraId="0C105714">
            <w:pPr>
              <w:rPr>
                <w:rFonts w:hint="eastAsia" w:ascii="Times New Roman" w:hAnsi="Times New Roman" w:eastAsia="宋体"/>
                <w:sz w:val="22"/>
                <w:szCs w:val="22"/>
                <w:lang w:val="en-US" w:eastAsia="zh-CN"/>
              </w:rPr>
            </w:pPr>
            <w:r>
              <w:rPr>
                <w:rFonts w:hint="eastAsia" w:ascii="Times New Roman" w:hAnsi="Times New Roman"/>
                <w:sz w:val="22"/>
                <w:szCs w:val="22"/>
                <w:lang w:val="en-US" w:eastAsia="zh-CN"/>
              </w:rPr>
              <w:t>老旧低效设施改造提升</w:t>
            </w:r>
          </w:p>
        </w:tc>
        <w:tc>
          <w:tcPr>
            <w:tcW w:w="7084" w:type="dxa"/>
            <w:tcBorders>
              <w:top w:val="single" w:color="auto" w:sz="4" w:space="0"/>
              <w:left w:val="single" w:color="auto" w:sz="4" w:space="0"/>
              <w:bottom w:val="single" w:color="auto" w:sz="4" w:space="0"/>
              <w:right w:val="single" w:color="auto" w:sz="4" w:space="0"/>
            </w:tcBorders>
            <w:shd w:val="clear" w:color="auto" w:fill="auto"/>
            <w:vAlign w:val="center"/>
          </w:tcPr>
          <w:p w14:paraId="37004509">
            <w:pPr>
              <w:rPr>
                <w:rFonts w:hint="eastAsia" w:ascii="Times New Roman" w:hAnsi="Times New Roman"/>
                <w:sz w:val="22"/>
                <w:szCs w:val="22"/>
              </w:rPr>
            </w:pPr>
            <w:r>
              <w:rPr>
                <w:rFonts w:hint="eastAsia" w:ascii="Times New Roman" w:hAnsi="Times New Roman"/>
                <w:sz w:val="22"/>
                <w:szCs w:val="22"/>
              </w:rPr>
              <w:t>参考《老旧低效设施蔬菜基地改造提升技术指导意见（试行）》（农技栽培〔2025〕6号）</w:t>
            </w:r>
          </w:p>
        </w:tc>
      </w:tr>
    </w:tbl>
    <w:p w14:paraId="4C755AD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四、补助标准</w:t>
      </w:r>
    </w:p>
    <w:p w14:paraId="3619B88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现代蔬菜园艺高质量发展设施建设项目市级</w:t>
      </w:r>
      <w:bookmarkStart w:id="1" w:name="OLE_LINK1"/>
      <w:r>
        <w:rPr>
          <w:rFonts w:hint="eastAsia" w:ascii="Times New Roman" w:hAnsi="Times New Roman" w:eastAsia="方正仿宋_GBK" w:cs="方正仿宋_GBK"/>
          <w:color w:val="000000"/>
          <w:sz w:val="32"/>
          <w:szCs w:val="32"/>
        </w:rPr>
        <w:t>财政</w:t>
      </w:r>
      <w:bookmarkEnd w:id="1"/>
      <w:r>
        <w:rPr>
          <w:rFonts w:hint="eastAsia" w:ascii="Times New Roman" w:hAnsi="Times New Roman" w:eastAsia="方正仿宋_GBK" w:cs="方正仿宋_GBK"/>
          <w:color w:val="000000"/>
          <w:sz w:val="32"/>
          <w:szCs w:val="32"/>
        </w:rPr>
        <w:t>资金补助原则上</w:t>
      </w:r>
      <w:r>
        <w:rPr>
          <w:rFonts w:hint="eastAsia" w:ascii="Times New Roman" w:hAnsi="Times New Roman" w:eastAsia="方正仿宋_GBK" w:cs="方正仿宋_GBK"/>
          <w:color w:val="000000"/>
          <w:sz w:val="32"/>
          <w:szCs w:val="32"/>
          <w:lang w:val="en-US" w:eastAsia="zh-CN"/>
        </w:rPr>
        <w:t>不超过</w:t>
      </w:r>
      <w:r>
        <w:rPr>
          <w:rFonts w:hint="eastAsia" w:ascii="Times New Roman" w:hAnsi="Times New Roman" w:eastAsia="方正仿宋_GBK" w:cs="方正仿宋_GBK"/>
          <w:color w:val="000000"/>
          <w:sz w:val="32"/>
          <w:szCs w:val="32"/>
        </w:rPr>
        <w:t>项目总投资的50%</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rPr>
        <w:t>对争取到省级及以上资金的项目，市级资金按1:1配套，单个项目补助金额不超过总投资的60%。</w:t>
      </w:r>
    </w:p>
    <w:p w14:paraId="0B8285D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五、建设要求</w:t>
      </w:r>
    </w:p>
    <w:p w14:paraId="3A214D7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符合优势产业发展规划要求和土地管理政策，规模集中连片，8332钢架大棚、</w:t>
      </w:r>
      <w:r>
        <w:rPr>
          <w:rFonts w:hint="eastAsia" w:ascii="Times New Roman" w:hAnsi="Times New Roman" w:eastAsia="方正仿宋_GBK" w:cs="方正仿宋_GBK"/>
          <w:color w:val="000000"/>
          <w:sz w:val="32"/>
          <w:szCs w:val="32"/>
          <w:lang w:eastAsia="zh-CN"/>
        </w:rPr>
        <w:t>宽体大棚、</w:t>
      </w:r>
      <w:r>
        <w:rPr>
          <w:rFonts w:hint="eastAsia" w:ascii="Times New Roman" w:hAnsi="Times New Roman" w:eastAsia="方正仿宋_GBK" w:cs="方正仿宋_GBK"/>
          <w:color w:val="000000"/>
          <w:sz w:val="32"/>
          <w:szCs w:val="32"/>
        </w:rPr>
        <w:t>钢架避雨设施、防鸟网、高架式水平防虫网设施建设面积不少于</w:t>
      </w:r>
      <w:r>
        <w:rPr>
          <w:rFonts w:hint="eastAsia" w:ascii="Times New Roman" w:hAnsi="Times New Roman" w:eastAsia="方正仿宋_GBK" w:cs="方正仿宋_GBK"/>
          <w:color w:val="000000"/>
          <w:sz w:val="32"/>
          <w:szCs w:val="32"/>
          <w:lang w:val="en-US" w:eastAsia="zh-CN"/>
        </w:rPr>
        <w:t>10</w:t>
      </w:r>
      <w:r>
        <w:rPr>
          <w:rFonts w:hint="eastAsia" w:ascii="Times New Roman" w:hAnsi="Times New Roman" w:eastAsia="方正仿宋_GBK" w:cs="方正仿宋_GBK"/>
          <w:color w:val="000000"/>
          <w:sz w:val="32"/>
          <w:szCs w:val="32"/>
        </w:rPr>
        <w:t>亩；连</w:t>
      </w:r>
      <w:r>
        <w:rPr>
          <w:rFonts w:hint="eastAsia" w:ascii="Times New Roman" w:hAnsi="Times New Roman" w:eastAsia="方正仿宋_GBK" w:cs="方正仿宋_GBK"/>
          <w:color w:val="000000"/>
          <w:sz w:val="32"/>
          <w:szCs w:val="32"/>
          <w:lang w:val="en-US" w:eastAsia="zh-CN"/>
        </w:rPr>
        <w:t>栋</w:t>
      </w:r>
      <w:r>
        <w:rPr>
          <w:rFonts w:hint="eastAsia" w:ascii="Times New Roman" w:hAnsi="Times New Roman" w:eastAsia="方正仿宋_GBK" w:cs="方正仿宋_GBK"/>
          <w:color w:val="000000"/>
          <w:sz w:val="32"/>
          <w:szCs w:val="32"/>
        </w:rPr>
        <w:t>塑料温室不少于5000㎡；喷滴灌不少于</w:t>
      </w:r>
      <w:r>
        <w:rPr>
          <w:rFonts w:hint="eastAsia" w:ascii="Times New Roman" w:hAnsi="Times New Roman" w:eastAsia="方正仿宋_GBK" w:cs="方正仿宋_GBK"/>
          <w:color w:val="000000"/>
          <w:sz w:val="32"/>
          <w:szCs w:val="32"/>
          <w:lang w:val="en-US" w:eastAsia="zh-CN"/>
        </w:rPr>
        <w:t>10</w:t>
      </w:r>
      <w:r>
        <w:rPr>
          <w:rFonts w:hint="eastAsia" w:ascii="Times New Roman" w:hAnsi="Times New Roman" w:eastAsia="方正仿宋_GBK" w:cs="方正仿宋_GBK"/>
          <w:color w:val="000000"/>
          <w:sz w:val="32"/>
          <w:szCs w:val="32"/>
        </w:rPr>
        <w:t>亩。</w:t>
      </w:r>
    </w:p>
    <w:p w14:paraId="3D520E6C">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br w:type="page"/>
      </w:r>
    </w:p>
    <w:p w14:paraId="2658B44F">
      <w:pPr>
        <w:keepNext w:val="0"/>
        <w:keepLines w:val="0"/>
        <w:pageBreakBefore w:val="0"/>
        <w:widowControl w:val="0"/>
        <w:kinsoku/>
        <w:wordWrap/>
        <w:overflowPunct/>
        <w:topLinePunct w:val="0"/>
        <w:autoSpaceDE/>
        <w:autoSpaceDN/>
        <w:bidi w:val="0"/>
        <w:adjustRightInd/>
        <w:snapToGrid/>
        <w:spacing w:line="660" w:lineRule="exact"/>
        <w:ind w:right="0" w:rightChars="0"/>
        <w:jc w:val="center"/>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小标宋简体"/>
          <w:sz w:val="44"/>
          <w:szCs w:val="44"/>
          <w:lang w:val="en-US" w:eastAsia="zh-CN"/>
        </w:rPr>
        <w:t>2025年现代农业发展专项——衔接推进乡村振兴补助资金实施指导意见</w:t>
      </w:r>
    </w:p>
    <w:p w14:paraId="4B45D57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w:hAnsi="Times New Roman" w:eastAsia="黑体" w:cs="黑体"/>
          <w:b w:val="0"/>
          <w:bCs w:val="0"/>
          <w:sz w:val="32"/>
          <w:szCs w:val="32"/>
        </w:rPr>
      </w:pPr>
    </w:p>
    <w:p w14:paraId="4690F09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一、指导性任务</w:t>
      </w:r>
    </w:p>
    <w:p w14:paraId="5B911C9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为贯彻落实</w:t>
      </w:r>
      <w:r>
        <w:rPr>
          <w:rFonts w:hint="eastAsia" w:ascii="Times New Roman" w:hAnsi="Times New Roman" w:eastAsia="方正仿宋_GBK" w:cs="方正仿宋_GBK"/>
          <w:sz w:val="32"/>
          <w:szCs w:val="32"/>
        </w:rPr>
        <w:t>党中央、省市</w:t>
      </w:r>
      <w:r>
        <w:rPr>
          <w:rFonts w:hint="eastAsia" w:ascii="Times New Roman" w:hAnsi="Times New Roman" w:eastAsia="方正仿宋_GBK" w:cs="方正仿宋_GBK"/>
          <w:sz w:val="32"/>
          <w:szCs w:val="32"/>
          <w:lang w:val="en-US" w:eastAsia="zh-CN"/>
        </w:rPr>
        <w:t>关于实现巩固拓展脱贫攻坚成果同乡村振兴有效衔接</w:t>
      </w:r>
      <w:r>
        <w:rPr>
          <w:rFonts w:hint="eastAsia" w:ascii="Times New Roman" w:hAnsi="Times New Roman" w:eastAsia="方正仿宋_GBK" w:cs="方正仿宋_GBK"/>
          <w:sz w:val="32"/>
          <w:szCs w:val="32"/>
        </w:rPr>
        <w:t>的决策部署，</w:t>
      </w:r>
      <w:r>
        <w:rPr>
          <w:rFonts w:hint="eastAsia" w:ascii="Times New Roman" w:hAnsi="Times New Roman" w:eastAsia="方正仿宋_GBK" w:cs="方正仿宋_GBK"/>
          <w:sz w:val="32"/>
          <w:szCs w:val="32"/>
          <w:lang w:val="en-US" w:eastAsia="zh-CN"/>
        </w:rPr>
        <w:t>坚持统筹推进、因地制宜、分类施策，规范公开、务求实效，支持重点街村优势特色产业发展类项目，接续推进乡村振兴工作高质量发展</w:t>
      </w:r>
      <w:r>
        <w:rPr>
          <w:rFonts w:hint="eastAsia" w:ascii="Times New Roman" w:hAnsi="Times New Roman" w:eastAsia="方正仿宋_GBK" w:cs="方正仿宋_GBK"/>
          <w:sz w:val="32"/>
          <w:szCs w:val="32"/>
        </w:rPr>
        <w:t>。</w:t>
      </w:r>
    </w:p>
    <w:p w14:paraId="74D1E24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二、工作目标</w:t>
      </w:r>
    </w:p>
    <w:p w14:paraId="00213C6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按照市级衔接推进乡村振兴补助资金项目管理，对照区农业农村局 区财政局《栖霞区2021年市级衔接推进乡村振兴补助资金项目申报指南》(宁栖农字〔2021〕139号)，以主导产业高质量发展、乡村振兴示范引导，发展壮大新型集体经济、建立低收入农户增收致富有效联结机制为主。</w:t>
      </w:r>
    </w:p>
    <w:p w14:paraId="036D682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三、工作内容</w:t>
      </w:r>
    </w:p>
    <w:p w14:paraId="3D6ABEC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按照乡村振兴重点镇街项目支持方向：1、培育和壮大重点地区优势特色产业，支持农业品种培优、品质提升、品牌打造；2、建设基础条件较好、主导产业突出、带动效果显著的农业产业强镇，培育一二三产融合的乡村特色产业集群；3、建设乡村振兴产业园、科技园、产业融合发展示范园；4、经济欠发达村（乡村振兴重点村）发展特色种养业、休闲观光等服务业及“一村一品”为主的产业发展类项目，鼓励采取“联合抱团”“异地发展”的方式，规划建设或购置仓储、冷库、标准厂房、门面房、农贸市场、设施大棚等经营性物业载体以及购买农机装备开展服务，承接农村小型惠农基础设施的建设、维护和运营等。</w:t>
      </w:r>
    </w:p>
    <w:p w14:paraId="02059A4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四、补助标准</w:t>
      </w:r>
    </w:p>
    <w:p w14:paraId="1D5A9D41">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val="0"/>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本次主要用于2025年市级衔接推进乡村振兴补助资金项目2个，资金共计</w:t>
      </w:r>
      <w:r>
        <w:rPr>
          <w:rFonts w:hint="eastAsia" w:ascii="Times New Roman" w:hAnsi="Times New Roman" w:eastAsia="方正仿宋_GBK" w:cs="方正仿宋_GBK"/>
          <w:color w:val="000000"/>
          <w:kern w:val="0"/>
          <w:sz w:val="32"/>
          <w:szCs w:val="32"/>
          <w:lang w:val="en-US" w:eastAsia="zh-CN" w:bidi="ar"/>
        </w:rPr>
        <w:t>190.4万元。</w:t>
      </w:r>
      <w:r>
        <w:rPr>
          <w:rFonts w:hint="eastAsia" w:ascii="Times New Roman" w:hAnsi="Times New Roman" w:eastAsia="方正仿宋_GBK" w:cs="方正仿宋_GBK"/>
          <w:b w:val="0"/>
          <w:bCs w:val="0"/>
          <w:kern w:val="2"/>
          <w:sz w:val="32"/>
          <w:szCs w:val="32"/>
          <w:lang w:val="en-US" w:eastAsia="zh-CN" w:bidi="ar-SA"/>
        </w:rPr>
        <w:t>其中支持街道项目140.4万元/个；支持行政村项目50万元/个。</w:t>
      </w:r>
    </w:p>
    <w:p w14:paraId="355C8762">
      <w:pPr>
        <w:rPr>
          <w:rFonts w:hint="eastAsia" w:ascii="Times New Roman" w:hAnsi="Times New Roman" w:eastAsia="方正仿宋_GBK" w:cs="方正仿宋_GBK"/>
          <w:sz w:val="32"/>
          <w:szCs w:val="32"/>
        </w:rPr>
      </w:pPr>
    </w:p>
    <w:p w14:paraId="2D93D14D">
      <w:pPr>
        <w:rPr>
          <w:rFonts w:hint="default" w:ascii="Times New Roman" w:hAnsi="Times New Roman" w:eastAsia="方正小标宋简体" w:cs="方正小标宋简体"/>
          <w:sz w:val="44"/>
          <w:szCs w:val="44"/>
        </w:rPr>
      </w:pPr>
      <w:r>
        <w:rPr>
          <w:rFonts w:hint="default" w:ascii="Times New Roman" w:hAnsi="Times New Roman" w:eastAsia="方正小标宋简体" w:cs="方正小标宋简体"/>
          <w:sz w:val="44"/>
          <w:szCs w:val="44"/>
        </w:rPr>
        <w:br w:type="page"/>
      </w:r>
    </w:p>
    <w:p w14:paraId="4F9822E1">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s="方正小标宋简体"/>
          <w:sz w:val="44"/>
          <w:szCs w:val="44"/>
        </w:rPr>
      </w:pPr>
      <w:r>
        <w:rPr>
          <w:rFonts w:hint="default" w:ascii="Times New Roman" w:hAnsi="Times New Roman" w:eastAsia="方正小标宋简体" w:cs="方正小标宋简体"/>
          <w:sz w:val="44"/>
          <w:szCs w:val="44"/>
        </w:rPr>
        <w:t>202</w:t>
      </w:r>
      <w:r>
        <w:rPr>
          <w:rFonts w:hint="eastAsia" w:ascii="Times New Roman" w:hAnsi="Times New Roman" w:eastAsia="方正小标宋简体" w:cs="方正小标宋简体"/>
          <w:sz w:val="44"/>
          <w:szCs w:val="44"/>
          <w:lang w:val="en-US" w:eastAsia="zh-CN"/>
        </w:rPr>
        <w:t>5</w:t>
      </w:r>
      <w:r>
        <w:rPr>
          <w:rFonts w:hint="eastAsia" w:ascii="Times New Roman" w:hAnsi="Times New Roman" w:eastAsia="方正小标宋简体" w:cs="方正小标宋简体"/>
          <w:sz w:val="44"/>
          <w:szCs w:val="44"/>
        </w:rPr>
        <w:t>年现代农业发展专项</w:t>
      </w:r>
      <w:r>
        <w:rPr>
          <w:rFonts w:hint="eastAsia" w:ascii="Times New Roman" w:hAnsi="Times New Roman" w:eastAsia="方正小标宋简体" w:cs="方正小标宋简体"/>
          <w:sz w:val="44"/>
          <w:szCs w:val="44"/>
          <w:lang w:val="en-US" w:eastAsia="zh-CN"/>
        </w:rPr>
        <w:t>——农村合作经济新型农业经营主体贷款贴息项目</w:t>
      </w:r>
      <w:r>
        <w:rPr>
          <w:rFonts w:hint="eastAsia" w:ascii="Times New Roman" w:hAnsi="Times New Roman" w:eastAsia="方正小标宋简体" w:cs="方正小标宋简体"/>
          <w:sz w:val="44"/>
          <w:szCs w:val="44"/>
        </w:rPr>
        <w:t>实施指导意见</w:t>
      </w:r>
    </w:p>
    <w:p w14:paraId="27AB0739">
      <w:pPr>
        <w:spacing w:line="500" w:lineRule="exact"/>
        <w:ind w:firstLine="640" w:firstLineChars="200"/>
        <w:rPr>
          <w:rFonts w:ascii="Times New Roman" w:hAnsi="Times New Roman" w:eastAsia="方正仿宋_GBK" w:cs="方正仿宋_GBK"/>
          <w:color w:val="0000FF"/>
          <w:sz w:val="32"/>
          <w:szCs w:val="32"/>
        </w:rPr>
      </w:pPr>
    </w:p>
    <w:p w14:paraId="5FADBC23">
      <w:pPr>
        <w:numPr>
          <w:ilvl w:val="0"/>
          <w:numId w:val="1"/>
        </w:numPr>
        <w:spacing w:line="520" w:lineRule="exact"/>
        <w:ind w:left="638" w:leftChars="304"/>
        <w:rPr>
          <w:rFonts w:ascii="Times New Roman" w:hAnsi="Times New Roman" w:eastAsia="黑体" w:cs="黑体"/>
          <w:sz w:val="32"/>
          <w:szCs w:val="32"/>
        </w:rPr>
      </w:pPr>
      <w:r>
        <w:rPr>
          <w:rFonts w:hint="eastAsia" w:ascii="Times New Roman" w:hAnsi="Times New Roman" w:eastAsia="黑体" w:cs="黑体"/>
          <w:sz w:val="32"/>
          <w:szCs w:val="32"/>
        </w:rPr>
        <w:t>指导性任务</w:t>
      </w:r>
    </w:p>
    <w:p w14:paraId="1DDC2015">
      <w:pPr>
        <w:spacing w:line="520" w:lineRule="exact"/>
        <w:ind w:firstLine="640" w:firstLineChars="200"/>
        <w:rPr>
          <w:rFonts w:ascii="Times New Roman" w:hAnsi="Times New Roman"/>
        </w:rPr>
      </w:pPr>
      <w:r>
        <w:rPr>
          <w:rFonts w:hint="eastAsia" w:ascii="Times New Roman" w:hAnsi="Times New Roman" w:eastAsia="方正仿宋_GBK" w:cs="方正仿宋_GBK"/>
          <w:color w:val="000000"/>
          <w:sz w:val="32"/>
          <w:szCs w:val="32"/>
        </w:rPr>
        <w:t>根据市级工作要求</w:t>
      </w:r>
      <w:r>
        <w:rPr>
          <w:rFonts w:hint="eastAsia" w:ascii="Times New Roman" w:hAnsi="Times New Roman" w:eastAsia="方正仿宋_GBK" w:cs="方正仿宋_GBK"/>
          <w:color w:val="000000"/>
          <w:sz w:val="32"/>
          <w:szCs w:val="32"/>
          <w:lang w:eastAsia="zh-CN"/>
        </w:rPr>
        <w:t>，</w:t>
      </w:r>
      <w:r>
        <w:rPr>
          <w:rFonts w:ascii="Times New Roman" w:hAnsi="Times New Roman" w:eastAsia="方正仿宋_GBK" w:cs="Times New Roman"/>
          <w:color w:val="auto"/>
          <w:sz w:val="32"/>
          <w:szCs w:val="32"/>
        </w:rPr>
        <w:t>支持推进</w:t>
      </w:r>
      <w:r>
        <w:rPr>
          <w:rFonts w:hint="eastAsia" w:ascii="Times New Roman" w:hAnsi="Times New Roman" w:eastAsia="方正仿宋_GBK" w:cs="Times New Roman"/>
          <w:color w:val="auto"/>
          <w:sz w:val="32"/>
          <w:szCs w:val="32"/>
        </w:rPr>
        <w:t>政金合作产品支农惠农效用</w:t>
      </w:r>
      <w:r>
        <w:rPr>
          <w:rFonts w:hint="eastAsia" w:ascii="Times New Roman" w:hAnsi="Times New Roman" w:eastAsia="方正仿宋_GBK" w:cs="方正仿宋_GBK"/>
          <w:color w:val="000000"/>
          <w:sz w:val="32"/>
          <w:szCs w:val="32"/>
          <w:lang w:eastAsia="zh-CN"/>
        </w:rPr>
        <w:t>，切实解决新型农业经营主体贷款难、贷款贵等问题。</w:t>
      </w:r>
    </w:p>
    <w:p w14:paraId="3A371D06">
      <w:pPr>
        <w:numPr>
          <w:ilvl w:val="0"/>
          <w:numId w:val="1"/>
        </w:numPr>
        <w:spacing w:line="520" w:lineRule="exact"/>
        <w:ind w:left="638" w:leftChars="304"/>
        <w:rPr>
          <w:rFonts w:ascii="Times New Roman" w:hAnsi="Times New Roman" w:eastAsia="黑体" w:cs="黑体"/>
          <w:sz w:val="32"/>
          <w:szCs w:val="32"/>
        </w:rPr>
      </w:pPr>
      <w:r>
        <w:rPr>
          <w:rFonts w:hint="eastAsia" w:ascii="Times New Roman" w:hAnsi="Times New Roman" w:eastAsia="黑体" w:cs="黑体"/>
          <w:sz w:val="32"/>
          <w:szCs w:val="32"/>
        </w:rPr>
        <w:t>工作目标</w:t>
      </w:r>
    </w:p>
    <w:p w14:paraId="35D5EB55">
      <w:pPr>
        <w:spacing w:line="520" w:lineRule="exact"/>
        <w:ind w:firstLine="640" w:firstLineChars="200"/>
        <w:rPr>
          <w:rFonts w:ascii="Times New Roman" w:hAnsi="Times New Roman" w:eastAsia="方正仿宋_GBK" w:cs="方正仿宋_GBK"/>
          <w:color w:val="000000"/>
          <w:sz w:val="32"/>
          <w:szCs w:val="32"/>
          <w:highlight w:val="yellow"/>
        </w:rPr>
      </w:pPr>
      <w:r>
        <w:rPr>
          <w:rFonts w:hint="eastAsia" w:ascii="Times New Roman" w:hAnsi="Times New Roman" w:eastAsia="仿宋" w:cs="黑体"/>
          <w:sz w:val="32"/>
          <w:szCs w:val="32"/>
          <w:lang w:eastAsia="zh-CN"/>
        </w:rPr>
        <w:t>开展新型农业经营主体贷款贴息相关宣传指导，对符合条件的新型农业经营主体进行贷款贴息。</w:t>
      </w:r>
    </w:p>
    <w:p w14:paraId="3D8DDF6C">
      <w:pPr>
        <w:numPr>
          <w:ilvl w:val="0"/>
          <w:numId w:val="1"/>
        </w:numPr>
        <w:spacing w:line="520" w:lineRule="exact"/>
        <w:ind w:left="638" w:leftChars="304"/>
        <w:rPr>
          <w:rFonts w:ascii="Times New Roman" w:hAnsi="Times New Roman" w:eastAsia="黑体" w:cs="黑体"/>
          <w:sz w:val="32"/>
          <w:szCs w:val="32"/>
        </w:rPr>
      </w:pPr>
      <w:r>
        <w:rPr>
          <w:rFonts w:hint="eastAsia" w:ascii="Times New Roman" w:hAnsi="Times New Roman" w:eastAsia="黑体" w:cs="黑体"/>
          <w:sz w:val="32"/>
          <w:szCs w:val="32"/>
        </w:rPr>
        <w:t>工作内容</w:t>
      </w:r>
    </w:p>
    <w:p w14:paraId="3616C786">
      <w:pPr>
        <w:spacing w:line="520" w:lineRule="exact"/>
        <w:ind w:firstLine="640" w:firstLineChars="200"/>
        <w:rPr>
          <w:rFonts w:hint="eastAsia" w:ascii="Times New Roman" w:hAnsi="Times New Roman" w:eastAsia="方正仿宋_GBK"/>
          <w:lang w:eastAsia="zh-CN"/>
        </w:rPr>
      </w:pPr>
      <w:r>
        <w:rPr>
          <w:rFonts w:hint="eastAsia" w:ascii="Times New Roman" w:hAnsi="Times New Roman" w:eastAsia="方正仿宋_GBK" w:cs="方正仿宋_GBK"/>
          <w:color w:val="000000"/>
          <w:sz w:val="32"/>
          <w:szCs w:val="32"/>
          <w:lang w:val="en-US" w:eastAsia="zh-CN"/>
        </w:rPr>
        <w:t>2025年第一批市级现代农业发展专项农村合作经济新型农业经营主体贷款贴息项目资金总计48万</w:t>
      </w:r>
      <w:r>
        <w:rPr>
          <w:rFonts w:hint="eastAsia" w:ascii="Times New Roman" w:hAnsi="Times New Roman" w:eastAsia="方正仿宋_GBK" w:cs="方正仿宋_GBK"/>
          <w:color w:val="000000"/>
          <w:sz w:val="32"/>
          <w:szCs w:val="32"/>
        </w:rPr>
        <w:t>。</w:t>
      </w:r>
      <w:r>
        <w:rPr>
          <w:rFonts w:hint="eastAsia" w:ascii="Times New Roman" w:hAnsi="Times New Roman" w:eastAsia="方正仿宋_GBK" w:cs="方正仿宋_GBK"/>
          <w:color w:val="000000"/>
          <w:sz w:val="32"/>
          <w:szCs w:val="32"/>
          <w:lang w:eastAsia="zh-CN"/>
        </w:rPr>
        <w:t>根据南京市栖霞区农业农村局《关于组织开展2025年度贷款贴息申报工作的通知》开展工作。</w:t>
      </w:r>
    </w:p>
    <w:p w14:paraId="2E31D87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imes New Roman" w:hAnsi="Times New Roman" w:eastAsia="方正仿宋_GBK" w:cs="Times New Roman"/>
          <w:color w:val="auto"/>
          <w:sz w:val="32"/>
          <w:szCs w:val="32"/>
          <w:lang w:val="en-US" w:eastAsia="zh-CN"/>
        </w:rPr>
      </w:pPr>
      <w:r>
        <w:rPr>
          <w:rFonts w:hint="eastAsia"/>
          <w:lang w:val="en-US" w:eastAsia="zh-CN"/>
        </w:rPr>
        <w:br w:type="page"/>
      </w:r>
    </w:p>
    <w:p w14:paraId="0B2AB251">
      <w:pPr>
        <w:spacing w:line="540" w:lineRule="exact"/>
        <w:jc w:val="center"/>
        <w:rPr>
          <w:rFonts w:hint="eastAsia" w:ascii="方正小标宋_GBK" w:hAnsi="方正小标宋简体" w:eastAsia="方正小标宋_GBK" w:cs="方正小标宋简体"/>
          <w:sz w:val="44"/>
          <w:szCs w:val="44"/>
          <w:lang w:eastAsia="zh-CN"/>
        </w:rPr>
      </w:pPr>
      <w:r>
        <w:rPr>
          <w:rFonts w:hint="eastAsia" w:ascii="方正小标宋_GBK" w:hAnsi="方正小标宋简体" w:eastAsia="方正小标宋_GBK" w:cs="方正小标宋简体"/>
          <w:sz w:val="44"/>
          <w:szCs w:val="44"/>
          <w:lang w:val="en-US" w:eastAsia="zh-CN"/>
        </w:rPr>
        <w:t>农业农村公共服务</w:t>
      </w:r>
      <w:r>
        <w:rPr>
          <w:rFonts w:hint="eastAsia" w:ascii="方正小标宋_GBK" w:hAnsi="方正小标宋简体" w:eastAsia="方正小标宋_GBK" w:cs="方正小标宋简体"/>
          <w:sz w:val="44"/>
          <w:szCs w:val="44"/>
        </w:rPr>
        <w:t>专项</w:t>
      </w:r>
      <w:r>
        <w:rPr>
          <w:rFonts w:hint="eastAsia" w:ascii="方正小标宋_GBK" w:hAnsi="方正小标宋简体" w:eastAsia="方正小标宋_GBK" w:cs="方正小标宋简体"/>
          <w:sz w:val="44"/>
          <w:szCs w:val="44"/>
          <w:lang w:eastAsia="zh-CN"/>
        </w:rPr>
        <w:t>—</w:t>
      </w:r>
    </w:p>
    <w:p w14:paraId="2D92F4E8">
      <w:pPr>
        <w:spacing w:line="540" w:lineRule="exact"/>
        <w:jc w:val="center"/>
        <w:rPr>
          <w:rFonts w:hint="eastAsia" w:ascii="方正小标宋_GBK" w:hAnsi="方正小标宋简体" w:eastAsia="方正小标宋_GBK" w:cs="方正小标宋简体"/>
          <w:sz w:val="44"/>
          <w:szCs w:val="44"/>
          <w:lang w:eastAsia="zh-CN"/>
        </w:rPr>
      </w:pPr>
      <w:r>
        <w:rPr>
          <w:rFonts w:hint="eastAsia" w:ascii="方正小标宋_GBK" w:hAnsi="方正小标宋简体" w:eastAsia="方正小标宋_GBK" w:cs="方正小标宋简体"/>
          <w:sz w:val="44"/>
          <w:szCs w:val="44"/>
          <w:lang w:val="en-US" w:eastAsia="zh-CN"/>
        </w:rPr>
        <w:t>农业机械化</w:t>
      </w:r>
    </w:p>
    <w:p w14:paraId="40586E5A">
      <w:pPr>
        <w:spacing w:line="540" w:lineRule="exact"/>
        <w:ind w:firstLine="640" w:firstLineChars="200"/>
        <w:rPr>
          <w:rFonts w:ascii="仿宋_GB2312" w:eastAsia="仿宋_GB2312"/>
          <w:sz w:val="32"/>
          <w:szCs w:val="32"/>
        </w:rPr>
      </w:pPr>
    </w:p>
    <w:p w14:paraId="45A7348F">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sz w:val="32"/>
          <w:szCs w:val="32"/>
        </w:rPr>
      </w:pPr>
      <w:r>
        <w:rPr>
          <w:rFonts w:hint="eastAsia" w:ascii="黑体" w:hAnsi="黑体" w:eastAsia="黑体"/>
          <w:sz w:val="32"/>
          <w:szCs w:val="32"/>
        </w:rPr>
        <w:t>工作内容</w:t>
      </w:r>
    </w:p>
    <w:p w14:paraId="4FD0DE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黑体" w:hAnsi="黑体" w:eastAsia="黑体"/>
          <w:sz w:val="32"/>
          <w:szCs w:val="32"/>
          <w:lang w:val="en-US"/>
        </w:rPr>
      </w:pPr>
      <w:r>
        <w:rPr>
          <w:rFonts w:hint="eastAsia" w:ascii="Times New Roman" w:hAnsi="Times New Roman" w:eastAsia="方正仿宋_GBK" w:cs="Times New Roman"/>
          <w:color w:val="auto"/>
          <w:sz w:val="32"/>
          <w:szCs w:val="32"/>
          <w:lang w:val="en-US" w:eastAsia="zh-CN"/>
        </w:rPr>
        <w:t>开展农机安全监管和“平安”农机建设，推进农机年检正规化建设。</w:t>
      </w:r>
    </w:p>
    <w:p w14:paraId="398E32D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sz w:val="32"/>
          <w:szCs w:val="32"/>
        </w:rPr>
      </w:pPr>
      <w:r>
        <w:rPr>
          <w:rFonts w:hint="eastAsia" w:ascii="黑体" w:hAnsi="黑体" w:eastAsia="黑体"/>
          <w:sz w:val="32"/>
          <w:szCs w:val="32"/>
        </w:rPr>
        <w:t>二、资金预算</w:t>
      </w:r>
    </w:p>
    <w:p w14:paraId="11CC4363">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全区共计10万元。</w:t>
      </w:r>
    </w:p>
    <w:p w14:paraId="4D54E38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sz w:val="32"/>
          <w:szCs w:val="32"/>
          <w:lang w:eastAsia="zh-CN"/>
        </w:rPr>
      </w:pPr>
      <w:r>
        <w:rPr>
          <w:rFonts w:hint="eastAsia" w:ascii="黑体" w:hAnsi="黑体" w:eastAsia="黑体"/>
          <w:sz w:val="32"/>
          <w:szCs w:val="32"/>
          <w:lang w:val="en-US" w:eastAsia="zh-CN"/>
        </w:rPr>
        <w:t>三</w:t>
      </w:r>
      <w:r>
        <w:rPr>
          <w:rFonts w:hint="eastAsia" w:ascii="黑体" w:hAnsi="黑体" w:eastAsia="黑体"/>
          <w:sz w:val="32"/>
          <w:szCs w:val="32"/>
        </w:rPr>
        <w:t>、</w:t>
      </w:r>
      <w:r>
        <w:rPr>
          <w:rFonts w:hint="eastAsia" w:ascii="黑体" w:hAnsi="黑体" w:eastAsia="黑体"/>
          <w:sz w:val="32"/>
          <w:szCs w:val="32"/>
          <w:lang w:val="en-US" w:eastAsia="zh-CN"/>
        </w:rPr>
        <w:t>绩效目标</w:t>
      </w:r>
    </w:p>
    <w:p w14:paraId="64EDA5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Times New Roman" w:hAnsi="Times New Roman" w:eastAsia="方正仿宋_GBK" w:cs="方正仿宋_GBK"/>
          <w:sz w:val="32"/>
          <w:szCs w:val="32"/>
          <w:lang w:val="en-US" w:eastAsia="zh-CN"/>
        </w:rPr>
        <w:t>农作物耕种收综合机械化率≥91%；特色农业机械化水平提升量≥2%；年检正规化建设水平提升</w:t>
      </w:r>
      <w:r>
        <w:rPr>
          <w:rFonts w:hint="eastAsia" w:ascii="仿宋" w:hAnsi="仿宋" w:eastAsia="仿宋"/>
          <w:sz w:val="32"/>
          <w:szCs w:val="32"/>
          <w:lang w:val="en-US" w:eastAsia="zh-CN"/>
        </w:rPr>
        <w:t>。</w:t>
      </w:r>
    </w:p>
    <w:p w14:paraId="49E49635">
      <w:pPr>
        <w:spacing w:line="540" w:lineRule="exact"/>
        <w:jc w:val="center"/>
        <w:rPr>
          <w:rFonts w:hint="eastAsia" w:ascii="Times New Roman" w:hAnsi="Times New Roman" w:eastAsia="方正小标宋_GBK" w:cs="方正小标宋简体"/>
          <w:sz w:val="44"/>
          <w:szCs w:val="44"/>
          <w:lang w:val="en-US" w:eastAsia="zh-CN"/>
        </w:rPr>
      </w:pPr>
      <w:r>
        <w:rPr>
          <w:rFonts w:hint="eastAsia"/>
          <w:lang w:val="en-US" w:eastAsia="zh-CN"/>
        </w:rPr>
        <w:br w:type="page"/>
      </w:r>
      <w:r>
        <w:rPr>
          <w:rFonts w:hint="eastAsia" w:ascii="Times New Roman" w:hAnsi="Times New Roman" w:eastAsia="方正小标宋_GBK" w:cs="方正小标宋简体"/>
          <w:sz w:val="44"/>
          <w:szCs w:val="44"/>
          <w:lang w:val="en-US" w:eastAsia="zh-CN"/>
        </w:rPr>
        <w:t>2025年市级农业农村公共服务专项—土地承包到期后再延长30年工作补助资金</w:t>
      </w:r>
    </w:p>
    <w:p w14:paraId="6AC5821B">
      <w:pPr>
        <w:spacing w:line="540" w:lineRule="exact"/>
        <w:jc w:val="center"/>
        <w:rPr>
          <w:rFonts w:hint="eastAsia" w:ascii="Times New Roman" w:hAnsi="Times New Roman" w:eastAsia="方正小标宋_GBK" w:cs="方正小标宋简体"/>
          <w:sz w:val="44"/>
          <w:szCs w:val="44"/>
          <w:lang w:val="en-US" w:eastAsia="zh-CN"/>
        </w:rPr>
      </w:pPr>
      <w:r>
        <w:rPr>
          <w:rFonts w:hint="eastAsia" w:ascii="Times New Roman" w:hAnsi="Times New Roman" w:eastAsia="方正小标宋_GBK" w:cs="方正小标宋简体"/>
          <w:sz w:val="44"/>
          <w:szCs w:val="44"/>
          <w:lang w:val="en-US" w:eastAsia="zh-CN"/>
        </w:rPr>
        <w:t>实施指导意见</w:t>
      </w:r>
    </w:p>
    <w:p w14:paraId="2005676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一、指导性任务</w:t>
      </w:r>
    </w:p>
    <w:p w14:paraId="5043FC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为贯彻落实</w:t>
      </w:r>
      <w:r>
        <w:rPr>
          <w:rFonts w:hint="eastAsia" w:ascii="Times New Roman" w:hAnsi="Times New Roman" w:eastAsia="方正仿宋_GBK" w:cs="Times New Roman"/>
          <w:color w:val="auto"/>
          <w:sz w:val="32"/>
          <w:szCs w:val="32"/>
        </w:rPr>
        <w:t>党中央、省</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市的决策部署，</w:t>
      </w:r>
      <w:r>
        <w:rPr>
          <w:rFonts w:hint="eastAsia" w:ascii="Times New Roman" w:hAnsi="Times New Roman" w:eastAsia="方正仿宋_GBK" w:cs="Times New Roman"/>
          <w:color w:val="auto"/>
          <w:sz w:val="32"/>
          <w:szCs w:val="32"/>
          <w:lang w:val="en-US" w:eastAsia="zh-CN"/>
        </w:rPr>
        <w:t>确保全区第二轮土地承包到期后再延长30年工作顺利进行，</w:t>
      </w:r>
      <w:r>
        <w:rPr>
          <w:rFonts w:hint="eastAsia" w:ascii="Times New Roman" w:hAnsi="Times New Roman" w:eastAsia="方正仿宋_GBK" w:cs="Times New Roman"/>
          <w:color w:val="auto"/>
          <w:sz w:val="32"/>
          <w:szCs w:val="32"/>
        </w:rPr>
        <w:t>坚持承包关系长久稳定，赋予农民充分有保障的土地权利，坚持集体所有权、稳定农户承包权、放活土地经营权，巩固和完善农村基本经营制度，为提高农业农村现代化水平、推动乡村全面振兴、保持社会和谐稳定奠定基础。</w:t>
      </w:r>
    </w:p>
    <w:p w14:paraId="7E95207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二、工作目标</w:t>
      </w:r>
    </w:p>
    <w:p w14:paraId="1D5F14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延包工作采取压茬推进的方式进行，</w:t>
      </w:r>
      <w:r>
        <w:rPr>
          <w:rFonts w:hint="eastAsia" w:ascii="Times New Roman" w:hAnsi="Times New Roman" w:eastAsia="方正仿宋_GBK" w:cs="Times New Roman"/>
          <w:color w:val="auto"/>
          <w:sz w:val="32"/>
          <w:szCs w:val="32"/>
        </w:rPr>
        <w:t>按照“一年开展试点、两年全面推进、三年完善收尾”的进度安排，从2024年起，利用三年时间，全面完成第二轮土地承包到期后再延长30年工作。</w:t>
      </w:r>
    </w:p>
    <w:p w14:paraId="4884BBF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三、工作内容</w:t>
      </w:r>
    </w:p>
    <w:p w14:paraId="2CC14C9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根据市委农村工作领导小组《关于印发&lt;南京市第二轮土地承包到期后再延长30年工作方案&gt;的通知》（宁委农发〔2024〕2号）要求，各村按照延包工作“十步工作法”开展延包工作，用于测绘、调查、数据修改入库、数据汇交、档案等相关技术服务内容，此项</w:t>
      </w:r>
      <w:r>
        <w:rPr>
          <w:rFonts w:hint="eastAsia" w:ascii="Times New Roman" w:hAnsi="Times New Roman" w:eastAsia="方正仿宋_GBK" w:cs="Times New Roman"/>
          <w:color w:val="auto"/>
          <w:sz w:val="32"/>
          <w:szCs w:val="32"/>
          <w:lang w:eastAsia="zh-CN"/>
        </w:rPr>
        <w:t>延包工作不得向农民收费，不得增加村级组织负担，确保资金专款专用、安全高效。</w:t>
      </w:r>
    </w:p>
    <w:p w14:paraId="42DA593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四、补助标准</w:t>
      </w:r>
    </w:p>
    <w:p w14:paraId="6EDA08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本次主要用于技术服务招标等相关经费，预拨龙潭街道10万元、八卦洲街道14万元，共计24万元。</w:t>
      </w:r>
    </w:p>
    <w:p w14:paraId="2388D61E">
      <w:pPr>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br w:type="page"/>
      </w:r>
    </w:p>
    <w:p w14:paraId="238156B2">
      <w:pPr>
        <w:spacing w:line="660" w:lineRule="exact"/>
        <w:jc w:val="center"/>
        <w:rPr>
          <w:rFonts w:hint="eastAsia" w:ascii="Times New Roman" w:hAnsi="Times New Roman" w:eastAsia="方正小标宋简体"/>
          <w:sz w:val="44"/>
          <w:szCs w:val="44"/>
          <w:lang w:val="en-US" w:eastAsia="zh-CN"/>
        </w:rPr>
      </w:pPr>
      <w:r>
        <w:rPr>
          <w:rFonts w:hint="eastAsia" w:ascii="Times New Roman" w:hAnsi="Times New Roman" w:eastAsia="方正小标宋简体"/>
          <w:sz w:val="44"/>
          <w:szCs w:val="44"/>
          <w:lang w:val="en-US" w:eastAsia="zh-CN"/>
        </w:rPr>
        <w:t>2025年农业农村公共服务专项—</w:t>
      </w:r>
    </w:p>
    <w:p w14:paraId="08F1A5F0">
      <w:pPr>
        <w:spacing w:line="660" w:lineRule="exact"/>
        <w:jc w:val="center"/>
        <w:rPr>
          <w:rFonts w:hint="eastAsia" w:ascii="Times New Roman" w:hAnsi="Times New Roman" w:eastAsia="方正小标宋简体"/>
          <w:sz w:val="44"/>
          <w:szCs w:val="44"/>
          <w:lang w:val="en-US" w:eastAsia="zh-CN"/>
        </w:rPr>
      </w:pPr>
      <w:r>
        <w:rPr>
          <w:rFonts w:hint="eastAsia" w:ascii="Times New Roman" w:hAnsi="Times New Roman" w:eastAsia="方正小标宋简体"/>
          <w:sz w:val="44"/>
          <w:szCs w:val="44"/>
          <w:lang w:val="en-US" w:eastAsia="zh-CN"/>
        </w:rPr>
        <w:t>现代种业发展项目实施申报指南</w:t>
      </w:r>
    </w:p>
    <w:p w14:paraId="0AF9B50B">
      <w:pPr>
        <w:pStyle w:val="2"/>
        <w:rPr>
          <w:rFonts w:hint="eastAsia"/>
          <w:lang w:val="en-US" w:eastAsia="zh-CN"/>
        </w:rPr>
      </w:pPr>
    </w:p>
    <w:p w14:paraId="7F54EC4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为深入贯彻习近平新时代中国特色社会主义思想，特别是习近平总书记关于“下决心把民族种业搞上去”的重要指示精神，我区支持现代种业发展，把实现种子、种苗生产能力提升、支持现代种业发展重要手段，优化品种结构，提升种苗质量，提高市场竞争力。</w:t>
      </w:r>
    </w:p>
    <w:p w14:paraId="777830B8">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638" w:leftChars="304"/>
        <w:textAlignment w:val="auto"/>
        <w:rPr>
          <w:rFonts w:hint="eastAsia" w:ascii="黑体" w:hAnsi="黑体" w:eastAsia="黑体" w:cs="黑体"/>
          <w:sz w:val="32"/>
          <w:szCs w:val="32"/>
        </w:rPr>
      </w:pPr>
      <w:r>
        <w:rPr>
          <w:rFonts w:hint="eastAsia" w:ascii="黑体" w:hAnsi="黑体" w:eastAsia="黑体" w:cs="黑体"/>
          <w:sz w:val="32"/>
          <w:szCs w:val="32"/>
        </w:rPr>
        <w:t>申报要求</w:t>
      </w:r>
    </w:p>
    <w:p w14:paraId="49C6F5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（一）申报主体</w:t>
      </w:r>
    </w:p>
    <w:p w14:paraId="77E816D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方正仿宋_GBK" w:cs="Times New Roman"/>
          <w:color w:val="0000FF"/>
          <w:sz w:val="32"/>
          <w:szCs w:val="32"/>
          <w:lang w:eastAsia="zh-CN"/>
        </w:rPr>
      </w:pPr>
      <w:r>
        <w:rPr>
          <w:rFonts w:hint="eastAsia" w:ascii="Times New Roman" w:hAnsi="Times New Roman" w:eastAsia="仿宋_GB2312"/>
          <w:color w:val="000000"/>
          <w:sz w:val="32"/>
          <w:szCs w:val="32"/>
        </w:rPr>
        <w:t>街道办事处、</w:t>
      </w:r>
      <w:r>
        <w:rPr>
          <w:rFonts w:ascii="Times New Roman" w:hAnsi="Times New Roman" w:eastAsia="仿宋_GB2312"/>
          <w:color w:val="000000"/>
          <w:sz w:val="32"/>
          <w:szCs w:val="32"/>
        </w:rPr>
        <w:t>社区（村委会）、农业专业合作社、家庭农场、大户、园区平台公司、从事农业生产的企业、事业单位等</w:t>
      </w:r>
      <w:r>
        <w:rPr>
          <w:rFonts w:hint="eastAsia" w:ascii="Times New Roman" w:hAnsi="Times New Roman" w:eastAsia="仿宋_GB2312"/>
          <w:color w:val="000000"/>
          <w:sz w:val="32"/>
          <w:szCs w:val="32"/>
        </w:rPr>
        <w:t>蔬菜园艺生产经营主体</w:t>
      </w:r>
      <w:r>
        <w:rPr>
          <w:rFonts w:hint="eastAsia" w:ascii="Times New Roman" w:hAnsi="Times New Roman" w:eastAsia="方正仿宋_GBK" w:cs="方正仿宋_GBK"/>
          <w:color w:val="000000"/>
          <w:sz w:val="32"/>
          <w:szCs w:val="32"/>
        </w:rPr>
        <w:t>。所有申报主体必须要有专人负责项目申报、实施、验收等各项环节的材料收集、整理及上报等工作。</w:t>
      </w:r>
    </w:p>
    <w:p w14:paraId="57ECB91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（二）申报条件</w:t>
      </w:r>
    </w:p>
    <w:p w14:paraId="6B9A2DF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申报主体进入202</w:t>
      </w: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eastAsia="zh-CN"/>
        </w:rPr>
        <w:t>年市级现代种业发展产业链项目清单。</w:t>
      </w:r>
    </w:p>
    <w:p w14:paraId="3BF7A31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1、申报的项目必须为当年新建项目。</w:t>
      </w:r>
    </w:p>
    <w:p w14:paraId="4BBB202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2、凡享受过农业、发改等系统财政补助资金扶持并完成建设内容的项目，再次建设相同内容的项目不得重复申报。</w:t>
      </w:r>
    </w:p>
    <w:p w14:paraId="5DCD4112">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638" w:leftChars="304"/>
        <w:textAlignment w:val="auto"/>
        <w:rPr>
          <w:rFonts w:hint="eastAsia" w:ascii="黑体" w:hAnsi="黑体" w:eastAsia="黑体" w:cs="黑体"/>
          <w:sz w:val="32"/>
          <w:szCs w:val="32"/>
        </w:rPr>
      </w:pPr>
      <w:r>
        <w:rPr>
          <w:rFonts w:hint="eastAsia" w:ascii="黑体" w:hAnsi="黑体" w:eastAsia="黑体" w:cs="黑体"/>
          <w:sz w:val="32"/>
          <w:szCs w:val="32"/>
        </w:rPr>
        <w:t>扶持内容</w:t>
      </w:r>
    </w:p>
    <w:p w14:paraId="12C3A87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项目主要支持：优异地方种质资源收集、鉴定和保护，品种认定认证，育种技术体系建设，优质种苗繁育推广，引进、培育新品种，建设特色种子种苗中心，场地改造提升及精选设备购置、安装等。</w:t>
      </w:r>
    </w:p>
    <w:p w14:paraId="1D3BC833">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638" w:leftChars="304"/>
        <w:textAlignment w:val="auto"/>
        <w:rPr>
          <w:rFonts w:hint="eastAsia" w:ascii="黑体" w:hAnsi="黑体" w:eastAsia="黑体" w:cs="黑体"/>
          <w:sz w:val="32"/>
          <w:szCs w:val="32"/>
        </w:rPr>
      </w:pPr>
      <w:r>
        <w:rPr>
          <w:rFonts w:hint="eastAsia" w:ascii="黑体" w:hAnsi="黑体" w:eastAsia="黑体" w:cs="黑体"/>
          <w:sz w:val="32"/>
          <w:szCs w:val="32"/>
        </w:rPr>
        <w:t>补助标准</w:t>
      </w:r>
    </w:p>
    <w:p w14:paraId="3C12566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补助金额</w:t>
      </w:r>
      <w:r>
        <w:rPr>
          <w:rFonts w:hint="eastAsia" w:ascii="Times New Roman" w:hAnsi="Times New Roman" w:eastAsia="方正仿宋_GBK" w:cs="Times New Roman"/>
          <w:color w:val="auto"/>
          <w:sz w:val="32"/>
          <w:szCs w:val="32"/>
          <w:lang w:val="en-US" w:eastAsia="zh-CN"/>
        </w:rPr>
        <w:t>原则上不超过项目总投资的</w:t>
      </w:r>
      <w:r>
        <w:rPr>
          <w:rFonts w:hint="eastAsia" w:ascii="Times New Roman" w:hAnsi="Times New Roman" w:eastAsia="方正仿宋_GBK" w:cs="Times New Roman"/>
          <w:color w:val="auto"/>
          <w:sz w:val="32"/>
          <w:szCs w:val="32"/>
          <w:lang w:eastAsia="zh-CN"/>
        </w:rPr>
        <w:t>50%（由街道、村集体经济组织、农业园区实施的项目，补助标准为不超过总投资的80%）。</w:t>
      </w:r>
    </w:p>
    <w:p w14:paraId="448964A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全区共计21万元。</w:t>
      </w:r>
    </w:p>
    <w:p w14:paraId="0CFEBC29">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lang w:val="en-US" w:eastAsia="zh-CN"/>
        </w:rPr>
      </w:pPr>
    </w:p>
    <w:p w14:paraId="0173116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br w:type="page"/>
      </w:r>
    </w:p>
    <w:p w14:paraId="3555610A">
      <w:pPr>
        <w:spacing w:line="660" w:lineRule="exact"/>
        <w:jc w:val="center"/>
        <w:rPr>
          <w:rFonts w:hint="eastAsia" w:ascii="Times New Roman" w:hAnsi="Times New Roman" w:eastAsia="方正小标宋简体"/>
          <w:sz w:val="44"/>
          <w:szCs w:val="44"/>
          <w:lang w:val="en-US" w:eastAsia="zh-CN"/>
        </w:rPr>
      </w:pPr>
      <w:r>
        <w:rPr>
          <w:rFonts w:hint="default" w:ascii="Times New Roman" w:hAnsi="Times New Roman" w:eastAsia="方正小标宋简体"/>
          <w:sz w:val="44"/>
          <w:szCs w:val="44"/>
          <w:lang w:val="en-US" w:eastAsia="zh-CN"/>
        </w:rPr>
        <w:t>202</w:t>
      </w:r>
      <w:r>
        <w:rPr>
          <w:rFonts w:hint="eastAsia" w:ascii="Times New Roman" w:hAnsi="Times New Roman" w:eastAsia="方正小标宋简体"/>
          <w:sz w:val="44"/>
          <w:szCs w:val="44"/>
          <w:lang w:val="en-US" w:eastAsia="zh-CN"/>
        </w:rPr>
        <w:t>5年农业公共服务专项——“智汇三农”人才工程实施指导意见</w:t>
      </w:r>
    </w:p>
    <w:p w14:paraId="263EE78E">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638" w:leftChars="304"/>
        <w:textAlignment w:val="auto"/>
        <w:rPr>
          <w:rFonts w:ascii="黑体" w:hAnsi="黑体" w:eastAsia="黑体" w:cs="黑体"/>
          <w:sz w:val="32"/>
          <w:szCs w:val="32"/>
        </w:rPr>
      </w:pPr>
      <w:r>
        <w:rPr>
          <w:rFonts w:hint="eastAsia" w:ascii="黑体" w:hAnsi="黑体" w:eastAsia="黑体" w:cs="黑体"/>
          <w:sz w:val="32"/>
          <w:szCs w:val="32"/>
        </w:rPr>
        <w:t>指导性任务</w:t>
      </w:r>
    </w:p>
    <w:p w14:paraId="36CEF26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根据市级工作要求，</w:t>
      </w:r>
      <w:r>
        <w:rPr>
          <w:rFonts w:hint="eastAsia" w:ascii="Times New Roman" w:hAnsi="Times New Roman" w:eastAsia="方正仿宋_GBK" w:cs="Times New Roman"/>
          <w:color w:val="auto"/>
          <w:sz w:val="32"/>
          <w:szCs w:val="32"/>
          <w:lang w:val="en-US" w:eastAsia="zh-CN"/>
        </w:rPr>
        <w:t>结合区级实际，</w:t>
      </w:r>
      <w:r>
        <w:rPr>
          <w:rFonts w:hint="eastAsia" w:ascii="Times New Roman" w:hAnsi="Times New Roman" w:eastAsia="方正仿宋_GBK" w:cs="Times New Roman"/>
          <w:color w:val="auto"/>
          <w:sz w:val="32"/>
          <w:szCs w:val="32"/>
          <w:lang w:eastAsia="zh-CN"/>
        </w:rPr>
        <w:t>制定</w:t>
      </w:r>
      <w:r>
        <w:rPr>
          <w:rFonts w:hint="eastAsia" w:ascii="Times New Roman" w:hAnsi="Times New Roman" w:eastAsia="方正仿宋_GBK" w:cs="Times New Roman"/>
          <w:color w:val="auto"/>
          <w:sz w:val="32"/>
          <w:szCs w:val="32"/>
          <w:lang w:val="en-US" w:eastAsia="zh-CN"/>
        </w:rPr>
        <w:t>2025</w:t>
      </w:r>
      <w:r>
        <w:rPr>
          <w:rFonts w:hint="eastAsia" w:ascii="Times New Roman" w:hAnsi="Times New Roman" w:eastAsia="方正仿宋_GBK" w:cs="Times New Roman"/>
          <w:color w:val="auto"/>
          <w:sz w:val="32"/>
          <w:szCs w:val="32"/>
          <w:lang w:eastAsia="zh-CN"/>
        </w:rPr>
        <w:t>年栖霞区“智汇三农”人才工程项目实施指导意见，支持</w:t>
      </w:r>
      <w:r>
        <w:rPr>
          <w:rFonts w:hint="eastAsia" w:ascii="Times New Roman" w:hAnsi="Times New Roman" w:eastAsia="方正仿宋_GBK" w:cs="Times New Roman"/>
          <w:color w:val="auto"/>
          <w:sz w:val="32"/>
          <w:szCs w:val="32"/>
          <w:lang w:val="en-US" w:eastAsia="zh-CN"/>
        </w:rPr>
        <w:t>三农人才</w:t>
      </w:r>
      <w:r>
        <w:rPr>
          <w:rFonts w:hint="eastAsia" w:ascii="Times New Roman" w:hAnsi="Times New Roman" w:eastAsia="方正仿宋_GBK" w:cs="Times New Roman"/>
          <w:color w:val="auto"/>
          <w:sz w:val="32"/>
          <w:szCs w:val="32"/>
          <w:lang w:eastAsia="zh-CN"/>
        </w:rPr>
        <w:t>队伍</w:t>
      </w:r>
      <w:r>
        <w:rPr>
          <w:rFonts w:hint="eastAsia" w:ascii="Times New Roman" w:hAnsi="Times New Roman" w:eastAsia="方正仿宋_GBK" w:cs="Times New Roman"/>
          <w:color w:val="auto"/>
          <w:sz w:val="32"/>
          <w:szCs w:val="32"/>
          <w:lang w:val="en-US" w:eastAsia="zh-CN"/>
        </w:rPr>
        <w:t>建设</w:t>
      </w:r>
      <w:r>
        <w:rPr>
          <w:rFonts w:hint="eastAsia" w:ascii="Times New Roman" w:hAnsi="Times New Roman" w:eastAsia="方正仿宋_GBK" w:cs="Times New Roman"/>
          <w:color w:val="auto"/>
          <w:sz w:val="32"/>
          <w:szCs w:val="32"/>
          <w:lang w:eastAsia="zh-CN"/>
        </w:rPr>
        <w:t>。</w:t>
      </w:r>
    </w:p>
    <w:p w14:paraId="385F5441">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638" w:leftChars="304"/>
        <w:textAlignment w:val="auto"/>
        <w:rPr>
          <w:rFonts w:ascii="黑体" w:hAnsi="黑体" w:eastAsia="黑体" w:cs="黑体"/>
          <w:sz w:val="32"/>
          <w:szCs w:val="32"/>
        </w:rPr>
      </w:pPr>
      <w:r>
        <w:rPr>
          <w:rFonts w:hint="eastAsia" w:ascii="黑体" w:hAnsi="黑体" w:eastAsia="黑体" w:cs="黑体"/>
          <w:sz w:val="32"/>
          <w:szCs w:val="32"/>
        </w:rPr>
        <w:t>工作目标</w:t>
      </w:r>
    </w:p>
    <w:p w14:paraId="3AD2ABA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完成市级下达基层农技推广人员培训30人；高素质农民培育110人；市级及以上农民教育培训实训基地（田间学校）建设3家；规模经营高素质农民选送；农业农村“头雁种苗”遴选和培育（具体任务市局暂未下达）。</w:t>
      </w:r>
    </w:p>
    <w:p w14:paraId="0A5979FB">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638" w:leftChars="304"/>
        <w:textAlignment w:val="auto"/>
        <w:rPr>
          <w:rFonts w:ascii="黑体" w:hAnsi="黑体" w:eastAsia="黑体" w:cs="黑体"/>
          <w:sz w:val="32"/>
          <w:szCs w:val="32"/>
        </w:rPr>
      </w:pPr>
      <w:r>
        <w:rPr>
          <w:rFonts w:hint="eastAsia" w:ascii="黑体" w:hAnsi="黑体" w:eastAsia="黑体" w:cs="黑体"/>
          <w:sz w:val="32"/>
          <w:szCs w:val="32"/>
        </w:rPr>
        <w:t>工作内容</w:t>
      </w:r>
    </w:p>
    <w:p w14:paraId="2E59296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eastAsia="zh-CN"/>
        </w:rPr>
        <w:t>依托相关涉农高校院所，</w:t>
      </w:r>
      <w:r>
        <w:rPr>
          <w:rFonts w:hint="eastAsia" w:ascii="Times New Roman" w:hAnsi="Times New Roman" w:eastAsia="方正仿宋_GBK" w:cs="Times New Roman"/>
          <w:color w:val="auto"/>
          <w:sz w:val="32"/>
          <w:szCs w:val="32"/>
          <w:lang w:val="en-US" w:eastAsia="zh-CN"/>
        </w:rPr>
        <w:t>开展基层农技推广人员培训工作</w:t>
      </w:r>
      <w:r>
        <w:rPr>
          <w:rFonts w:hint="eastAsia" w:ascii="Times New Roman" w:hAnsi="Times New Roman" w:eastAsia="方正仿宋_GBK" w:cs="Times New Roman"/>
          <w:color w:val="auto"/>
          <w:sz w:val="32"/>
          <w:szCs w:val="32"/>
          <w:lang w:eastAsia="zh-CN"/>
        </w:rPr>
        <w:t>，合理设置培训课程，每期培训班培训时间不少于</w:t>
      </w: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eastAsia="zh-CN"/>
        </w:rPr>
        <w:t>天。</w:t>
      </w:r>
      <w:r>
        <w:rPr>
          <w:rFonts w:hint="eastAsia" w:ascii="Times New Roman" w:hAnsi="Times New Roman" w:eastAsia="方正仿宋_GBK" w:cs="Times New Roman"/>
          <w:color w:val="auto"/>
          <w:sz w:val="32"/>
          <w:szCs w:val="32"/>
          <w:lang w:val="en-US" w:eastAsia="zh-CN"/>
        </w:rPr>
        <w:t>依托八卦洲街道完成高素质农民培育80人任务，区农业农村局举办一期高素质农民培训班完成培育30人任务，</w:t>
      </w:r>
      <w:r>
        <w:rPr>
          <w:rFonts w:hint="eastAsia" w:ascii="Times New Roman" w:hAnsi="Times New Roman" w:eastAsia="方正仿宋_GBK" w:cs="Times New Roman"/>
          <w:color w:val="auto"/>
          <w:sz w:val="32"/>
          <w:szCs w:val="32"/>
          <w:lang w:eastAsia="zh-CN"/>
        </w:rPr>
        <w:t>每期培训班培训时间不少于</w:t>
      </w: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eastAsia="zh-CN"/>
        </w:rPr>
        <w:t>天</w:t>
      </w:r>
      <w:r>
        <w:rPr>
          <w:rFonts w:hint="eastAsia" w:ascii="Times New Roman" w:hAnsi="Times New Roman" w:eastAsia="方正仿宋_GBK" w:cs="Times New Roman"/>
          <w:color w:val="auto"/>
          <w:sz w:val="32"/>
          <w:szCs w:val="32"/>
          <w:lang w:val="en-US" w:eastAsia="zh-CN"/>
        </w:rPr>
        <w:t>。区农业农村局选送培育对象至相关涉农院校实施，</w:t>
      </w:r>
      <w:r>
        <w:rPr>
          <w:rFonts w:hint="eastAsia" w:ascii="Times New Roman" w:hAnsi="Times New Roman" w:eastAsia="方正仿宋_GBK" w:cs="Times New Roman"/>
          <w:color w:val="auto"/>
          <w:sz w:val="32"/>
          <w:szCs w:val="32"/>
          <w:lang w:eastAsia="zh-CN"/>
        </w:rPr>
        <w:t>采取集中授课、实地观摩、研讨交流、跟踪服务等相结合的形式进行培训</w:t>
      </w:r>
      <w:r>
        <w:rPr>
          <w:rFonts w:hint="eastAsia" w:ascii="Times New Roman" w:hAnsi="Times New Roman" w:eastAsia="方正仿宋_GBK" w:cs="Times New Roman"/>
          <w:color w:val="auto"/>
          <w:sz w:val="32"/>
          <w:szCs w:val="32"/>
          <w:lang w:val="en-US" w:eastAsia="zh-CN"/>
        </w:rPr>
        <w:t>完成规模经营高素质农民选送任务</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支持农民田间学校承担农民培育任务</w:t>
      </w:r>
      <w:r>
        <w:rPr>
          <w:rFonts w:hint="eastAsia" w:ascii="Times New Roman" w:hAnsi="Times New Roman" w:eastAsia="方正仿宋_GBK" w:cs="Times New Roman"/>
          <w:color w:val="auto"/>
          <w:sz w:val="32"/>
          <w:szCs w:val="32"/>
          <w:lang w:eastAsia="zh-CN"/>
        </w:rPr>
        <w:t>。对按照省市要求建设、培训成效显著、管理运行良好的农民培</w:t>
      </w:r>
      <w:r>
        <w:rPr>
          <w:rFonts w:hint="eastAsia" w:ascii="Times New Roman" w:hAnsi="Times New Roman" w:eastAsia="方正仿宋_GBK" w:cs="Times New Roman"/>
          <w:color w:val="auto"/>
          <w:sz w:val="32"/>
          <w:szCs w:val="32"/>
          <w:lang w:val="en-US" w:eastAsia="zh-CN"/>
        </w:rPr>
        <w:t>育</w:t>
      </w:r>
      <w:r>
        <w:rPr>
          <w:rFonts w:hint="eastAsia" w:ascii="Times New Roman" w:hAnsi="Times New Roman" w:eastAsia="方正仿宋_GBK" w:cs="Times New Roman"/>
          <w:color w:val="auto"/>
          <w:sz w:val="32"/>
          <w:szCs w:val="32"/>
          <w:lang w:eastAsia="zh-CN"/>
        </w:rPr>
        <w:t>实训基地（田间学校），给予适当的建设补助。</w:t>
      </w:r>
      <w:r>
        <w:rPr>
          <w:rFonts w:hint="eastAsia" w:ascii="Times New Roman" w:hAnsi="Times New Roman" w:eastAsia="方正仿宋_GBK" w:cs="Times New Roman"/>
          <w:color w:val="auto"/>
          <w:sz w:val="32"/>
          <w:szCs w:val="32"/>
          <w:lang w:val="en-US" w:eastAsia="zh-CN"/>
        </w:rPr>
        <w:t>区农业农村局选送培育对象参加市局组织农业农村“头雁种苗”培训班，并完成相关绩效考评工作。</w:t>
      </w:r>
    </w:p>
    <w:p w14:paraId="1EF32BD9">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638" w:leftChars="304"/>
        <w:textAlignment w:val="auto"/>
        <w:rPr>
          <w:rFonts w:ascii="黑体" w:hAnsi="黑体" w:eastAsia="黑体" w:cs="黑体"/>
          <w:sz w:val="32"/>
          <w:szCs w:val="32"/>
        </w:rPr>
      </w:pPr>
      <w:r>
        <w:rPr>
          <w:rFonts w:hint="eastAsia" w:ascii="黑体" w:hAnsi="黑体" w:eastAsia="黑体" w:cs="黑体"/>
          <w:sz w:val="32"/>
          <w:szCs w:val="32"/>
        </w:rPr>
        <w:t>资金补助标准</w:t>
      </w:r>
    </w:p>
    <w:p w14:paraId="297B412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全区共计</w:t>
      </w:r>
      <w:r>
        <w:rPr>
          <w:rFonts w:hint="eastAsia" w:ascii="Times New Roman" w:hAnsi="Times New Roman" w:eastAsia="方正仿宋_GBK" w:cs="Times New Roman"/>
          <w:color w:val="auto"/>
          <w:sz w:val="32"/>
          <w:szCs w:val="32"/>
          <w:lang w:val="en-US" w:eastAsia="zh-CN"/>
        </w:rPr>
        <w:t>8</w:t>
      </w:r>
      <w:r>
        <w:rPr>
          <w:rFonts w:hint="eastAsia" w:ascii="Times New Roman" w:hAnsi="Times New Roman" w:eastAsia="方正仿宋_GBK" w:cs="Times New Roman"/>
          <w:color w:val="auto"/>
          <w:sz w:val="32"/>
          <w:szCs w:val="32"/>
          <w:lang w:eastAsia="zh-CN"/>
        </w:rPr>
        <w:t>万元。</w:t>
      </w:r>
    </w:p>
    <w:p w14:paraId="30113729">
      <w:pPr>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br w:type="page"/>
      </w:r>
    </w:p>
    <w:p w14:paraId="6802C996">
      <w:pPr>
        <w:spacing w:line="660" w:lineRule="exact"/>
        <w:jc w:val="center"/>
        <w:rPr>
          <w:rFonts w:hint="eastAsia" w:ascii="Times New Roman" w:hAnsi="Times New Roman" w:eastAsia="方正小标宋简体"/>
          <w:sz w:val="44"/>
          <w:szCs w:val="44"/>
          <w:lang w:val="en-US" w:eastAsia="zh-CN"/>
        </w:rPr>
      </w:pPr>
      <w:r>
        <w:rPr>
          <w:rFonts w:hint="eastAsia" w:ascii="Times New Roman" w:hAnsi="Times New Roman" w:eastAsia="方正小标宋简体"/>
          <w:sz w:val="44"/>
          <w:szCs w:val="44"/>
          <w:lang w:val="en-US" w:eastAsia="zh-CN"/>
        </w:rPr>
        <w:t>农业绿色发展专项——</w:t>
      </w:r>
    </w:p>
    <w:p w14:paraId="24469860">
      <w:pPr>
        <w:spacing w:line="660" w:lineRule="exact"/>
        <w:jc w:val="center"/>
        <w:rPr>
          <w:rFonts w:hint="default" w:ascii="Times New Roman" w:hAnsi="Times New Roman" w:eastAsia="方正小标宋简体"/>
          <w:sz w:val="44"/>
          <w:szCs w:val="44"/>
          <w:lang w:val="en-US" w:eastAsia="zh-CN"/>
        </w:rPr>
      </w:pPr>
      <w:r>
        <w:rPr>
          <w:rFonts w:hint="eastAsia" w:ascii="Times New Roman" w:hAnsi="Times New Roman" w:eastAsia="方正小标宋简体"/>
          <w:sz w:val="44"/>
          <w:szCs w:val="44"/>
          <w:lang w:val="en-US" w:eastAsia="zh-CN"/>
        </w:rPr>
        <w:t>秸秆机械化还田实施指导意见</w:t>
      </w:r>
    </w:p>
    <w:p w14:paraId="4D360A9D">
      <w:pPr>
        <w:spacing w:line="540" w:lineRule="exact"/>
        <w:ind w:firstLine="640" w:firstLineChars="200"/>
        <w:rPr>
          <w:rFonts w:ascii="仿宋_GB2312" w:eastAsia="仿宋_GB2312"/>
          <w:sz w:val="32"/>
          <w:szCs w:val="32"/>
        </w:rPr>
      </w:pPr>
    </w:p>
    <w:p w14:paraId="78705A5D">
      <w:pPr>
        <w:keepNext w:val="0"/>
        <w:keepLines w:val="0"/>
        <w:pageBreakBefore w:val="0"/>
        <w:widowControl w:val="0"/>
        <w:kinsoku/>
        <w:wordWrap/>
        <w:overflowPunct/>
        <w:topLinePunct w:val="0"/>
        <w:autoSpaceDE/>
        <w:autoSpaceDN/>
        <w:bidi w:val="0"/>
        <w:adjustRightInd/>
        <w:snapToGrid/>
        <w:spacing w:line="520" w:lineRule="atLeast"/>
        <w:ind w:left="0" w:leftChars="0" w:firstLine="640" w:firstLineChars="200"/>
        <w:jc w:val="left"/>
        <w:textAlignment w:val="auto"/>
        <w:rPr>
          <w:rFonts w:hint="eastAsia" w:ascii="黑体" w:hAnsi="黑体" w:eastAsia="黑体"/>
          <w:sz w:val="32"/>
          <w:szCs w:val="32"/>
        </w:rPr>
      </w:pPr>
      <w:r>
        <w:rPr>
          <w:rFonts w:hint="eastAsia" w:ascii="黑体" w:hAnsi="黑体" w:eastAsia="黑体"/>
          <w:sz w:val="32"/>
          <w:szCs w:val="32"/>
        </w:rPr>
        <w:t>一、工作内容</w:t>
      </w:r>
    </w:p>
    <w:p w14:paraId="34218728">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default" w:ascii="Times New Roman" w:hAnsi="Times New Roman" w:eastAsia="方正仿宋_GBK"/>
          <w:sz w:val="32"/>
          <w:szCs w:val="32"/>
          <w:highlight w:val="none"/>
          <w:lang w:val="en-US" w:eastAsia="zh-CN"/>
        </w:rPr>
      </w:pPr>
      <w:r>
        <w:rPr>
          <w:rFonts w:hint="eastAsia" w:ascii="Times New Roman" w:hAnsi="Times New Roman" w:eastAsia="方正仿宋_GBK"/>
          <w:sz w:val="32"/>
          <w:szCs w:val="32"/>
          <w:highlight w:val="none"/>
          <w:lang w:val="en-US" w:eastAsia="zh-CN"/>
        </w:rPr>
        <w:t>秸秆机械化还田实施方案及补助标准详见《关于印发&lt;栖霞区2025年秸秆综合利用工作指导意见&gt;的通知》（</w:t>
      </w:r>
      <w:r>
        <w:rPr>
          <w:rFonts w:hint="eastAsia" w:ascii="Times New Roman" w:hAnsi="Times New Roman" w:eastAsia="方正仿宋_GBK"/>
          <w:sz w:val="32"/>
          <w:szCs w:val="32"/>
          <w:highlight w:val="none"/>
        </w:rPr>
        <w:t>宁栖农字〔202</w:t>
      </w:r>
      <w:r>
        <w:rPr>
          <w:rFonts w:hint="eastAsia" w:ascii="Times New Roman" w:hAnsi="Times New Roman" w:eastAsia="方正仿宋_GBK"/>
          <w:sz w:val="32"/>
          <w:szCs w:val="32"/>
          <w:highlight w:val="none"/>
          <w:lang w:val="en-US" w:eastAsia="zh-CN"/>
        </w:rPr>
        <w:t>5</w:t>
      </w:r>
      <w:r>
        <w:rPr>
          <w:rFonts w:hint="eastAsia" w:ascii="Times New Roman" w:hAnsi="Times New Roman" w:eastAsia="方正仿宋_GBK"/>
          <w:sz w:val="32"/>
          <w:szCs w:val="32"/>
          <w:highlight w:val="none"/>
        </w:rPr>
        <w:t>〕</w:t>
      </w:r>
      <w:r>
        <w:rPr>
          <w:rFonts w:hint="eastAsia" w:ascii="Times New Roman" w:hAnsi="Times New Roman" w:eastAsia="方正仿宋_GBK"/>
          <w:sz w:val="32"/>
          <w:szCs w:val="32"/>
          <w:highlight w:val="none"/>
          <w:lang w:val="en-US" w:eastAsia="zh-CN"/>
        </w:rPr>
        <w:t>36</w:t>
      </w:r>
      <w:r>
        <w:rPr>
          <w:rFonts w:hint="eastAsia" w:ascii="Times New Roman" w:hAnsi="Times New Roman" w:eastAsia="方正仿宋_GBK"/>
          <w:sz w:val="32"/>
          <w:szCs w:val="32"/>
          <w:highlight w:val="none"/>
        </w:rPr>
        <w:t>号</w:t>
      </w:r>
      <w:r>
        <w:rPr>
          <w:rFonts w:hint="eastAsia" w:ascii="Times New Roman" w:hAnsi="Times New Roman" w:eastAsia="方正仿宋_GBK"/>
          <w:sz w:val="32"/>
          <w:szCs w:val="32"/>
          <w:highlight w:val="none"/>
          <w:lang w:val="en-US" w:eastAsia="zh-CN"/>
        </w:rPr>
        <w:t>）；依据省农业农村厅《2025年省级农作物秸秆综合利用专项实施意见》文件，夏季秸秆机械化还田补助资金兑付截止时间为10月31日，秋季秸秆机械化还田补助资金兑付截止时间为次年3月31日。</w:t>
      </w:r>
    </w:p>
    <w:p w14:paraId="2FC51EB8">
      <w:pPr>
        <w:keepNext w:val="0"/>
        <w:keepLines w:val="0"/>
        <w:pageBreakBefore w:val="0"/>
        <w:widowControl w:val="0"/>
        <w:kinsoku/>
        <w:wordWrap/>
        <w:overflowPunct/>
        <w:topLinePunct w:val="0"/>
        <w:autoSpaceDE/>
        <w:autoSpaceDN/>
        <w:bidi w:val="0"/>
        <w:adjustRightInd/>
        <w:snapToGrid/>
        <w:spacing w:line="520" w:lineRule="atLeast"/>
        <w:ind w:firstLine="640" w:firstLineChars="200"/>
        <w:jc w:val="left"/>
        <w:textAlignment w:val="auto"/>
        <w:rPr>
          <w:rFonts w:hint="eastAsia" w:ascii="黑体" w:hAnsi="黑体" w:eastAsia="黑体"/>
          <w:sz w:val="32"/>
          <w:szCs w:val="32"/>
        </w:rPr>
      </w:pPr>
      <w:r>
        <w:rPr>
          <w:rFonts w:hint="eastAsia" w:ascii="黑体" w:hAnsi="黑体" w:eastAsia="黑体"/>
          <w:sz w:val="32"/>
          <w:szCs w:val="32"/>
        </w:rPr>
        <w:t>二、资金预算</w:t>
      </w:r>
    </w:p>
    <w:p w14:paraId="639D8876">
      <w:pPr>
        <w:keepNext w:val="0"/>
        <w:keepLines w:val="0"/>
        <w:pageBreakBefore w:val="0"/>
        <w:widowControl w:val="0"/>
        <w:kinsoku/>
        <w:wordWrap/>
        <w:overflowPunct/>
        <w:topLinePunct w:val="0"/>
        <w:autoSpaceDE/>
        <w:autoSpaceDN/>
        <w:bidi w:val="0"/>
        <w:adjustRightInd/>
        <w:snapToGrid/>
        <w:spacing w:line="520" w:lineRule="atLeas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全区共计70万元。</w:t>
      </w:r>
    </w:p>
    <w:p w14:paraId="4DA12C61">
      <w:pPr>
        <w:keepNext w:val="0"/>
        <w:keepLines w:val="0"/>
        <w:pageBreakBefore w:val="0"/>
        <w:widowControl w:val="0"/>
        <w:kinsoku/>
        <w:wordWrap/>
        <w:overflowPunct/>
        <w:topLinePunct w:val="0"/>
        <w:autoSpaceDE/>
        <w:autoSpaceDN/>
        <w:bidi w:val="0"/>
        <w:adjustRightInd/>
        <w:snapToGrid/>
        <w:spacing w:line="520" w:lineRule="atLeast"/>
        <w:ind w:firstLine="640" w:firstLineChars="200"/>
        <w:jc w:val="left"/>
        <w:textAlignment w:val="auto"/>
        <w:rPr>
          <w:rFonts w:hint="eastAsia" w:ascii="黑体" w:hAnsi="黑体" w:eastAsia="黑体"/>
          <w:sz w:val="32"/>
          <w:szCs w:val="32"/>
          <w:lang w:eastAsia="zh-CN"/>
        </w:rPr>
      </w:pPr>
      <w:r>
        <w:rPr>
          <w:rFonts w:hint="eastAsia" w:ascii="黑体" w:hAnsi="黑体" w:eastAsia="黑体"/>
          <w:sz w:val="32"/>
          <w:szCs w:val="32"/>
          <w:lang w:val="en-US" w:eastAsia="zh-CN"/>
        </w:rPr>
        <w:t>三</w:t>
      </w:r>
      <w:r>
        <w:rPr>
          <w:rFonts w:hint="eastAsia" w:ascii="黑体" w:hAnsi="黑体" w:eastAsia="黑体"/>
          <w:sz w:val="32"/>
          <w:szCs w:val="32"/>
        </w:rPr>
        <w:t>、</w:t>
      </w:r>
      <w:r>
        <w:rPr>
          <w:rFonts w:hint="eastAsia" w:ascii="黑体" w:hAnsi="黑体" w:eastAsia="黑体"/>
          <w:sz w:val="32"/>
          <w:szCs w:val="32"/>
          <w:lang w:val="en-US" w:eastAsia="zh-CN"/>
        </w:rPr>
        <w:t>绩效目标</w:t>
      </w:r>
    </w:p>
    <w:p w14:paraId="1D9702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Times New Roman" w:hAnsi="Times New Roman" w:eastAsia="方正仿宋_GBK" w:cs="方正仿宋_GBK"/>
          <w:sz w:val="32"/>
          <w:szCs w:val="32"/>
        </w:rPr>
        <w:t>稻麦秸秆机械化还田率</w:t>
      </w:r>
      <w:r>
        <w:rPr>
          <w:rFonts w:hint="eastAsia" w:ascii="Times New Roman" w:hAnsi="Times New Roman" w:eastAsia="方正仿宋_GBK" w:cs="方正仿宋_GBK"/>
          <w:sz w:val="32"/>
          <w:szCs w:val="32"/>
          <w:lang w:val="en-US" w:eastAsia="zh-CN"/>
        </w:rPr>
        <w:t>大于等于56</w:t>
      </w:r>
      <w:r>
        <w:rPr>
          <w:rFonts w:ascii="Times New Roman" w:hAnsi="Times New Roman" w:eastAsia="方正仿宋_GBK" w:cs="方正仿宋_GBK"/>
          <w:sz w:val="32"/>
          <w:szCs w:val="32"/>
        </w:rPr>
        <w:t>%</w:t>
      </w:r>
      <w:r>
        <w:rPr>
          <w:rFonts w:hint="eastAsia" w:ascii="仿宋" w:hAnsi="仿宋" w:eastAsia="仿宋"/>
          <w:sz w:val="32"/>
          <w:szCs w:val="32"/>
          <w:lang w:val="en-US" w:eastAsia="zh-CN"/>
        </w:rPr>
        <w:t>。</w:t>
      </w:r>
    </w:p>
    <w:p w14:paraId="30B34D69">
      <w:pPr>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br w:type="page"/>
      </w:r>
    </w:p>
    <w:p w14:paraId="6F28EA2D">
      <w:pPr>
        <w:spacing w:line="660" w:lineRule="exact"/>
        <w:jc w:val="center"/>
        <w:rPr>
          <w:rFonts w:hint="eastAsia" w:ascii="Times New Roman" w:hAnsi="Times New Roman" w:eastAsia="方正小标宋简体"/>
          <w:sz w:val="44"/>
          <w:szCs w:val="44"/>
          <w:lang w:val="en-US" w:eastAsia="zh-CN"/>
        </w:rPr>
      </w:pPr>
      <w:bookmarkStart w:id="2" w:name="OLE_LINK4"/>
      <w:r>
        <w:rPr>
          <w:rFonts w:hint="eastAsia" w:ascii="Times New Roman" w:hAnsi="Times New Roman" w:eastAsia="方正小标宋简体"/>
          <w:sz w:val="44"/>
          <w:szCs w:val="44"/>
          <w:lang w:val="en-US" w:eastAsia="zh-CN"/>
        </w:rPr>
        <w:t>2025年农业绿色发展专项—沿江5公里商品有机肥与配方肥推广补贴</w:t>
      </w:r>
    </w:p>
    <w:p w14:paraId="22B6C09C">
      <w:pPr>
        <w:spacing w:line="660" w:lineRule="exact"/>
        <w:jc w:val="center"/>
        <w:rPr>
          <w:rFonts w:hint="eastAsia" w:ascii="Times New Roman" w:hAnsi="Times New Roman" w:eastAsia="方正小标宋简体"/>
          <w:sz w:val="44"/>
          <w:szCs w:val="44"/>
          <w:lang w:val="en-US" w:eastAsia="zh-CN"/>
        </w:rPr>
      </w:pPr>
      <w:r>
        <w:rPr>
          <w:rFonts w:hint="eastAsia" w:ascii="Times New Roman" w:hAnsi="Times New Roman" w:eastAsia="方正小标宋简体"/>
          <w:sz w:val="44"/>
          <w:szCs w:val="44"/>
          <w:lang w:val="en-US" w:eastAsia="zh-CN"/>
        </w:rPr>
        <w:t>实施指导意见</w:t>
      </w:r>
    </w:p>
    <w:p w14:paraId="003CBFCB">
      <w:pPr>
        <w:spacing w:line="600" w:lineRule="exact"/>
        <w:rPr>
          <w:rFonts w:ascii="Times New Roman" w:hAnsi="Times New Roman" w:eastAsia="仿宋_GB2312"/>
          <w:sz w:val="32"/>
          <w:szCs w:val="32"/>
        </w:rPr>
      </w:pPr>
    </w:p>
    <w:p w14:paraId="75EF0B46">
      <w:pPr>
        <w:keepNext w:val="0"/>
        <w:keepLines w:val="0"/>
        <w:pageBreakBefore w:val="0"/>
        <w:widowControl w:val="0"/>
        <w:kinsoku/>
        <w:wordWrap/>
        <w:overflowPunct/>
        <w:topLinePunct w:val="0"/>
        <w:autoSpaceDE/>
        <w:autoSpaceDN/>
        <w:bidi w:val="0"/>
        <w:adjustRightInd/>
        <w:snapToGrid/>
        <w:spacing w:line="520" w:lineRule="atLeast"/>
        <w:ind w:firstLine="640" w:firstLineChars="200"/>
        <w:jc w:val="left"/>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一</w:t>
      </w:r>
      <w:r>
        <w:rPr>
          <w:rFonts w:hint="default" w:ascii="黑体" w:hAnsi="黑体" w:eastAsia="黑体"/>
          <w:sz w:val="32"/>
          <w:szCs w:val="32"/>
          <w:lang w:val="en-US" w:eastAsia="zh-CN"/>
        </w:rPr>
        <w:t>、指导意见</w:t>
      </w:r>
    </w:p>
    <w:p w14:paraId="3D202B5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按照市委办公厅、市政府办公厅关于印发《南京市沿江5公里化肥与化学农药“两减”工作方案》的通知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宁委办发〔2019</w:t>
      </w:r>
      <w:bookmarkStart w:id="3" w:name="OLE_LINK2"/>
      <w:r>
        <w:rPr>
          <w:rFonts w:hint="default" w:ascii="Times New Roman" w:hAnsi="Times New Roman" w:eastAsia="方正仿宋_GBK" w:cs="Times New Roman"/>
          <w:sz w:val="32"/>
          <w:szCs w:val="32"/>
        </w:rPr>
        <w:t>〕</w:t>
      </w:r>
      <w:bookmarkEnd w:id="3"/>
      <w:r>
        <w:rPr>
          <w:rFonts w:hint="default" w:ascii="Times New Roman" w:hAnsi="Times New Roman" w:eastAsia="方正仿宋_GBK" w:cs="Times New Roman"/>
          <w:sz w:val="32"/>
          <w:szCs w:val="32"/>
        </w:rPr>
        <w:t>77号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及市农业农村局、市财政局关于印发《&lt;南京市沿江5公里商品有机肥和配方肥推广应用与补贴资金使用实施意见&gt;暨做好化肥与化学农药“两减”资金统筹工作》的通知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宁农计〔2019〕19号 宁财农〔2019〕243 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等文件</w:t>
      </w:r>
      <w:r>
        <w:rPr>
          <w:rFonts w:hint="eastAsia" w:ascii="Times New Roman" w:hAnsi="Times New Roman" w:eastAsia="方正仿宋_GBK" w:cs="Times New Roman"/>
          <w:sz w:val="32"/>
          <w:szCs w:val="32"/>
          <w:lang w:val="en-US" w:eastAsia="zh-CN"/>
        </w:rPr>
        <w:t>精神及要求，开展沿江5公里商品有机肥与配方肥推广补贴工作。</w:t>
      </w:r>
      <w:r>
        <w:rPr>
          <w:rFonts w:hint="default" w:ascii="Times New Roman" w:hAnsi="Times New Roman" w:eastAsia="方正仿宋_GBK" w:cs="Times New Roman"/>
          <w:sz w:val="32"/>
          <w:szCs w:val="32"/>
          <w:lang w:val="en-US" w:eastAsia="zh-CN"/>
        </w:rPr>
        <w:t>八卦洲街道沿江5公里商品有机肥10000吨，市级补贴资金400万元；生物有机肥2000吨，市级补贴资金100万元，区级配套80万元。</w:t>
      </w:r>
    </w:p>
    <w:p w14:paraId="27F2A2FF">
      <w:pPr>
        <w:keepNext w:val="0"/>
        <w:keepLines w:val="0"/>
        <w:pageBreakBefore w:val="0"/>
        <w:widowControl w:val="0"/>
        <w:kinsoku/>
        <w:wordWrap/>
        <w:overflowPunct/>
        <w:topLinePunct w:val="0"/>
        <w:autoSpaceDE/>
        <w:autoSpaceDN/>
        <w:bidi w:val="0"/>
        <w:adjustRightInd/>
        <w:snapToGrid/>
        <w:spacing w:line="520" w:lineRule="atLeast"/>
        <w:ind w:firstLine="640" w:firstLineChars="200"/>
        <w:jc w:val="left"/>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二</w:t>
      </w:r>
      <w:r>
        <w:rPr>
          <w:rFonts w:hint="default" w:ascii="黑体" w:hAnsi="黑体" w:eastAsia="黑体"/>
          <w:sz w:val="32"/>
          <w:szCs w:val="32"/>
          <w:lang w:val="en-US" w:eastAsia="zh-CN"/>
        </w:rPr>
        <w:t>、工作目标</w:t>
      </w:r>
    </w:p>
    <w:p w14:paraId="5127BE07">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default" w:ascii="Times New Roman" w:hAnsi="Times New Roman" w:eastAsia="方正仿宋_GBK"/>
          <w:sz w:val="32"/>
          <w:szCs w:val="32"/>
          <w:highlight w:val="none"/>
          <w:lang w:val="en-US" w:eastAsia="zh-CN"/>
        </w:rPr>
      </w:pPr>
      <w:r>
        <w:rPr>
          <w:rFonts w:hint="default" w:ascii="Times New Roman" w:hAnsi="Times New Roman" w:eastAsia="方正仿宋_GBK"/>
          <w:sz w:val="32"/>
          <w:szCs w:val="32"/>
          <w:highlight w:val="none"/>
          <w:lang w:val="en-US" w:eastAsia="zh-CN"/>
        </w:rPr>
        <w:t>沿江5 公里区域化肥使用量较 2020 年削减 15%</w:t>
      </w:r>
      <w:bookmarkStart w:id="4" w:name="OLE_LINK8"/>
      <w:r>
        <w:rPr>
          <w:rFonts w:hint="eastAsia" w:ascii="Times New Roman" w:hAnsi="Times New Roman" w:eastAsia="方正仿宋_GBK"/>
          <w:sz w:val="32"/>
          <w:szCs w:val="32"/>
          <w:highlight w:val="none"/>
          <w:lang w:val="en-US" w:eastAsia="zh-CN"/>
        </w:rPr>
        <w:t>。</w:t>
      </w:r>
    </w:p>
    <w:p w14:paraId="4B50C1A1">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default" w:ascii="黑体" w:hAnsi="黑体" w:eastAsia="黑体"/>
          <w:sz w:val="32"/>
          <w:szCs w:val="32"/>
          <w:lang w:val="en-US" w:eastAsia="zh-CN"/>
        </w:rPr>
      </w:pPr>
      <w:r>
        <w:rPr>
          <w:rFonts w:hint="eastAsia" w:ascii="黑体" w:hAnsi="黑体" w:eastAsia="黑体"/>
          <w:sz w:val="32"/>
          <w:szCs w:val="32"/>
          <w:lang w:val="en-US" w:eastAsia="zh-CN"/>
        </w:rPr>
        <w:t>三</w:t>
      </w:r>
      <w:r>
        <w:rPr>
          <w:rFonts w:hint="default" w:ascii="黑体" w:hAnsi="黑体" w:eastAsia="黑体"/>
          <w:sz w:val="32"/>
          <w:szCs w:val="32"/>
          <w:lang w:val="en-US" w:eastAsia="zh-CN"/>
        </w:rPr>
        <w:t>、工作重点</w:t>
      </w:r>
    </w:p>
    <w:bookmarkEnd w:id="4"/>
    <w:p w14:paraId="11C8F2F8">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1、科学制订年度实施方案</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强化重要节点工作落实。围绕年度目标，科学合理制订实施方案，落实好各项“两减”措施与任务。要将任务分解落实到各规模农业经营主体和小农户，实现种植农户“两减”措施覆盖率达到 80%以上。抢抓重要农时节点，统筹安排有机肥招标采购及撒施到田等重点工作，确保完成化肥减量任务。</w:t>
      </w:r>
    </w:p>
    <w:p w14:paraId="523F2486">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2、加快工作质效提升</w:t>
      </w:r>
      <w:r>
        <w:rPr>
          <w:rFonts w:hint="eastAsia" w:ascii="Times New Roman" w:hAnsi="Times New Roman" w:eastAsia="方正仿宋_GBK" w:cs="Times New Roman"/>
          <w:sz w:val="32"/>
          <w:szCs w:val="32"/>
          <w:lang w:val="en-US" w:eastAsia="zh-CN"/>
        </w:rPr>
        <w:t>，开展</w:t>
      </w:r>
      <w:r>
        <w:rPr>
          <w:rFonts w:hint="default" w:ascii="Times New Roman" w:hAnsi="Times New Roman" w:eastAsia="方正仿宋_GBK" w:cs="Times New Roman"/>
          <w:sz w:val="32"/>
          <w:szCs w:val="32"/>
          <w:lang w:val="en-US" w:eastAsia="zh-CN"/>
        </w:rPr>
        <w:t>“两减”技术培训宣传。区级主管部门做好有机肥的质量监管。街道要建好</w:t>
      </w:r>
      <w:r>
        <w:rPr>
          <w:rFonts w:hint="default" w:ascii="Times New Roman" w:hAnsi="Times New Roman" w:eastAsia="方正仿宋_GBK"/>
          <w:sz w:val="32"/>
          <w:szCs w:val="32"/>
          <w:highlight w:val="none"/>
          <w:lang w:val="en-US" w:eastAsia="zh-CN"/>
        </w:rPr>
        <w:t>基本</w:t>
      </w:r>
      <w:r>
        <w:rPr>
          <w:rFonts w:hint="default" w:ascii="Times New Roman" w:hAnsi="Times New Roman" w:eastAsia="方正仿宋_GBK" w:cs="Times New Roman"/>
          <w:sz w:val="32"/>
          <w:szCs w:val="32"/>
          <w:lang w:val="en-US" w:eastAsia="zh-CN"/>
        </w:rPr>
        <w:t>数据台账和工作台账，收集整理好过程性资料和证明材料，做到目标、措施、台账相一致。要加强对“两肥”资金监管</w:t>
      </w:r>
      <w:bookmarkStart w:id="5" w:name="OLE_LINK11"/>
      <w:r>
        <w:rPr>
          <w:rFonts w:hint="default" w:ascii="Times New Roman" w:hAnsi="Times New Roman" w:eastAsia="方正仿宋_GBK" w:cs="Times New Roman"/>
          <w:sz w:val="32"/>
          <w:szCs w:val="32"/>
          <w:lang w:val="en-US" w:eastAsia="zh-CN"/>
        </w:rPr>
        <w:t>，</w:t>
      </w:r>
      <w:bookmarkEnd w:id="5"/>
      <w:r>
        <w:rPr>
          <w:rFonts w:hint="default" w:ascii="Times New Roman" w:hAnsi="Times New Roman" w:eastAsia="方正仿宋_GBK" w:cs="Times New Roman"/>
          <w:sz w:val="32"/>
          <w:szCs w:val="32"/>
          <w:lang w:val="en-US" w:eastAsia="zh-CN"/>
        </w:rPr>
        <w:t>加强跟踪审计，确保专款专用。要及时拨付项目补助资金，并在阳光惠民监管平台完成上年度资金凭证等资料的录入工作。针对规模经营主体和小农户不同的技术需求，开展“两减”技术分类培训和宣传。</w:t>
      </w:r>
    </w:p>
    <w:p w14:paraId="586570F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p>
    <w:p w14:paraId="560496AA">
      <w:pPr>
        <w:pStyle w:val="2"/>
        <w:ind w:firstLine="560"/>
        <w:rPr>
          <w:rFonts w:hint="eastAsia"/>
        </w:rPr>
      </w:pPr>
      <w:r>
        <w:rPr>
          <w:rFonts w:hint="eastAsia"/>
        </w:rPr>
        <w:br w:type="page"/>
      </w:r>
    </w:p>
    <w:p w14:paraId="65A6529A">
      <w:pPr>
        <w:spacing w:line="660" w:lineRule="exact"/>
        <w:jc w:val="center"/>
        <w:rPr>
          <w:rFonts w:hint="eastAsia" w:ascii="Times New Roman" w:hAnsi="Times New Roman" w:eastAsia="方正小标宋简体"/>
          <w:sz w:val="44"/>
          <w:szCs w:val="44"/>
          <w:lang w:val="en-US" w:eastAsia="zh-CN"/>
        </w:rPr>
      </w:pPr>
      <w:r>
        <w:rPr>
          <w:rFonts w:hint="eastAsia" w:ascii="Times New Roman" w:hAnsi="Times New Roman" w:eastAsia="方正小标宋_GBK"/>
          <w:sz w:val="44"/>
          <w:szCs w:val="44"/>
          <w:lang w:val="en-US" w:eastAsia="zh-CN"/>
        </w:rPr>
        <w:t xml:space="preserve"> </w:t>
      </w:r>
      <w:r>
        <w:rPr>
          <w:rFonts w:hint="eastAsia" w:ascii="Times New Roman" w:hAnsi="Times New Roman" w:eastAsia="方正小标宋简体"/>
          <w:sz w:val="44"/>
          <w:szCs w:val="44"/>
          <w:lang w:val="en-US" w:eastAsia="zh-CN"/>
        </w:rPr>
        <w:t>农业绿色发展专项—耕地质量建设与保护</w:t>
      </w:r>
    </w:p>
    <w:p w14:paraId="0BD0FF72">
      <w:pPr>
        <w:spacing w:line="660" w:lineRule="exact"/>
        <w:jc w:val="center"/>
        <w:rPr>
          <w:rFonts w:hint="eastAsia" w:ascii="Times New Roman" w:hAnsi="Times New Roman" w:eastAsia="方正小标宋简体"/>
          <w:sz w:val="44"/>
          <w:szCs w:val="44"/>
          <w:lang w:val="en-US" w:eastAsia="zh-CN"/>
        </w:rPr>
      </w:pPr>
      <w:r>
        <w:rPr>
          <w:rFonts w:hint="eastAsia" w:ascii="Times New Roman" w:hAnsi="Times New Roman" w:eastAsia="方正小标宋简体"/>
          <w:sz w:val="44"/>
          <w:szCs w:val="44"/>
          <w:lang w:val="en-US" w:eastAsia="zh-CN"/>
        </w:rPr>
        <w:t>实施指导意见</w:t>
      </w:r>
    </w:p>
    <w:bookmarkEnd w:id="2"/>
    <w:p w14:paraId="27341311">
      <w:pPr>
        <w:spacing w:line="540" w:lineRule="exact"/>
        <w:ind w:firstLine="640" w:firstLineChars="200"/>
        <w:rPr>
          <w:rFonts w:ascii="仿宋_GB2312" w:eastAsia="仿宋_GB2312"/>
          <w:sz w:val="32"/>
          <w:szCs w:val="32"/>
        </w:rPr>
      </w:pPr>
    </w:p>
    <w:p w14:paraId="35A87DDA">
      <w:pPr>
        <w:keepNext w:val="0"/>
        <w:keepLines w:val="0"/>
        <w:pageBreakBefore w:val="0"/>
        <w:widowControl w:val="0"/>
        <w:kinsoku/>
        <w:wordWrap/>
        <w:overflowPunct/>
        <w:topLinePunct w:val="0"/>
        <w:autoSpaceDE/>
        <w:autoSpaceDN/>
        <w:bidi w:val="0"/>
        <w:adjustRightInd/>
        <w:snapToGrid/>
        <w:spacing w:line="520" w:lineRule="atLeast"/>
        <w:ind w:left="0" w:leftChars="0" w:firstLine="640" w:firstLineChars="200"/>
        <w:jc w:val="left"/>
        <w:textAlignment w:val="auto"/>
        <w:rPr>
          <w:rFonts w:hint="eastAsia" w:ascii="黑体" w:hAnsi="黑体" w:eastAsia="黑体"/>
          <w:sz w:val="32"/>
          <w:szCs w:val="32"/>
        </w:rPr>
      </w:pPr>
      <w:r>
        <w:rPr>
          <w:rFonts w:hint="eastAsia" w:ascii="黑体" w:hAnsi="黑体" w:eastAsia="黑体"/>
          <w:sz w:val="32"/>
          <w:szCs w:val="32"/>
        </w:rPr>
        <w:t>一、工作内容</w:t>
      </w:r>
    </w:p>
    <w:p w14:paraId="79A5E4BC">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default" w:ascii="Times New Roman" w:hAnsi="Times New Roman" w:eastAsia="方正仿宋_GBK"/>
          <w:sz w:val="32"/>
          <w:szCs w:val="32"/>
          <w:highlight w:val="none"/>
          <w:lang w:val="en-US" w:eastAsia="zh-CN"/>
        </w:rPr>
      </w:pPr>
      <w:r>
        <w:rPr>
          <w:rFonts w:hint="eastAsia" w:ascii="Times New Roman" w:hAnsi="Times New Roman" w:eastAsia="方正仿宋_GBK" w:cs="方正仿宋_GBK"/>
          <w:kern w:val="0"/>
          <w:sz w:val="32"/>
          <w:szCs w:val="32"/>
        </w:rPr>
        <w:t>切实做好受污染耕地安全利用，从源头保障农产品质量安全</w:t>
      </w:r>
      <w:r>
        <w:rPr>
          <w:rFonts w:hint="eastAsia" w:ascii="Times New Roman" w:hAnsi="Times New Roman" w:eastAsia="方正仿宋_GBK" w:cs="方正仿宋_GBK"/>
          <w:kern w:val="0"/>
          <w:sz w:val="32"/>
          <w:szCs w:val="32"/>
          <w:lang w:eastAsia="zh-CN"/>
        </w:rPr>
        <w:t>。</w:t>
      </w:r>
    </w:p>
    <w:p w14:paraId="500EB854">
      <w:pPr>
        <w:keepNext w:val="0"/>
        <w:keepLines w:val="0"/>
        <w:pageBreakBefore w:val="0"/>
        <w:widowControl w:val="0"/>
        <w:kinsoku/>
        <w:wordWrap/>
        <w:overflowPunct/>
        <w:topLinePunct w:val="0"/>
        <w:autoSpaceDE/>
        <w:autoSpaceDN/>
        <w:bidi w:val="0"/>
        <w:adjustRightInd/>
        <w:snapToGrid/>
        <w:spacing w:line="520" w:lineRule="atLeast"/>
        <w:ind w:firstLine="640" w:firstLineChars="200"/>
        <w:jc w:val="left"/>
        <w:textAlignment w:val="auto"/>
        <w:rPr>
          <w:rFonts w:hint="eastAsia" w:ascii="黑体" w:hAnsi="黑体" w:eastAsia="黑体"/>
          <w:sz w:val="32"/>
          <w:szCs w:val="32"/>
        </w:rPr>
      </w:pPr>
      <w:r>
        <w:rPr>
          <w:rFonts w:hint="eastAsia" w:ascii="黑体" w:hAnsi="黑体" w:eastAsia="黑体"/>
          <w:sz w:val="32"/>
          <w:szCs w:val="32"/>
        </w:rPr>
        <w:t>二、资金预算</w:t>
      </w:r>
    </w:p>
    <w:p w14:paraId="62BB71B3">
      <w:pPr>
        <w:keepNext w:val="0"/>
        <w:keepLines w:val="0"/>
        <w:pageBreakBefore w:val="0"/>
        <w:widowControl w:val="0"/>
        <w:kinsoku/>
        <w:wordWrap/>
        <w:overflowPunct/>
        <w:topLinePunct w:val="0"/>
        <w:autoSpaceDE/>
        <w:autoSpaceDN/>
        <w:bidi w:val="0"/>
        <w:adjustRightInd/>
        <w:snapToGrid/>
        <w:spacing w:line="520" w:lineRule="atLeas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市级资金全区共计100万元。</w:t>
      </w:r>
    </w:p>
    <w:p w14:paraId="7335ECD4">
      <w:pPr>
        <w:keepNext w:val="0"/>
        <w:keepLines w:val="0"/>
        <w:pageBreakBefore w:val="0"/>
        <w:widowControl w:val="0"/>
        <w:kinsoku/>
        <w:wordWrap/>
        <w:overflowPunct/>
        <w:topLinePunct w:val="0"/>
        <w:autoSpaceDE/>
        <w:autoSpaceDN/>
        <w:bidi w:val="0"/>
        <w:adjustRightInd/>
        <w:snapToGrid/>
        <w:spacing w:line="520" w:lineRule="atLeast"/>
        <w:ind w:firstLine="640" w:firstLineChars="200"/>
        <w:jc w:val="left"/>
        <w:textAlignment w:val="auto"/>
        <w:rPr>
          <w:rFonts w:hint="eastAsia" w:ascii="黑体" w:hAnsi="黑体" w:eastAsia="黑体"/>
          <w:sz w:val="32"/>
          <w:szCs w:val="32"/>
          <w:lang w:eastAsia="zh-CN"/>
        </w:rPr>
      </w:pPr>
      <w:r>
        <w:rPr>
          <w:rFonts w:hint="eastAsia" w:ascii="黑体" w:hAnsi="黑体" w:eastAsia="黑体"/>
          <w:sz w:val="32"/>
          <w:szCs w:val="32"/>
          <w:lang w:val="en-US" w:eastAsia="zh-CN"/>
        </w:rPr>
        <w:t>三</w:t>
      </w:r>
      <w:r>
        <w:rPr>
          <w:rFonts w:hint="eastAsia" w:ascii="黑体" w:hAnsi="黑体" w:eastAsia="黑体"/>
          <w:sz w:val="32"/>
          <w:szCs w:val="32"/>
        </w:rPr>
        <w:t>、</w:t>
      </w:r>
      <w:r>
        <w:rPr>
          <w:rFonts w:hint="eastAsia" w:ascii="黑体" w:hAnsi="黑体" w:eastAsia="黑体"/>
          <w:sz w:val="32"/>
          <w:szCs w:val="32"/>
          <w:lang w:val="en-US" w:eastAsia="zh-CN"/>
        </w:rPr>
        <w:t>绩效目标</w:t>
      </w:r>
    </w:p>
    <w:p w14:paraId="65DA6440">
      <w:pPr>
        <w:ind w:firstLine="640" w:firstLineChars="200"/>
        <w:rPr>
          <w:rFonts w:hint="default" w:ascii="Times New Roman" w:hAnsi="Times New Roman" w:eastAsia="方正仿宋_GBK" w:cs="Times New Roman"/>
          <w:color w:val="0000FF"/>
          <w:sz w:val="32"/>
          <w:szCs w:val="32"/>
          <w:lang w:val="en-US" w:eastAsia="zh-CN"/>
        </w:rPr>
      </w:pPr>
      <w:r>
        <w:rPr>
          <w:rFonts w:hint="eastAsia" w:ascii="Times New Roman" w:hAnsi="Times New Roman" w:eastAsia="方正仿宋_GBK" w:cs="方正仿宋_GBK"/>
          <w:kern w:val="0"/>
          <w:sz w:val="32"/>
          <w:szCs w:val="32"/>
        </w:rPr>
        <w:t>受污染耕地安全利用率达到95%以上</w:t>
      </w:r>
      <w:r>
        <w:rPr>
          <w:rFonts w:hint="eastAsia" w:ascii="Times New Roman" w:hAnsi="Times New Roman" w:eastAsia="方正仿宋_GBK" w:cs="方正仿宋_GBK"/>
          <w:kern w:val="0"/>
          <w:sz w:val="32"/>
          <w:szCs w:val="32"/>
          <w:lang w:eastAsia="zh-CN"/>
        </w:rPr>
        <w:t>。</w:t>
      </w:r>
      <w:r>
        <w:rPr>
          <w:rFonts w:hint="default" w:ascii="Times New Roman" w:hAnsi="Times New Roman" w:eastAsia="方正仿宋_GBK" w:cs="Times New Roman"/>
          <w:color w:val="0000FF"/>
          <w:sz w:val="32"/>
          <w:szCs w:val="32"/>
          <w:lang w:val="en-US" w:eastAsia="zh-CN"/>
        </w:rPr>
        <w:br w:type="page"/>
      </w:r>
    </w:p>
    <w:p w14:paraId="10788EBA">
      <w:pPr>
        <w:spacing w:line="660" w:lineRule="exact"/>
        <w:jc w:val="center"/>
        <w:rPr>
          <w:rFonts w:hint="eastAsia" w:ascii="Times New Roman" w:hAnsi="Times New Roman" w:eastAsia="方正小标宋简体"/>
          <w:sz w:val="44"/>
          <w:szCs w:val="44"/>
          <w:lang w:val="en-US" w:eastAsia="zh-CN"/>
        </w:rPr>
      </w:pPr>
      <w:bookmarkStart w:id="6" w:name="OLE_LINK6"/>
      <w:r>
        <w:rPr>
          <w:rFonts w:hint="eastAsia" w:ascii="Times New Roman" w:hAnsi="Times New Roman" w:eastAsia="方正小标宋简体"/>
          <w:sz w:val="44"/>
          <w:szCs w:val="44"/>
          <w:lang w:val="en-US" w:eastAsia="zh-CN"/>
        </w:rPr>
        <w:t>2025年农业绿色发展专项—</w:t>
      </w:r>
    </w:p>
    <w:p w14:paraId="3676EE04">
      <w:pPr>
        <w:spacing w:line="660" w:lineRule="exact"/>
        <w:jc w:val="center"/>
        <w:rPr>
          <w:rFonts w:hint="eastAsia" w:ascii="Times New Roman" w:hAnsi="Times New Roman" w:eastAsia="方正小标宋简体"/>
          <w:sz w:val="44"/>
          <w:szCs w:val="44"/>
          <w:lang w:val="en-US" w:eastAsia="zh-CN"/>
        </w:rPr>
      </w:pPr>
      <w:r>
        <w:rPr>
          <w:rFonts w:hint="eastAsia" w:ascii="Times New Roman" w:hAnsi="Times New Roman" w:eastAsia="方正小标宋简体"/>
          <w:sz w:val="44"/>
          <w:szCs w:val="44"/>
          <w:lang w:val="en-US" w:eastAsia="zh-CN"/>
        </w:rPr>
        <w:t>开展农村能源维护体系建设与安全生产</w:t>
      </w:r>
    </w:p>
    <w:p w14:paraId="2AFBF636">
      <w:pPr>
        <w:spacing w:line="660" w:lineRule="exact"/>
        <w:jc w:val="center"/>
        <w:rPr>
          <w:rFonts w:hint="eastAsia" w:ascii="Times New Roman" w:hAnsi="Times New Roman" w:eastAsia="方正小标宋简体"/>
          <w:sz w:val="44"/>
          <w:szCs w:val="44"/>
          <w:lang w:val="en-US" w:eastAsia="zh-CN"/>
        </w:rPr>
      </w:pPr>
      <w:r>
        <w:rPr>
          <w:rFonts w:hint="eastAsia" w:ascii="Times New Roman" w:hAnsi="Times New Roman" w:eastAsia="方正小标宋简体"/>
          <w:sz w:val="44"/>
          <w:szCs w:val="44"/>
          <w:lang w:val="en-US" w:eastAsia="zh-CN"/>
        </w:rPr>
        <w:t>监管实施指导意见</w:t>
      </w:r>
      <w:bookmarkEnd w:id="6"/>
    </w:p>
    <w:p w14:paraId="3CE13E84">
      <w:pPr>
        <w:spacing w:line="600" w:lineRule="exact"/>
        <w:rPr>
          <w:rFonts w:ascii="Times New Roman" w:hAnsi="Times New Roman" w:eastAsia="仿宋_GB2312"/>
          <w:sz w:val="32"/>
          <w:szCs w:val="32"/>
        </w:rPr>
      </w:pPr>
    </w:p>
    <w:p w14:paraId="43BA72A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一、工作目标</w:t>
      </w:r>
    </w:p>
    <w:p w14:paraId="4C73D6AF">
      <w:pPr>
        <w:numPr>
          <w:ilvl w:val="0"/>
          <w:numId w:val="0"/>
        </w:numPr>
        <w:spacing w:line="48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根据市级要求，着力强化农村能源安全监管，开展农村能源维护体系建设与安全生产监管工作（主体包含沼气设施、秸秆综合利用企业及收储场所）。</w:t>
      </w:r>
    </w:p>
    <w:p w14:paraId="60B9599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val="en-US" w:eastAsia="zh-CN"/>
        </w:rPr>
      </w:pPr>
      <w:bookmarkStart w:id="7" w:name="OLE_LINK5"/>
      <w:r>
        <w:rPr>
          <w:rFonts w:hint="eastAsia" w:ascii="黑体" w:hAnsi="黑体" w:eastAsia="黑体" w:cs="黑体"/>
          <w:sz w:val="32"/>
          <w:szCs w:val="32"/>
          <w:lang w:val="en-US" w:eastAsia="zh-CN"/>
        </w:rPr>
        <w:t>二、工作内容</w:t>
      </w:r>
    </w:p>
    <w:bookmarkEnd w:id="7"/>
    <w:p w14:paraId="6F624DE7">
      <w:pPr>
        <w:numPr>
          <w:ilvl w:val="0"/>
          <w:numId w:val="0"/>
        </w:numPr>
        <w:spacing w:line="480" w:lineRule="exact"/>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支持农村能源维护体系建设与安全生产监管，支持沼气工程含秸秆气化站)的维护、报废拆除和服务体系建设，支持农村能源安全生产宣传培训、隐患排查等，开展农村能源安全生产相关工作的培训。</w:t>
      </w:r>
    </w:p>
    <w:p w14:paraId="3183B75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三、资金补助标准</w:t>
      </w:r>
    </w:p>
    <w:p w14:paraId="20DEBFAF">
      <w:pPr>
        <w:numPr>
          <w:ilvl w:val="0"/>
          <w:numId w:val="0"/>
        </w:numPr>
        <w:spacing w:line="480" w:lineRule="exact"/>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全区共计5万元。</w:t>
      </w:r>
    </w:p>
    <w:p w14:paraId="7AC5C370">
      <w:pPr>
        <w:numPr>
          <w:ilvl w:val="0"/>
          <w:numId w:val="0"/>
        </w:numPr>
        <w:spacing w:line="480" w:lineRule="exact"/>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br w:type="page"/>
      </w:r>
    </w:p>
    <w:p w14:paraId="16DC58A5">
      <w:pPr>
        <w:spacing w:line="660" w:lineRule="exact"/>
        <w:jc w:val="center"/>
        <w:rPr>
          <w:rFonts w:hint="eastAsia" w:ascii="Times New Roman" w:hAnsi="Times New Roman" w:eastAsia="方正小标宋简体"/>
          <w:sz w:val="44"/>
          <w:szCs w:val="44"/>
          <w:lang w:val="en-US" w:eastAsia="zh-CN"/>
        </w:rPr>
      </w:pPr>
      <w:r>
        <w:rPr>
          <w:rFonts w:hint="eastAsia" w:ascii="Times New Roman" w:hAnsi="Times New Roman" w:eastAsia="方正小标宋简体"/>
          <w:sz w:val="44"/>
          <w:szCs w:val="44"/>
          <w:lang w:val="en-US" w:eastAsia="zh-CN"/>
        </w:rPr>
        <w:t>2025年农业绿色发展专项</w:t>
      </w:r>
      <w:bookmarkStart w:id="8" w:name="OLE_LINK12"/>
      <w:r>
        <w:rPr>
          <w:rFonts w:hint="eastAsia" w:ascii="Times New Roman" w:hAnsi="Times New Roman" w:eastAsia="方正小标宋简体"/>
          <w:sz w:val="44"/>
          <w:szCs w:val="44"/>
          <w:lang w:val="en-US" w:eastAsia="zh-CN"/>
        </w:rPr>
        <w:t>—</w:t>
      </w:r>
      <w:bookmarkEnd w:id="8"/>
    </w:p>
    <w:p w14:paraId="6823223E">
      <w:pPr>
        <w:spacing w:line="660" w:lineRule="exact"/>
        <w:jc w:val="center"/>
        <w:rPr>
          <w:rFonts w:hint="eastAsia" w:ascii="Times New Roman" w:hAnsi="Times New Roman" w:eastAsia="方正小标宋简体"/>
          <w:sz w:val="44"/>
          <w:szCs w:val="44"/>
          <w:lang w:val="en-US" w:eastAsia="zh-CN"/>
        </w:rPr>
      </w:pPr>
      <w:r>
        <w:rPr>
          <w:rFonts w:hint="eastAsia" w:ascii="Times New Roman" w:hAnsi="Times New Roman" w:eastAsia="方正小标宋简体"/>
          <w:sz w:val="44"/>
          <w:szCs w:val="44"/>
          <w:lang w:val="en-US" w:eastAsia="zh-CN"/>
        </w:rPr>
        <w:t>开展</w:t>
      </w:r>
      <w:bookmarkStart w:id="9" w:name="OLE_LINK7"/>
      <w:r>
        <w:rPr>
          <w:rFonts w:hint="eastAsia" w:ascii="Times New Roman" w:hAnsi="Times New Roman" w:eastAsia="方正小标宋简体"/>
          <w:sz w:val="44"/>
          <w:szCs w:val="44"/>
          <w:lang w:val="en-US" w:eastAsia="zh-CN"/>
        </w:rPr>
        <w:t>秸秆收储与多种形式利用补助</w:t>
      </w:r>
      <w:bookmarkEnd w:id="9"/>
      <w:r>
        <w:rPr>
          <w:rFonts w:hint="eastAsia" w:ascii="Times New Roman" w:hAnsi="Times New Roman" w:eastAsia="方正小标宋简体"/>
          <w:sz w:val="44"/>
          <w:szCs w:val="44"/>
          <w:lang w:val="en-US" w:eastAsia="zh-CN"/>
        </w:rPr>
        <w:t>工作</w:t>
      </w:r>
    </w:p>
    <w:p w14:paraId="7E86C31C">
      <w:pPr>
        <w:spacing w:line="660" w:lineRule="exact"/>
        <w:jc w:val="center"/>
        <w:rPr>
          <w:rFonts w:hint="eastAsia" w:ascii="Times New Roman" w:hAnsi="Times New Roman" w:eastAsia="方正小标宋简体"/>
          <w:sz w:val="44"/>
          <w:szCs w:val="44"/>
          <w:lang w:val="en-US" w:eastAsia="zh-CN"/>
        </w:rPr>
      </w:pPr>
      <w:r>
        <w:rPr>
          <w:rFonts w:hint="eastAsia" w:ascii="Times New Roman" w:hAnsi="Times New Roman" w:eastAsia="方正小标宋简体"/>
          <w:sz w:val="44"/>
          <w:szCs w:val="44"/>
          <w:lang w:val="en-US" w:eastAsia="zh-CN"/>
        </w:rPr>
        <w:t>实施指导意见</w:t>
      </w:r>
    </w:p>
    <w:p w14:paraId="32272A5F">
      <w:pPr>
        <w:spacing w:line="480" w:lineRule="exact"/>
        <w:rPr>
          <w:rFonts w:hint="eastAsia" w:ascii="Times New Roman" w:hAnsi="Times New Roman" w:eastAsia="方正仿宋_GBK"/>
          <w:sz w:val="32"/>
          <w:szCs w:val="32"/>
        </w:rPr>
      </w:pPr>
    </w:p>
    <w:p w14:paraId="2CBBE37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val="en-US" w:eastAsia="zh-CN"/>
        </w:rPr>
      </w:pPr>
      <w:bookmarkStart w:id="10" w:name="OLE_LINK14"/>
      <w:r>
        <w:rPr>
          <w:rFonts w:hint="eastAsia" w:ascii="黑体" w:hAnsi="黑体" w:eastAsia="黑体" w:cs="黑体"/>
          <w:sz w:val="32"/>
          <w:szCs w:val="32"/>
          <w:lang w:val="en-US" w:eastAsia="zh-CN"/>
        </w:rPr>
        <w:t>一、支持环节</w:t>
      </w:r>
    </w:p>
    <w:p w14:paraId="0A04296D">
      <w:pPr>
        <w:keepNext w:val="0"/>
        <w:keepLines w:val="0"/>
        <w:pageBreakBefore w:val="0"/>
        <w:widowControl w:val="0"/>
        <w:kinsoku/>
        <w:wordWrap/>
        <w:overflowPunct/>
        <w:topLinePunct w:val="0"/>
        <w:autoSpaceDE/>
        <w:autoSpaceDN/>
        <w:bidi w:val="0"/>
        <w:adjustRightInd/>
        <w:snapToGrid/>
        <w:spacing w:line="480" w:lineRule="exact"/>
        <w:ind w:left="200" w:right="0" w:rightChars="0" w:firstLine="640" w:firstLineChars="200"/>
        <w:jc w:val="both"/>
        <w:textAlignment w:val="auto"/>
        <w:outlineLvl w:val="9"/>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根据市级要求，开展秸秆收储与多种形式利用补助工作。</w:t>
      </w:r>
      <w:r>
        <w:rPr>
          <w:rFonts w:ascii="Times New Roman" w:hAnsi="Times New Roman" w:eastAsia="方正仿宋_GBK"/>
          <w:color w:val="000000"/>
          <w:sz w:val="32"/>
          <w:szCs w:val="32"/>
        </w:rPr>
        <w:t>202</w:t>
      </w:r>
      <w:r>
        <w:rPr>
          <w:rFonts w:hint="eastAsia" w:ascii="Times New Roman" w:hAnsi="Times New Roman" w:eastAsia="方正仿宋_GBK"/>
          <w:color w:val="000000"/>
          <w:sz w:val="32"/>
          <w:szCs w:val="32"/>
          <w:lang w:val="en-US" w:eastAsia="zh-CN"/>
        </w:rPr>
        <w:t>4</w:t>
      </w:r>
      <w:r>
        <w:rPr>
          <w:rFonts w:ascii="Times New Roman" w:hAnsi="Times New Roman" w:eastAsia="方正仿宋_GBK"/>
          <w:color w:val="000000"/>
          <w:sz w:val="32"/>
          <w:szCs w:val="32"/>
        </w:rPr>
        <w:t>-202</w:t>
      </w:r>
      <w:r>
        <w:rPr>
          <w:rFonts w:hint="eastAsia" w:ascii="Times New Roman" w:hAnsi="Times New Roman" w:eastAsia="方正仿宋_GBK"/>
          <w:color w:val="000000"/>
          <w:sz w:val="32"/>
          <w:szCs w:val="32"/>
          <w:lang w:val="en-US" w:eastAsia="zh-CN"/>
        </w:rPr>
        <w:t>5</w:t>
      </w:r>
      <w:r>
        <w:rPr>
          <w:rFonts w:ascii="Times New Roman" w:hAnsi="Times New Roman" w:eastAsia="方正仿宋_GBK"/>
          <w:color w:val="000000"/>
          <w:sz w:val="32"/>
          <w:szCs w:val="32"/>
        </w:rPr>
        <w:t>年秸秆综合利用补助项目实行先建后补，类型为：加工利用主体秸秆规模化利用补助。申报秸秆规模化利用补助的加工利用主体的年度秸秆利用量不低于1000吨。申报主体需提供与农民、秸秆收储组织等约定收购当地秸秆的付款凭据或其他相关凭据（凭据上标有农民、秸秆收储组织等签名、联系方式，便于查证），以及主要生产设备参数、原料入库单、产品出库单、销售票据、电力消耗等证明材料。无需上报实施方案。</w:t>
      </w:r>
    </w:p>
    <w:p w14:paraId="2FE225B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二、扶持对象</w:t>
      </w:r>
    </w:p>
    <w:p w14:paraId="2650FC16">
      <w:pPr>
        <w:numPr>
          <w:ilvl w:val="0"/>
          <w:numId w:val="0"/>
        </w:numPr>
        <w:spacing w:line="480" w:lineRule="exact"/>
        <w:ind w:firstLine="640" w:firstLineChars="200"/>
        <w:rPr>
          <w:rFonts w:hint="eastAsia" w:ascii="Times New Roman" w:hAnsi="Times New Roman" w:eastAsia="方正仿宋_GBK"/>
          <w:sz w:val="32"/>
          <w:szCs w:val="32"/>
          <w:lang w:val="en-US" w:eastAsia="zh-CN"/>
        </w:rPr>
      </w:pPr>
      <w:r>
        <w:rPr>
          <w:rFonts w:ascii="Times New Roman" w:hAnsi="Times New Roman" w:eastAsia="方正仿宋_GBK"/>
          <w:color w:val="000000"/>
          <w:sz w:val="32"/>
          <w:szCs w:val="32"/>
        </w:rPr>
        <w:t>全区范围内开展秸秆收储和进行秸秆肥料化、饲料化、基料化、能源化、原料化利用的各类主体，包括：农机合作社、家庭农场、村社集体、秸秆收储组织、秸秆加工利用企业等。</w:t>
      </w:r>
    </w:p>
    <w:p w14:paraId="68BD451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补助标准</w:t>
      </w:r>
    </w:p>
    <w:p w14:paraId="7459DDB1">
      <w:pPr>
        <w:numPr>
          <w:ilvl w:val="0"/>
          <w:numId w:val="0"/>
        </w:numPr>
        <w:spacing w:line="480" w:lineRule="exact"/>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对秸秆规模化利用主体，年消耗本市秸秆量1000</w:t>
      </w:r>
      <w:bookmarkStart w:id="11" w:name="OLE_LINK13"/>
      <w:r>
        <w:rPr>
          <w:rFonts w:hint="eastAsia" w:ascii="Times New Roman" w:hAnsi="Times New Roman" w:eastAsia="方正仿宋_GBK"/>
          <w:sz w:val="32"/>
          <w:szCs w:val="32"/>
          <w:lang w:val="en-US" w:eastAsia="zh-CN"/>
        </w:rPr>
        <w:t>（含）</w:t>
      </w:r>
      <w:bookmarkEnd w:id="11"/>
      <w:r>
        <w:rPr>
          <w:rFonts w:hint="eastAsia" w:ascii="Times New Roman" w:hAnsi="Times New Roman" w:eastAsia="方正仿宋_GBK"/>
          <w:sz w:val="32"/>
          <w:szCs w:val="32"/>
          <w:lang w:val="en-US" w:eastAsia="zh-CN"/>
        </w:rPr>
        <w:t>-2000吨的补助5万元/年；年消耗本市秸秆量2000（含）-4000吨的补助10万元/年；</w:t>
      </w:r>
      <w:bookmarkStart w:id="12" w:name="OLE_LINK9"/>
      <w:r>
        <w:rPr>
          <w:rFonts w:hint="eastAsia" w:ascii="Times New Roman" w:hAnsi="Times New Roman" w:eastAsia="方正仿宋_GBK"/>
          <w:sz w:val="32"/>
          <w:szCs w:val="32"/>
          <w:lang w:val="en-US" w:eastAsia="zh-CN"/>
        </w:rPr>
        <w:t>年消耗本市秸秆量4000（含）-6000吨的补助15万元/年；</w:t>
      </w:r>
      <w:bookmarkEnd w:id="12"/>
      <w:bookmarkStart w:id="13" w:name="OLE_LINK10"/>
      <w:r>
        <w:rPr>
          <w:rFonts w:hint="eastAsia" w:ascii="Times New Roman" w:hAnsi="Times New Roman" w:eastAsia="方正仿宋_GBK"/>
          <w:sz w:val="32"/>
          <w:szCs w:val="32"/>
          <w:lang w:val="en-US" w:eastAsia="zh-CN"/>
        </w:rPr>
        <w:t>年消耗本市秸秆量6000（含）-8000吨的补助20万元/年；</w:t>
      </w:r>
      <w:bookmarkEnd w:id="13"/>
      <w:r>
        <w:rPr>
          <w:rFonts w:hint="eastAsia" w:ascii="Times New Roman" w:hAnsi="Times New Roman" w:eastAsia="方正仿宋_GBK"/>
          <w:sz w:val="32"/>
          <w:szCs w:val="32"/>
          <w:lang w:val="en-US" w:eastAsia="zh-CN"/>
        </w:rPr>
        <w:t>年消耗本市秸秆量8000（含）-10000吨的补助25万元/年；年消耗本市秸秆量10000（含）吨以上的补助30万元/年。</w:t>
      </w:r>
    </w:p>
    <w:p w14:paraId="0B41621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default" w:ascii="黑体" w:hAnsi="黑体" w:eastAsia="黑体" w:cs="黑体"/>
          <w:sz w:val="32"/>
          <w:szCs w:val="32"/>
          <w:lang w:val="en-US" w:eastAsia="zh-CN"/>
        </w:rPr>
        <w:t>、建设期限</w:t>
      </w:r>
    </w:p>
    <w:p w14:paraId="55A19E82">
      <w:pPr>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ascii="Times New Roman" w:hAnsi="Times New Roman" w:eastAsia="方正仿宋_GBK"/>
          <w:color w:val="000000"/>
          <w:sz w:val="32"/>
          <w:szCs w:val="32"/>
          <w:highlight w:val="none"/>
        </w:rPr>
      </w:pPr>
      <w:r>
        <w:rPr>
          <w:rFonts w:hint="eastAsia" w:ascii="Times New Roman" w:hAnsi="Times New Roman" w:eastAsia="方正仿宋_GBK"/>
          <w:sz w:val="32"/>
          <w:szCs w:val="32"/>
        </w:rPr>
        <w:t>补助期限为：202</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年7月1日</w:t>
      </w:r>
      <w:r>
        <w:rPr>
          <w:rFonts w:hint="eastAsia" w:ascii="Times New Roman" w:hAnsi="Times New Roman" w:eastAsia="方正仿宋_GBK"/>
          <w:sz w:val="32"/>
          <w:szCs w:val="32"/>
          <w:highlight w:val="none"/>
        </w:rPr>
        <w:t>至202</w:t>
      </w:r>
      <w:r>
        <w:rPr>
          <w:rFonts w:hint="eastAsia" w:ascii="Times New Roman" w:hAnsi="Times New Roman" w:eastAsia="方正仿宋_GBK"/>
          <w:sz w:val="32"/>
          <w:szCs w:val="32"/>
          <w:highlight w:val="none"/>
          <w:lang w:val="en-US" w:eastAsia="zh-CN"/>
        </w:rPr>
        <w:t>5</w:t>
      </w:r>
      <w:r>
        <w:rPr>
          <w:rFonts w:hint="eastAsia" w:ascii="Times New Roman" w:hAnsi="Times New Roman" w:eastAsia="方正仿宋_GBK"/>
          <w:sz w:val="32"/>
          <w:szCs w:val="32"/>
          <w:highlight w:val="none"/>
        </w:rPr>
        <w:t>年6月30日期间完成（建成）符合申报条件的项目，项目单位于202</w:t>
      </w:r>
      <w:r>
        <w:rPr>
          <w:rFonts w:hint="eastAsia" w:ascii="Times New Roman" w:hAnsi="Times New Roman" w:eastAsia="方正仿宋_GBK"/>
          <w:sz w:val="32"/>
          <w:szCs w:val="32"/>
          <w:highlight w:val="none"/>
          <w:lang w:val="en-US" w:eastAsia="zh-CN"/>
        </w:rPr>
        <w:t>5</w:t>
      </w:r>
      <w:r>
        <w:rPr>
          <w:rFonts w:hint="eastAsia" w:ascii="Times New Roman" w:hAnsi="Times New Roman" w:eastAsia="方正仿宋_GBK"/>
          <w:sz w:val="32"/>
          <w:szCs w:val="32"/>
          <w:highlight w:val="none"/>
        </w:rPr>
        <w:t>年</w:t>
      </w:r>
      <w:r>
        <w:rPr>
          <w:rFonts w:hint="eastAsia" w:ascii="Times New Roman" w:hAnsi="Times New Roman" w:eastAsia="方正仿宋_GBK"/>
          <w:sz w:val="32"/>
          <w:szCs w:val="32"/>
          <w:highlight w:val="none"/>
          <w:lang w:val="en-US" w:eastAsia="zh-CN"/>
        </w:rPr>
        <w:t>9</w:t>
      </w:r>
      <w:r>
        <w:rPr>
          <w:rFonts w:hint="eastAsia" w:ascii="Times New Roman" w:hAnsi="Times New Roman" w:eastAsia="方正仿宋_GBK"/>
          <w:sz w:val="32"/>
          <w:szCs w:val="32"/>
          <w:highlight w:val="none"/>
        </w:rPr>
        <w:t>月30日之前向农业主管部门申请核查验收。</w:t>
      </w:r>
    </w:p>
    <w:p w14:paraId="01BD6CD4">
      <w:pPr>
        <w:numPr>
          <w:ilvl w:val="0"/>
          <w:numId w:val="0"/>
        </w:numPr>
        <w:spacing w:line="480" w:lineRule="exact"/>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全区共计23万元。</w:t>
      </w:r>
      <w:bookmarkEnd w:id="10"/>
    </w:p>
    <w:p w14:paraId="3AC41EDA">
      <w:pPr>
        <w:pStyle w:val="2"/>
        <w:ind w:left="0" w:leftChars="0" w:firstLine="0" w:firstLineChars="0"/>
        <w:rPr>
          <w:rFonts w:hint="eastAsia"/>
          <w:lang w:val="en-US" w:eastAsia="zh-CN"/>
        </w:rPr>
      </w:pPr>
      <w:r>
        <w:rPr>
          <w:rFonts w:hint="eastAsia"/>
          <w:lang w:val="en-US" w:eastAsia="zh-CN"/>
        </w:rPr>
        <w:br w:type="page"/>
      </w:r>
    </w:p>
    <w:p w14:paraId="67D34FF6">
      <w:pPr>
        <w:spacing w:line="660" w:lineRule="exact"/>
        <w:jc w:val="center"/>
        <w:rPr>
          <w:rFonts w:hint="eastAsia" w:ascii="Times New Roman" w:hAnsi="Times New Roman" w:eastAsia="方正小标宋简体"/>
          <w:sz w:val="44"/>
          <w:szCs w:val="44"/>
          <w:lang w:val="en-US" w:eastAsia="zh-CN"/>
        </w:rPr>
      </w:pPr>
      <w:r>
        <w:rPr>
          <w:rFonts w:hint="eastAsia" w:ascii="Times New Roman" w:hAnsi="Times New Roman" w:eastAsia="方正小标宋简体"/>
          <w:sz w:val="44"/>
          <w:szCs w:val="44"/>
          <w:lang w:val="en-US" w:eastAsia="zh-CN"/>
        </w:rPr>
        <w:t>绿色农业发展专项-农产品质量安全监管</w:t>
      </w:r>
    </w:p>
    <w:p w14:paraId="571939FC">
      <w:pPr>
        <w:spacing w:line="660" w:lineRule="exact"/>
        <w:jc w:val="center"/>
        <w:rPr>
          <w:rFonts w:hint="eastAsia" w:ascii="Times New Roman" w:hAnsi="Times New Roman" w:eastAsia="方正小标宋简体"/>
          <w:sz w:val="44"/>
          <w:szCs w:val="44"/>
          <w:lang w:val="en-US" w:eastAsia="zh-CN"/>
        </w:rPr>
      </w:pPr>
      <w:r>
        <w:rPr>
          <w:rFonts w:hint="eastAsia" w:ascii="Times New Roman" w:hAnsi="Times New Roman" w:eastAsia="方正小标宋简体"/>
          <w:sz w:val="44"/>
          <w:szCs w:val="44"/>
          <w:lang w:val="en-US" w:eastAsia="zh-CN"/>
        </w:rPr>
        <w:t>实施指导意见</w:t>
      </w:r>
    </w:p>
    <w:p w14:paraId="6B599B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一、工作内容</w:t>
      </w:r>
    </w:p>
    <w:p w14:paraId="6A946EAF">
      <w:pPr>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Times New Roman" w:hAnsi="Times New Roman" w:eastAsia="方正仿宋_GBK"/>
          <w:color w:val="000000"/>
          <w:sz w:val="32"/>
          <w:szCs w:val="32"/>
          <w:highlight w:val="none"/>
          <w:lang w:val="en-US" w:eastAsia="zh-CN"/>
        </w:rPr>
      </w:pPr>
      <w:r>
        <w:rPr>
          <w:rFonts w:hint="eastAsia" w:ascii="Times New Roman" w:hAnsi="Times New Roman" w:eastAsia="方正仿宋_GBK"/>
          <w:color w:val="000000"/>
          <w:sz w:val="32"/>
          <w:szCs w:val="32"/>
          <w:highlight w:val="none"/>
          <w:lang w:val="en-US" w:eastAsia="zh-CN"/>
        </w:rPr>
        <w:t>1、对栖霞区辖区内的地产农产品上市前定量检测和快速检测，加强风险监测预警。突出重点品种，加大特色农产品监测力度，提高监测效能。</w:t>
      </w:r>
    </w:p>
    <w:p w14:paraId="0245A0E9">
      <w:pPr>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Times New Roman" w:hAnsi="Times New Roman" w:eastAsia="方正仿宋_GBK"/>
          <w:color w:val="000000"/>
          <w:sz w:val="32"/>
          <w:szCs w:val="32"/>
          <w:highlight w:val="none"/>
          <w:lang w:val="en-US" w:eastAsia="zh-CN"/>
        </w:rPr>
      </w:pPr>
      <w:r>
        <w:rPr>
          <w:rFonts w:hint="eastAsia" w:ascii="Times New Roman" w:hAnsi="Times New Roman" w:eastAsia="方正仿宋_GBK"/>
          <w:color w:val="000000"/>
          <w:sz w:val="32"/>
          <w:szCs w:val="32"/>
          <w:highlight w:val="none"/>
          <w:lang w:val="en-US" w:eastAsia="zh-CN"/>
        </w:rPr>
        <w:t>2、对监管员、协管员和生产主体等进行培训，对江苏省农产品质量追溯平台的入网主体进行维护和数据汇总，以及其他农产品质量安全监管工作。</w:t>
      </w:r>
    </w:p>
    <w:p w14:paraId="4F4FDF3A">
      <w:pPr>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Times New Roman" w:hAnsi="Times New Roman" w:eastAsia="方正仿宋_GBK"/>
          <w:color w:val="000000"/>
          <w:sz w:val="32"/>
          <w:szCs w:val="32"/>
          <w:highlight w:val="none"/>
          <w:lang w:val="en-US" w:eastAsia="zh-CN"/>
        </w:rPr>
      </w:pPr>
      <w:r>
        <w:rPr>
          <w:rFonts w:hint="eastAsia" w:ascii="Times New Roman" w:hAnsi="Times New Roman" w:eastAsia="方正仿宋_GBK"/>
          <w:color w:val="000000"/>
          <w:sz w:val="32"/>
          <w:szCs w:val="32"/>
          <w:highlight w:val="none"/>
          <w:lang w:val="en-US" w:eastAsia="zh-CN"/>
        </w:rPr>
        <w:t>3、实施胶体金对比精确度测试。</w:t>
      </w:r>
    </w:p>
    <w:p w14:paraId="40CB2F2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二、经费预算</w:t>
      </w:r>
    </w:p>
    <w:p w14:paraId="3032D36F">
      <w:pPr>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Times New Roman" w:hAnsi="Times New Roman" w:eastAsia="方正仿宋_GBK"/>
          <w:color w:val="000000"/>
          <w:sz w:val="32"/>
          <w:szCs w:val="32"/>
          <w:highlight w:val="none"/>
          <w:lang w:val="en-US" w:eastAsia="zh-CN"/>
        </w:rPr>
      </w:pPr>
      <w:r>
        <w:rPr>
          <w:rFonts w:hint="eastAsia" w:ascii="Times New Roman" w:hAnsi="Times New Roman" w:eastAsia="方正仿宋_GBK"/>
          <w:color w:val="000000"/>
          <w:sz w:val="32"/>
          <w:szCs w:val="32"/>
          <w:highlight w:val="none"/>
          <w:lang w:val="en-US" w:eastAsia="zh-CN"/>
        </w:rPr>
        <w:t>全区共计24.5万元。</w:t>
      </w:r>
    </w:p>
    <w:p w14:paraId="11EDE2AD">
      <w:pPr>
        <w:rPr>
          <w:rFonts w:hint="eastAsia" w:ascii="Times New Roman" w:hAnsi="Times New Roman" w:eastAsia="方正仿宋_GBK"/>
          <w:color w:val="000000"/>
          <w:sz w:val="32"/>
          <w:szCs w:val="32"/>
          <w:highlight w:val="none"/>
          <w:lang w:val="en-US" w:eastAsia="zh-CN"/>
        </w:rPr>
      </w:pPr>
      <w:r>
        <w:rPr>
          <w:rFonts w:hint="eastAsia" w:ascii="Times New Roman" w:hAnsi="Times New Roman" w:eastAsia="方正仿宋_GBK"/>
          <w:color w:val="000000"/>
          <w:sz w:val="32"/>
          <w:szCs w:val="32"/>
          <w:highlight w:val="none"/>
          <w:lang w:val="en-US" w:eastAsia="zh-CN"/>
        </w:rPr>
        <w:br w:type="page"/>
      </w:r>
    </w:p>
    <w:p w14:paraId="5E8C5763">
      <w:pPr>
        <w:spacing w:line="660" w:lineRule="exact"/>
        <w:jc w:val="center"/>
        <w:rPr>
          <w:rFonts w:hint="eastAsia" w:ascii="Times New Roman" w:hAnsi="Times New Roman" w:eastAsia="方正小标宋简体"/>
          <w:sz w:val="44"/>
          <w:szCs w:val="44"/>
          <w:lang w:val="en-US" w:eastAsia="zh-CN"/>
        </w:rPr>
      </w:pPr>
      <w:r>
        <w:rPr>
          <w:rFonts w:hint="eastAsia" w:ascii="Times New Roman" w:hAnsi="Times New Roman" w:eastAsia="方正小标宋简体"/>
          <w:sz w:val="44"/>
          <w:szCs w:val="44"/>
          <w:lang w:val="en-US" w:eastAsia="zh-CN"/>
        </w:rPr>
        <w:t>2025年农业绿色发展专项—动物及动物产品安全保障资金实施指导意见</w:t>
      </w:r>
    </w:p>
    <w:p w14:paraId="455205DC">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一、工作目标</w:t>
      </w:r>
    </w:p>
    <w:p w14:paraId="4CD7EC23">
      <w:pPr>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Times New Roman" w:hAnsi="Times New Roman" w:eastAsia="方正仿宋_GBK"/>
          <w:color w:val="000000"/>
          <w:sz w:val="32"/>
          <w:szCs w:val="32"/>
          <w:highlight w:val="none"/>
          <w:lang w:val="en-US" w:eastAsia="zh-CN"/>
        </w:rPr>
      </w:pPr>
      <w:r>
        <w:rPr>
          <w:rFonts w:hint="eastAsia" w:ascii="Times New Roman" w:hAnsi="Times New Roman" w:eastAsia="方正仿宋_GBK"/>
          <w:color w:val="000000"/>
          <w:sz w:val="32"/>
          <w:szCs w:val="32"/>
          <w:highlight w:val="none"/>
          <w:lang w:val="en-US" w:eastAsia="zh-CN"/>
        </w:rPr>
        <w:t>高致病性禽流感、口蹄疫、小反刍兽疫等重大动物疫病群体免疫密度达到90%以上，应免畜禽免疫密度达到100%，免疫抗体合格率保持在70%以上。统筹抓好猪瘟、猪繁殖与呼吸综合征、新城疫等病种的免疫工作。坚持人病兽防、关口前移，重点做好布鲁氏菌病、狂犬病、血吸虫等人兽共患病的防控工作。</w:t>
      </w:r>
    </w:p>
    <w:p w14:paraId="737E586A">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二、资金来源</w:t>
      </w:r>
    </w:p>
    <w:p w14:paraId="1641D8F1">
      <w:pPr>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Times New Roman" w:hAnsi="Times New Roman" w:eastAsia="方正仿宋_GBK"/>
          <w:color w:val="000000"/>
          <w:sz w:val="32"/>
          <w:szCs w:val="32"/>
          <w:highlight w:val="none"/>
          <w:lang w:val="en-US" w:eastAsia="zh-CN"/>
        </w:rPr>
      </w:pPr>
      <w:r>
        <w:rPr>
          <w:rFonts w:hint="eastAsia" w:ascii="Times New Roman" w:hAnsi="Times New Roman" w:eastAsia="方正仿宋_GBK"/>
          <w:color w:val="000000"/>
          <w:sz w:val="32"/>
          <w:szCs w:val="32"/>
          <w:highlight w:val="none"/>
          <w:lang w:val="en-US" w:eastAsia="zh-CN"/>
        </w:rPr>
        <w:t>来源于2025年第一批市级农业专项资金-农业绿色发展专项-动物及动物产品安全保障，共计12万元。</w:t>
      </w:r>
    </w:p>
    <w:p w14:paraId="29DF1393">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三、补助主体</w:t>
      </w:r>
    </w:p>
    <w:p w14:paraId="7202F60A">
      <w:pPr>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Times New Roman" w:hAnsi="Times New Roman" w:eastAsia="方正仿宋_GBK"/>
          <w:color w:val="000000"/>
          <w:sz w:val="32"/>
          <w:szCs w:val="32"/>
          <w:highlight w:val="none"/>
          <w:lang w:val="en-US" w:eastAsia="zh-CN"/>
        </w:rPr>
      </w:pPr>
      <w:r>
        <w:rPr>
          <w:rFonts w:hint="eastAsia" w:ascii="Times New Roman" w:hAnsi="Times New Roman" w:eastAsia="方正仿宋_GBK"/>
          <w:color w:val="000000"/>
          <w:sz w:val="32"/>
          <w:szCs w:val="32"/>
          <w:highlight w:val="none"/>
          <w:lang w:val="en-US" w:eastAsia="zh-CN"/>
        </w:rPr>
        <w:t>县街道两级动物疫病防控机构、从事动物卫生监督工作人员、畜禽养殖场（户）。</w:t>
      </w:r>
    </w:p>
    <w:p w14:paraId="4C980976">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四、补助内容</w:t>
      </w:r>
    </w:p>
    <w:p w14:paraId="4A08D23E">
      <w:pPr>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Times New Roman" w:hAnsi="Times New Roman" w:eastAsia="方正仿宋_GBK"/>
          <w:color w:val="000000"/>
          <w:sz w:val="32"/>
          <w:szCs w:val="32"/>
          <w:highlight w:val="none"/>
          <w:lang w:val="en-US" w:eastAsia="zh-CN"/>
        </w:rPr>
      </w:pPr>
      <w:r>
        <w:rPr>
          <w:rFonts w:hint="eastAsia" w:ascii="Times New Roman" w:hAnsi="Times New Roman" w:eastAsia="方正仿宋_GBK"/>
          <w:color w:val="000000"/>
          <w:sz w:val="32"/>
          <w:szCs w:val="32"/>
          <w:highlight w:val="none"/>
          <w:lang w:val="en-US" w:eastAsia="zh-CN"/>
        </w:rPr>
        <w:t>开展重大动物疫病强制免疫和“先打后补”、重大动物疫情扑杀和应激死亡、病死畜禽收集暂存点维护改造、重大动物疫病监测以及智慧动检手持终端服务等。</w:t>
      </w:r>
    </w:p>
    <w:p w14:paraId="26CEC3EE">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三、补助标准</w:t>
      </w:r>
    </w:p>
    <w:p w14:paraId="542BA476">
      <w:pPr>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Times New Roman" w:hAnsi="Times New Roman" w:eastAsia="方正仿宋_GBK"/>
          <w:color w:val="000000"/>
          <w:sz w:val="32"/>
          <w:szCs w:val="32"/>
          <w:highlight w:val="none"/>
          <w:lang w:val="en-US" w:eastAsia="zh-CN"/>
        </w:rPr>
      </w:pPr>
      <w:r>
        <w:rPr>
          <w:rFonts w:hint="eastAsia" w:ascii="Times New Roman" w:hAnsi="Times New Roman" w:eastAsia="方正仿宋_GBK"/>
          <w:color w:val="000000"/>
          <w:sz w:val="32"/>
          <w:szCs w:val="32"/>
          <w:highlight w:val="none"/>
          <w:lang w:val="en-US" w:eastAsia="zh-CN"/>
        </w:rPr>
        <w:t>重大动物疫病强制免疫疫苗、消毒药等相关防疫物资费用、疫病监测费用和“先打后补”补助，根据2025年实际发生额据实结算；智慧动检手持终端服务按照每人每月100元标准据实结算；重大动物疫情扑杀和应激死亡、病死畜禽收集暂存点维护改造等补助，由街道根据实际情况申报补助。</w:t>
      </w:r>
    </w:p>
    <w:p w14:paraId="581FFDA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FD18B"/>
    <w:multiLevelType w:val="singleLevel"/>
    <w:tmpl w:val="864FD18B"/>
    <w:lvl w:ilvl="0" w:tentative="0">
      <w:start w:val="1"/>
      <w:numFmt w:val="chineseCounting"/>
      <w:suff w:val="nothing"/>
      <w:lvlText w:val="%1、"/>
      <w:lvlJc w:val="left"/>
      <w:rPr>
        <w:rFonts w:hint="eastAsia"/>
      </w:rPr>
    </w:lvl>
  </w:abstractNum>
  <w:abstractNum w:abstractNumId="1">
    <w:nsid w:val="F7B7188B"/>
    <w:multiLevelType w:val="singleLevel"/>
    <w:tmpl w:val="F7B7188B"/>
    <w:lvl w:ilvl="0" w:tentative="0">
      <w:start w:val="1"/>
      <w:numFmt w:val="chineseCounting"/>
      <w:suff w:val="nothing"/>
      <w:lvlText w:val="%1、"/>
      <w:lvlJc w:val="left"/>
      <w:rPr>
        <w:rFonts w:hint="eastAsia"/>
      </w:rPr>
    </w:lvl>
  </w:abstractNum>
  <w:abstractNum w:abstractNumId="2">
    <w:nsid w:val="06D367AA"/>
    <w:multiLevelType w:val="singleLevel"/>
    <w:tmpl w:val="06D367AA"/>
    <w:lvl w:ilvl="0" w:tentative="0">
      <w:start w:val="1"/>
      <w:numFmt w:val="chineseCounting"/>
      <w:suff w:val="nothing"/>
      <w:lvlText w:val="%1、"/>
      <w:lvlJc w:val="left"/>
      <w:rPr>
        <w:rFonts w:hint="eastAsia"/>
      </w:rPr>
    </w:lvl>
  </w:abstractNum>
  <w:abstractNum w:abstractNumId="3">
    <w:nsid w:val="68038498"/>
    <w:multiLevelType w:val="singleLevel"/>
    <w:tmpl w:val="68038498"/>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E537B6"/>
    <w:rsid w:val="260D1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560" w:lineRule="exact"/>
      <w:ind w:firstLine="480" w:firstLineChars="200"/>
    </w:pPr>
    <w:rPr>
      <w:rFonts w:ascii="Times New Roman" w:hAnsi="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2714</Words>
  <Characters>2949</Characters>
  <Lines>0</Lines>
  <Paragraphs>0</Paragraphs>
  <TotalTime>0</TotalTime>
  <ScaleCrop>false</ScaleCrop>
  <LinksUpToDate>false</LinksUpToDate>
  <CharactersWithSpaces>2964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2025-11-21T08:26:00Z</dcterms:created>
  <dc:creator>Administrator</dc:creator>
  <cp:lastModifiedBy>张张</cp:lastModifiedBy>
  <dcterms:modified xsi:type="dcterms:W3CDTF">2025-11-25T02:37:22Z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eyJoZGlkIjoiMTA4MjkyNDIzMTdiNDUwZTgxMWQzYWYzMjZjNWNhNmIiLCJ1c2VySWQiOiI1MDU0MzIyNTgifQ==</vt:lpwstr>
  </property>
  <property fmtid="{D5CDD505-2E9C-101B-9397-08002B2CF9AE}" pid="4" name="ICV">
    <vt:lpwstr>3C078F875B394B46AD28BD142B1586C9_12</vt:lpwstr>
  </property>
</Properties>
</file>