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南京市栖霞区水务局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（一）贯彻国家、省、市有关水的法律、法规和方针政策。研究起草全区水利规范性文件并监督实施，实行依法治水、依法管水。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研究拟定全区水利发展中长期规划、年度计划。研究拟定主要江河综合规划及水资源保护、防洪、水土保持和农田水利等专业规划，并监督实施。组织有关国民经济总体规划、城市规划及重大建设项目中涉及水资源和防洪的论证工作。指导城市防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（三）统一管理、保护和利用全区水资源（含空中水、地表水、地下水）。组织实施取水（含矿泉水、地热水）许可制度和水资源有偿使用制度。编发区水资源公报。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拟订水资源保护规划，组织水功能区的划分、管理和向饮水区等水域排污的控制。监测江河湖库的水量、水质，审定水域纳污能力，提出限制排污总量的意见。指导饮用水水源保护工作，按规定提出饮用水水源地设置方案。指导入河排污口设置保护工作。编发全区水质监测简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（五）组织、指导全区水行政执法和水政监察工作。协调处理部门之间、街道之间以及相邻地区间的水事纠纷。依法查处违反水法律、法规和规章的水事案件。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（六）负责全区河道、水库、河口、滩地和堤防等各类水利设施、水域及其岸线以及重要水利工程的管理与保护。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（七）负责全区农村水利工作，组织协调农田水利基本建设。指导全区机电排灌、节水灌溉工作。指导全区农田基本建设中水利方面的工作以及丘陵山区小流域治理工作。指导全区农村水利服务体系建设。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（八）组织指导全区水土保持工作。研究制定水土保持规划并监督实施。组织水土流失的监测和综合防治。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（九）负责全区水利基本建设工作。组织编制、核准区大中型水利建设项目建议书、可行性研究报告。负责组织重点水利建设项目的实施。负责重点水利工程建设的项目稽察工作。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全区水利科技工作，组织重大水利科学技术研究、推广与应用。负责国外先进技术的引进、消化与吸收。负责水利行业技术标准、规程规范的监督与实施，并进行补充与完善。承担全区水利行业对外技术合作与交流。指导全区水利科技与信息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（十一）负责有关水利资金的计划、使用、管理及内部审计监督。负责区水利系统国有资产的监督管理工作。指导全区水利系统财务会计工作。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（十二）对全区水利工程建设进行行业管理。负责组织建设具有控制性或流域性的重要水利工程。负责水利工程建设项目招标、投标活动的监督管理工作。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（十三）负责组织、协调、监督、指导全区防汛防旱工作。对流域性河道和主要水利工程设施实施防汛抗旱调度。负责区防汛防旱指挥部的日常工作。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（十四）承办区委、区政府和上级业务主管部门交办的其他事项。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办公室、行政审批服务科、规划计划科、水利建设科、水环境管理科、工程管理科、河长制管理科。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本部门下属单位包括:南京市栖霞区水政大队，南京市栖霞区长江堤防管理所。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3</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南京市栖霞区水务局（本级），南京市栖霞区水政大队，南京市栖霞区长江堤防管理所。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（一）及早谋划，努力夯实防汛抗旱基础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将结合上级要求和我区实际，对全年的防汛防旱工作及早做出部署，要求各街道各相关部门做到早谋划、早实施、早行动。倒排工期，加快工程进度，争取在汛前完成1项消险工程和2项积淹水整治项目。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（二）久久为功，持续推进水生态环境有效改善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实施北十里长沟东支下游生态清淤和七乡河中坝闸上游清淤疏浚2个河道水环境整治提升工程；实施北十里长沟西支暗涵及其支流整治工程；实施九乡河下段生态治理及沿线绿化提升等4个沿河滨水空间提升工程；继续推进2个跨年度的片区雨污水管网清疏修缮项目；建设衡阳泵站前池分散式净水站及调蓄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（三）乘势而上，大力创建幸福河湖示范样板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北十里长沟东支生态修复为牵引，逐步向全域推广，打造一批幸福河湖示范点，倾力打造全市乃至全省的幸福河湖示范区。扎实推进河长制基础工作，确保流域环境整洁优美、水清岸绿，水质优良，着力打造水美栖霞，共享人水和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（四）多措并举，切实加强水资源环境保护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充分做好水利部复核国家级节水达标区的各项准备工作；完成南京金港科创园创建节水型园区的相关工作；完成各类节水载体创建任务、用水审计及合同节水工作；开展世界水日、中国水周节水宣传活动和栖霞区第二届节水大使等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（五）依法严管，确保水务建设管理高效规范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严格把关水务工程立项管理，源头推进，源头把关，进一步完善区本级的质量监督工作；针对水土保持复核查处的不合规项目，进行统一整改；全力推进排水许可证“应办尽办”，加大批后监管及巡查力度，加强与多部门通力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（六）抓好队伍建设，不断激发干事活力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坚持从严从实管理干部，促进作风转变，带领全局干部全面系统学习领会十九届六中全会精神的丰富内涵与核心要义，牢牢把握正确方向导向，推动党史学习教育深化拓展，埋头苦干 勇毅前行，为栖霞新发展做出水务贡献。</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南京市栖霞区水务局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南京市栖霞区水务局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4,513.31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119.08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4,281.25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351.14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4,632.39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4,632.39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4,632.39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4,632.39</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4,632.39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4,632.39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4,513.31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119.08</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南京市栖霞区水务局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4,632.39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4,632.39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4,513.31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119.08</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332001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南京市栖霞区水务局（机关）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4,253.49</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4,253.49</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4,253.49</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332002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南京市栖霞区水政大队</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259.82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259.82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259.82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332003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南京市栖霞区长江堤防管理所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119.08</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119.08</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119.08</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4,632.39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1,075.42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3,556.97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4,281.25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3,556.97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4,281.25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3,556.97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642.50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637.50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水利行业业务管理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水利工程建设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387.27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水利前期工作</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防汛</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其他水利支出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南京市栖霞区水务局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4,513.31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4,513.31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4,513.31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4,194.47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318.84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4,513.31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4,513.31</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4,513.31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956.34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897.07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3,556.97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3,556.97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3,556.97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642.50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水利行业业务管理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水利工程建设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387.27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387.27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1,134.70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1,134.70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水利前期工作</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2130314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防汛</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南京市栖霞区水务局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956.34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897.07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4,513.31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956.34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897.07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3,556.97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637.50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3,556.97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4,194.47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637.50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3,556.97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642.50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637.50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水利行业业务管理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水利工程建设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387.27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1,134.70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水利前期工作</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2130314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防汛</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956.34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897.07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南京市栖霞区水务局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南京市栖霞区水务局2022年度收入、支出预算总计4,632.39万元，与上年相比收、支预算总计各减少957.5万元，减少17.13%。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（一）收入预算总计4,632.39万元。包括：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1．本年收入合计4,632.39万元。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（1）一般公共预算拨款收入4,513.31万元，与上年相比减少1,076.58万元，减少19.26%。主要原因是2022年相比于2021年水利项目减少。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（9）其他收入119.08万元，与上年相比增加119.08万元（去年预算数为0万元，无法计算增减比率）。主要原因是科目调整。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（二）支出预算总计4,632.39万元。包括：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1．本年支出合计4,632.39万元。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（1）农林水支出（类）支出4,281.25万元，主要用于区水务局为开展全区水利事业而发生的基本支出和专项支出。与上年相比减少990.96万元，减少18.8%。主要原因是2022年相比于2021年水利项目安排减少。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（2）住房保障支出（类）支出351.14万元，主要用于本部门及所属单位按照国家有关规定为职工缴纳住房公积金和逐月住房补贴支出。与上年相比增加33.46万元，增长10.53%。主要原因是2022年新增2名退休人员。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南京市栖霞区水务局2022年收入预算合计4,632.39万元，包括本年收入4,632.39万元，上年结转结余0万元。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本年一般公共预算收入4,513.31万元，占97.43%；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本年其他收入119.08万元，占2.57%；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南京市栖霞区水务局2022年支出预算合计4,632.39万元，其中：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基本支出1,075.42万元，占23.22%；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项目支出3,556.97万元，占76.78%；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南京市栖霞区水务局2022年度财政拨款收、支总预算4,513.31万元。与上年相比，财政拨款收、支总计各减少1,076.58万元，减少19.26%。主要原因是2022年相比于2021年水利项目安排减少。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南京市栖霞区水务局2022年财政拨款预算支出4,513.31万元，占本年支出合计的97.43%。与上年相比，财政拨款支出减少1,076.58万元，减少19.26%。主要原因是2022年相比于2021年水利项目安排减少。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1.水利（款）行政运行（项）支出642.5万元，与上年相比增加25.29万元，增长4.1%。主要原因是人员增加，追加行政运行经费。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2.水利（款）水利行业业务管理（项）支出370万元，与上年相比增加10万元，增长2.78%。主要原因是2022年新增水利项目。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3.水利（款）水利工程建设（项）支出387.27万元，与上年相比减少682.73万元，减少63.81%。主要原因是2022年水利工程项目锐减。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4.水利（款）水利工程运行与维护（项）支出1,134.7万元，与上年相比减少640.3万元，减少36.07%。主要原因是2022年采取新型管养模式，按需补助。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5.水利（款）水利前期工作（项）支出1,310万元，与上年相比增加1,180万元，增长907.69%。主要原因是2022年水利项目合并，由以往的水利执法监督、水资源节约与保护及水质监测项目合并。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6.水利（款）防汛（项）支出350万元，与上年相比减少525万元，减少60%。主要原因是2021年大汛，2022年按常规应急经费列支。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1.住房改革支出（款）住房公积金（项）支出100.58万元，与上年相比增加0.37万元，增长0.37%。主要原因是人员增加，追加人员经费。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2.住房改革支出（款）购房补贴（项）支出218.26万元，与上年相比增加0.79万元，增长0.36%。主要原因是人员增加，追加人员经费。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南京市栖霞区水务局2022年度财政拨款基本支出预算956.34万元，其中：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897.07万元。主要包括：基本工资、津贴补贴、奖金、伙食补助费、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（二）公用经费59.27万元。主要包括：办公费、会议费、培训费、公务接待费、工会经费、公务用车运行维护费、其他交通费用、其他商品和服务支出。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南京市栖霞区水务局2022年一般公共预算财政拨款支出预算4,513.31万元，与上年相比减少1,076.58万元，减少19.26%。主要原因是2022年相比于2021年水利项目安排减少。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南京市栖霞区水务局2022年度一般公共预算财政拨款基本支出预算956.34万元，其中：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897.07万元。主要包括：基本工资、津贴补贴、奖金、伙食补助费、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（二）公用经费59.27万元。主要包括：办公费、会议费、培训费、公务接待费、工会经费、公务用车运行维护费、其他交通费用、其他商品和服务支出。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度一般公共预算拨款安排的“三公”经费预算支出中，因公出国（境）费支出0万元，占“三公”经费的0%；公务用车购置及运行维护费支出3.4万元，占“三公”经费的53.13%；公务接待费支出3万元，占“三公”经费的46.87%。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3．公务接待费预算支出3万元，比上年预算减少0.24万元，主要原因是厉行节约，减少公务接待。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南京市栖霞区水务局2022年度一般公共预算拨款安排的会议费预算支出2.5万元，比上年预算减少1.82万元，主要原因是疫情影响，减少聚集性活动。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南京市栖霞区水务局2022年度一般公共预算拨款安排的培训费预算支出1.5万元，比上年预算增加0.21万元，主要原因是培训需求增加。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南京市栖霞区水务局2022年国有资本经营预算支出0万元。与上年预算数相同。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2022年本部门一般公共预算机关运行经费预算支出59.27万元。与上年相比增加2.22万元，增长3.89%。主要原因是人员增加，行政运行经费增加。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4辆，其中，一般公务用车0辆、执法执勤用车1辆、特种专业技术用车0辆、业务用车0辆、其他用车3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2022年度，本部门整体支出纳入绩效目标管理，涉及四本预算资金4,632.39万元；本部门共6个项目纳入绩效目标管理，涉及四本预算资金合计3,556.97万元，占四本预算资金(基本支出除外)总额的比例为100%。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八、农林水支出(类)水利(款)行政运行(项)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九、农林水支出(类)水利(款)水利行业业务管理(项)</w:t>
      </w:r>
      <w:r>
        <w:rPr>
          <w:rFonts w:ascii="仿宋" w:hAnsi="仿宋" w:cs="仿宋" w:eastAsia="仿宋"/>
          <w:b w:val="true"/>
        </w:rPr>
        <w:t>：</w:t>
      </w:r>
      <w:r>
        <w:rPr>
          <w:rFonts w:hint="eastAsia" w:ascii="仿宋" w:hAnsi="仿宋" w:eastAsia="仿宋" w:cs="仿宋"/>
        </w:rPr>
        <w:t>反映用于水利行业业务管理方面的支出。有关业务包括制定政策、法规及行业标准、规程规范、进行水利宣传、审计监督检查、精神文明建设以及农田水利管理、水利重大活动、水利工程质量监督、水利资金监督管理、水利国有资产监管、行政许可及监督管理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十、农林水支出(类)水利(款)水利工程建设(项)</w:t>
      </w:r>
      <w:r>
        <w:rPr>
          <w:rFonts w:ascii="仿宋" w:hAnsi="仿宋" w:cs="仿宋" w:eastAsia="仿宋"/>
          <w:b w:val="true"/>
        </w:rPr>
        <w:t>：</w:t>
      </w:r>
      <w:r>
        <w:rPr>
          <w:rFonts w:hint="eastAsia" w:ascii="仿宋" w:hAnsi="仿宋" w:eastAsia="仿宋" w:cs="仿宋"/>
        </w:rPr>
        <w:t>反映水利系统用于江、河、湖、滩等水利工程建设支出，包括堤防、河道、水库、水利枢纽、涵闸、灌区、供水、蓄滞洪区等水利工程及其附属设备、设施的建设、改造更新、病险水库除险加固、大型灌区改造、农村电气化建设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十一、农林水支出(类)水利(款)水利工程运行与维护(项)</w:t>
      </w:r>
      <w:r>
        <w:rPr>
          <w:rFonts w:ascii="仿宋" w:hAnsi="仿宋" w:cs="仿宋" w:eastAsia="仿宋"/>
          <w:b w:val="true"/>
        </w:rPr>
        <w:t>：</w:t>
      </w:r>
      <w:r>
        <w:rPr>
          <w:rFonts w:hint="eastAsia" w:ascii="仿宋" w:hAnsi="仿宋" w:eastAsia="仿宋" w:cs="仿宋"/>
        </w:rPr>
        <w:t>反映水利系统用于江、河、湖、滩等治理工程运行与维护方面的支出，以及纳入预算管理的水利工程管理单位的支出。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十二、农林水支出(类)水利(款)水利前期工作(项)</w:t>
      </w:r>
      <w:r>
        <w:rPr>
          <w:rFonts w:ascii="仿宋" w:hAnsi="仿宋" w:cs="仿宋" w:eastAsia="仿宋"/>
          <w:b w:val="true"/>
        </w:rPr>
        <w:t>：</w:t>
      </w:r>
      <w:r>
        <w:rPr>
          <w:rFonts w:hint="eastAsia" w:ascii="仿宋" w:hAnsi="仿宋" w:eastAsia="仿宋" w:cs="仿宋"/>
        </w:rPr>
        <w:t>反映水利规划、勘测、设计、科研及相关管理办法编制、资料整编、设备购置等基础性前期工作的支出。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十三、农林水支出(类)水利(款)防汛(项)</w:t>
      </w:r>
      <w:r>
        <w:rPr>
          <w:rFonts w:ascii="仿宋" w:hAnsi="仿宋" w:cs="仿宋" w:eastAsia="仿宋"/>
          <w:b w:val="true"/>
        </w:rPr>
        <w:t>：</w:t>
      </w:r>
      <w:r>
        <w:rPr>
          <w:rFonts w:hint="eastAsia" w:ascii="仿宋" w:hAnsi="仿宋" w:eastAsia="仿宋" w:cs="仿宋"/>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十四、农林水支出(类)水利(款)其他水利支出(项)</w:t>
      </w:r>
      <w:r>
        <w:rPr>
          <w:rFonts w:ascii="仿宋" w:hAnsi="仿宋" w:cs="仿宋" w:eastAsia="仿宋"/>
          <w:b w:val="true"/>
        </w:rPr>
        <w:t>：</w:t>
      </w:r>
      <w:r>
        <w:rPr>
          <w:rFonts w:hint="eastAsia" w:ascii="仿宋" w:hAnsi="仿宋" w:eastAsia="仿宋" w:cs="仿宋"/>
        </w:rPr>
        <w:t>反映除上述项目以外其他用于水利方面的支出。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南京市栖霞区水务局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